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2E5CC2" w:rsidRPr="00167811" w:rsidTr="00167811"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A" w:rsidRDefault="00C3292A" w:rsidP="00C3292A">
            <w:pPr>
              <w:spacing w:before="240"/>
              <w:jc w:val="center"/>
              <w:rPr>
                <w:rFonts w:ascii="Tahoma" w:hAnsi="Tahoma"/>
                <w:b/>
                <w:sz w:val="40"/>
                <w:szCs w:val="40"/>
                <w:lang w:val="fr-FR"/>
              </w:rPr>
            </w:pPr>
            <w:r w:rsidRPr="0092716F">
              <w:rPr>
                <w:rFonts w:ascii="Tahoma" w:hAnsi="Tahoma"/>
                <w:b/>
                <w:sz w:val="40"/>
                <w:szCs w:val="40"/>
                <w:lang w:val="fr-FR"/>
              </w:rPr>
              <w:t xml:space="preserve">Appel d'offres restreint N° </w:t>
            </w:r>
          </w:p>
          <w:p w:rsidR="00C3292A" w:rsidRPr="0092716F" w:rsidRDefault="00C3292A" w:rsidP="00C3292A">
            <w:pPr>
              <w:spacing w:before="240"/>
              <w:jc w:val="center"/>
              <w:rPr>
                <w:rFonts w:ascii="Tahoma" w:hAnsi="Tahoma"/>
                <w:b/>
                <w:sz w:val="40"/>
                <w:szCs w:val="40"/>
                <w:lang w:val="fr-FR"/>
              </w:rPr>
            </w:pPr>
            <w:r w:rsidRPr="00CE35DF">
              <w:rPr>
                <w:rFonts w:ascii="Tahoma" w:hAnsi="Tahoma"/>
                <w:b/>
                <w:sz w:val="40"/>
                <w:szCs w:val="40"/>
                <w:lang w:val="fr-FR"/>
              </w:rPr>
              <w:t>C</w:t>
            </w:r>
            <w:r>
              <w:rPr>
                <w:rFonts w:ascii="Tahoma" w:hAnsi="Tahoma"/>
                <w:b/>
                <w:sz w:val="40"/>
                <w:szCs w:val="40"/>
                <w:lang w:val="fr-FR"/>
              </w:rPr>
              <w:t>O</w:t>
            </w:r>
            <w:r w:rsidRPr="00CE35DF">
              <w:rPr>
                <w:rFonts w:ascii="Tahoma" w:hAnsi="Tahoma"/>
                <w:b/>
                <w:sz w:val="40"/>
                <w:szCs w:val="40"/>
                <w:lang w:val="fr-FR"/>
              </w:rPr>
              <w:t>J</w:t>
            </w:r>
            <w:r>
              <w:rPr>
                <w:rFonts w:ascii="Tahoma" w:hAnsi="Tahoma"/>
                <w:b/>
                <w:sz w:val="40"/>
                <w:szCs w:val="40"/>
                <w:lang w:val="fr-FR"/>
              </w:rPr>
              <w:t>-PROC-16/0</w:t>
            </w:r>
            <w:r w:rsidRPr="00CE35DF">
              <w:rPr>
                <w:rFonts w:ascii="Tahoma" w:hAnsi="Tahoma"/>
                <w:b/>
                <w:sz w:val="40"/>
                <w:szCs w:val="40"/>
                <w:lang w:val="fr-FR"/>
              </w:rPr>
              <w:t>22</w:t>
            </w:r>
          </w:p>
          <w:p w:rsidR="00C3292A" w:rsidRPr="0092716F" w:rsidRDefault="00C3292A" w:rsidP="00C3292A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C3292A" w:rsidRPr="0092716F" w:rsidRDefault="00C3292A" w:rsidP="00C3292A">
            <w:pPr>
              <w:jc w:val="center"/>
              <w:rPr>
                <w:rFonts w:ascii="Tahoma" w:hAnsi="Tahoma"/>
                <w:b/>
                <w:caps/>
                <w:sz w:val="22"/>
                <w:lang w:val="fr-FR"/>
              </w:rPr>
            </w:pPr>
            <w:r w:rsidRPr="0092716F">
              <w:rPr>
                <w:rFonts w:ascii="Tahoma" w:hAnsi="Tahoma"/>
                <w:lang w:val="fr-FR"/>
              </w:rPr>
              <w:t>"</w:t>
            </w:r>
            <w:r w:rsidRPr="0092716F">
              <w:rPr>
                <w:rFonts w:ascii="Tahoma" w:hAnsi="Tahoma"/>
                <w:b/>
                <w:caps/>
                <w:sz w:val="22"/>
                <w:lang w:val="fr-FR"/>
              </w:rPr>
              <w:t>location A long terme de voitures de service"</w:t>
            </w:r>
          </w:p>
          <w:p w:rsidR="00C3292A" w:rsidRPr="0092716F" w:rsidRDefault="00C3292A" w:rsidP="00C3292A">
            <w:pPr>
              <w:jc w:val="center"/>
              <w:rPr>
                <w:rFonts w:ascii="Tahoma" w:hAnsi="Tahoma"/>
                <w:sz w:val="22"/>
                <w:szCs w:val="22"/>
                <w:lang w:val="fr-FR"/>
              </w:rPr>
            </w:pPr>
            <w:r w:rsidRPr="0092716F">
              <w:rPr>
                <w:rFonts w:ascii="Tahoma" w:hAnsi="Tahoma"/>
                <w:sz w:val="22"/>
                <w:szCs w:val="22"/>
                <w:lang w:val="fr-FR"/>
              </w:rPr>
              <w:t xml:space="preserve">(Avis de marché publié au J.O. n° </w:t>
            </w:r>
            <w:bookmarkStart w:id="0" w:name="_GoBack"/>
            <w:r w:rsidRPr="0092716F">
              <w:rPr>
                <w:rFonts w:ascii="Tahoma" w:hAnsi="Tahoma"/>
                <w:sz w:val="22"/>
                <w:szCs w:val="22"/>
                <w:lang w:val="fr-FR"/>
              </w:rPr>
              <w:t>S </w:t>
            </w:r>
            <w:r w:rsidR="00490681">
              <w:rPr>
                <w:rFonts w:ascii="Tahoma" w:hAnsi="Tahoma"/>
                <w:b/>
                <w:bCs/>
                <w:sz w:val="22"/>
                <w:szCs w:val="22"/>
                <w:lang w:val="fr-FR"/>
              </w:rPr>
              <w:t>221</w:t>
            </w:r>
            <w:r w:rsidRPr="0092716F">
              <w:rPr>
                <w:rFonts w:ascii="Tahoma" w:hAnsi="Tahoma"/>
                <w:b/>
                <w:bCs/>
                <w:sz w:val="22"/>
                <w:szCs w:val="22"/>
                <w:lang w:val="fr-FR"/>
              </w:rPr>
              <w:t>-</w:t>
            </w:r>
            <w:r w:rsidR="00490681">
              <w:rPr>
                <w:rFonts w:ascii="Tahoma" w:hAnsi="Tahoma"/>
                <w:b/>
                <w:bCs/>
                <w:sz w:val="22"/>
                <w:szCs w:val="22"/>
                <w:lang w:val="fr-FR"/>
              </w:rPr>
              <w:t>402415</w:t>
            </w:r>
            <w:r w:rsidRPr="0092716F">
              <w:rPr>
                <w:rFonts w:ascii="Tahoma" w:hAnsi="Tahoma"/>
                <w:sz w:val="22"/>
                <w:szCs w:val="22"/>
                <w:lang w:val="fr-FR"/>
              </w:rPr>
              <w:t xml:space="preserve"> du </w:t>
            </w:r>
            <w:r w:rsidR="00490681">
              <w:rPr>
                <w:rFonts w:ascii="Tahoma" w:hAnsi="Tahoma"/>
                <w:sz w:val="22"/>
                <w:szCs w:val="22"/>
                <w:lang w:val="fr-FR"/>
              </w:rPr>
              <w:t>16</w:t>
            </w:r>
            <w:r w:rsidRPr="0092716F">
              <w:rPr>
                <w:rFonts w:ascii="Tahoma" w:hAnsi="Tahoma"/>
                <w:sz w:val="22"/>
                <w:szCs w:val="22"/>
                <w:lang w:val="fr-FR"/>
              </w:rPr>
              <w:t>/</w:t>
            </w:r>
            <w:r w:rsidR="00490681">
              <w:rPr>
                <w:rFonts w:ascii="Tahoma" w:hAnsi="Tahoma"/>
                <w:sz w:val="22"/>
                <w:szCs w:val="22"/>
                <w:lang w:val="fr-FR"/>
              </w:rPr>
              <w:t>11</w:t>
            </w:r>
            <w:r w:rsidRPr="0092716F">
              <w:rPr>
                <w:rFonts w:ascii="Tahoma" w:hAnsi="Tahoma"/>
                <w:sz w:val="22"/>
                <w:szCs w:val="22"/>
                <w:lang w:val="fr-FR"/>
              </w:rPr>
              <w:t>/201</w:t>
            </w:r>
            <w:r>
              <w:rPr>
                <w:rFonts w:ascii="Tahoma" w:hAnsi="Tahoma"/>
                <w:sz w:val="22"/>
                <w:szCs w:val="22"/>
                <w:lang w:val="fr-FR"/>
              </w:rPr>
              <w:t>6</w:t>
            </w:r>
            <w:bookmarkEnd w:id="0"/>
            <w:r w:rsidRPr="0092716F">
              <w:rPr>
                <w:rFonts w:ascii="Tahoma" w:hAnsi="Tahoma"/>
                <w:sz w:val="22"/>
                <w:szCs w:val="22"/>
                <w:lang w:val="fr-FR"/>
              </w:rPr>
              <w:t xml:space="preserve">) </w:t>
            </w:r>
          </w:p>
          <w:p w:rsidR="00C3292A" w:rsidRPr="0092716F" w:rsidRDefault="00C3292A" w:rsidP="00C3292A">
            <w:pPr>
              <w:jc w:val="center"/>
              <w:rPr>
                <w:b/>
                <w:bCs/>
                <w:smallCaps/>
                <w:lang w:val="fr-FR"/>
              </w:rPr>
            </w:pPr>
          </w:p>
          <w:p w:rsidR="002E5CC2" w:rsidRPr="00167811" w:rsidRDefault="002E5CC2" w:rsidP="00167811">
            <w:pPr>
              <w:jc w:val="center"/>
              <w:rPr>
                <w:b/>
                <w:bCs/>
                <w:smallCaps/>
                <w:lang w:val="fr-FR"/>
              </w:rPr>
            </w:pPr>
          </w:p>
          <w:p w:rsidR="002E5CC2" w:rsidRPr="00167811" w:rsidRDefault="002E5CC2" w:rsidP="00167811">
            <w:pPr>
              <w:jc w:val="center"/>
              <w:rPr>
                <w:b/>
                <w:bCs/>
                <w:smallCaps/>
                <w:sz w:val="32"/>
                <w:szCs w:val="32"/>
                <w:lang w:val="fr-FR"/>
              </w:rPr>
            </w:pPr>
            <w:r w:rsidRPr="00167811">
              <w:rPr>
                <w:b/>
                <w:bCs/>
                <w:smallCaps/>
                <w:sz w:val="32"/>
                <w:szCs w:val="32"/>
                <w:lang w:val="fr-FR"/>
              </w:rPr>
              <w:t>CAHIER DES CHARGES</w:t>
            </w:r>
          </w:p>
          <w:p w:rsidR="002E5CC2" w:rsidRPr="00167811" w:rsidRDefault="002E5CC2" w:rsidP="00167811">
            <w:pPr>
              <w:jc w:val="center"/>
              <w:rPr>
                <w:b/>
                <w:bCs/>
                <w:smallCaps/>
                <w:lang w:val="fr-FR"/>
              </w:rPr>
            </w:pPr>
          </w:p>
          <w:p w:rsidR="002E5CC2" w:rsidRPr="00167811" w:rsidRDefault="002E5CC2" w:rsidP="00167811">
            <w:pPr>
              <w:jc w:val="center"/>
              <w:rPr>
                <w:b/>
                <w:bCs/>
                <w:smallCaps/>
                <w:lang w:val="fr-FR"/>
              </w:rPr>
            </w:pPr>
            <w:r w:rsidRPr="00167811">
              <w:rPr>
                <w:b/>
                <w:bCs/>
                <w:smallCaps/>
                <w:lang w:val="fr-FR"/>
              </w:rPr>
              <w:t>Clauses administratives</w:t>
            </w:r>
          </w:p>
          <w:p w:rsidR="00E25F4C" w:rsidRPr="00167811" w:rsidRDefault="00E25F4C" w:rsidP="00167811">
            <w:pPr>
              <w:jc w:val="center"/>
              <w:rPr>
                <w:b/>
                <w:bCs/>
                <w:smallCaps/>
                <w:lang w:val="fr-FR"/>
              </w:rPr>
            </w:pPr>
          </w:p>
          <w:p w:rsidR="00E25F4C" w:rsidRPr="00167811" w:rsidRDefault="00E25F4C" w:rsidP="00167811">
            <w:pPr>
              <w:jc w:val="center"/>
              <w:rPr>
                <w:b/>
                <w:bCs/>
                <w:smallCaps/>
                <w:lang w:val="fr-FR"/>
              </w:rPr>
            </w:pPr>
            <w:r w:rsidRPr="00167811">
              <w:rPr>
                <w:b/>
                <w:bCs/>
                <w:smallCaps/>
                <w:lang w:val="fr-FR"/>
              </w:rPr>
              <w:t>Partie II.1</w:t>
            </w:r>
          </w:p>
          <w:p w:rsidR="002E5CC2" w:rsidRPr="00167811" w:rsidRDefault="009911BF" w:rsidP="00167811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10895" cy="938530"/>
                  <wp:effectExtent l="0" t="0" r="8255" b="0"/>
                  <wp:docPr id="1" name="Picture 1" descr="Cur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CC2" w:rsidRPr="00167811" w:rsidRDefault="002E5CC2" w:rsidP="00167811">
            <w:pPr>
              <w:jc w:val="right"/>
              <w:rPr>
                <w:b/>
                <w:bCs/>
                <w:smallCaps/>
                <w:sz w:val="28"/>
                <w:szCs w:val="28"/>
                <w:lang w:val="fr-FR"/>
              </w:rPr>
            </w:pPr>
          </w:p>
        </w:tc>
      </w:tr>
    </w:tbl>
    <w:p w:rsidR="002E5CC2" w:rsidRPr="00917BFC" w:rsidRDefault="002E5CC2" w:rsidP="002E5CC2">
      <w:pPr>
        <w:rPr>
          <w:rFonts w:ascii="Garamond" w:hAnsi="Garamond"/>
          <w:lang w:val="fr-FR"/>
        </w:rPr>
      </w:pPr>
    </w:p>
    <w:p w:rsidR="002E5CC2" w:rsidRDefault="002E5CC2">
      <w:pPr>
        <w:rPr>
          <w:rFonts w:ascii="Garamond" w:hAnsi="Garamond"/>
          <w:lang w:val="fr-FR"/>
        </w:rPr>
      </w:pPr>
    </w:p>
    <w:p w:rsidR="002E5CC2" w:rsidRDefault="002E5CC2">
      <w:pPr>
        <w:rPr>
          <w:rFonts w:ascii="Garamond" w:hAnsi="Garamond"/>
          <w:lang w:val="fr-FR"/>
        </w:rPr>
      </w:pPr>
    </w:p>
    <w:p w:rsidR="00D4282D" w:rsidRPr="00917BFC" w:rsidRDefault="00D4282D" w:rsidP="00D4282D">
      <w:pPr>
        <w:numPr>
          <w:ilvl w:val="0"/>
          <w:numId w:val="14"/>
        </w:numPr>
        <w:rPr>
          <w:rFonts w:ascii="Garamond" w:hAnsi="Garamond"/>
          <w:b/>
          <w:lang w:val="fr-BE"/>
        </w:rPr>
      </w:pPr>
      <w:r w:rsidRPr="00917BFC">
        <w:rPr>
          <w:rFonts w:ascii="Garamond" w:hAnsi="Garamond"/>
          <w:b/>
          <w:lang w:val="fr-BE"/>
        </w:rPr>
        <w:t xml:space="preserve">Objet du marché </w:t>
      </w:r>
    </w:p>
    <w:p w:rsidR="00D4282D" w:rsidRDefault="00D4282D" w:rsidP="00A5220A">
      <w:pPr>
        <w:spacing w:before="120" w:after="120"/>
        <w:jc w:val="both"/>
        <w:rPr>
          <w:rFonts w:ascii="Garamond" w:hAnsi="Garamond"/>
          <w:lang w:val="fr-FR"/>
        </w:rPr>
      </w:pPr>
      <w:r w:rsidRPr="002E5CC2">
        <w:rPr>
          <w:rFonts w:ascii="Garamond" w:hAnsi="Garamond"/>
          <w:lang w:val="fr-FR"/>
        </w:rPr>
        <w:t xml:space="preserve">La Cour de justice de </w:t>
      </w:r>
      <w:bookmarkStart w:id="1" w:name="OLE_LINK4"/>
      <w:r w:rsidR="002712DB">
        <w:rPr>
          <w:rFonts w:ascii="Garamond" w:hAnsi="Garamond"/>
          <w:lang w:val="fr-FR"/>
        </w:rPr>
        <w:t>l’Union européenne</w:t>
      </w:r>
      <w:bookmarkEnd w:id="1"/>
      <w:r w:rsidRPr="002E5CC2">
        <w:rPr>
          <w:rFonts w:ascii="Garamond" w:hAnsi="Garamond"/>
          <w:lang w:val="fr-FR"/>
        </w:rPr>
        <w:t>, la Cour des comptes européenne, la</w:t>
      </w:r>
      <w:r>
        <w:rPr>
          <w:rFonts w:ascii="Garamond" w:hAnsi="Garamond"/>
          <w:lang w:val="fr-FR"/>
        </w:rPr>
        <w:t xml:space="preserve"> Commission européenne, le Centre de traduction des organes de l'Union européenne, </w:t>
      </w:r>
      <w:r w:rsidR="00960121">
        <w:rPr>
          <w:rFonts w:ascii="Garamond" w:hAnsi="Garamond"/>
          <w:lang w:val="fr-FR"/>
        </w:rPr>
        <w:t>la Banque européenne d'investissement</w:t>
      </w:r>
      <w:r>
        <w:rPr>
          <w:rFonts w:ascii="Garamond" w:hAnsi="Garamond"/>
          <w:lang w:val="fr-FR"/>
        </w:rPr>
        <w:t>, le Conseil de l'Union européenne, le Comité des régions ainsi que le Comité économique et social européen ci-après dénommés le pouvoir adjudicateur</w:t>
      </w:r>
      <w:r w:rsidRPr="003F7870">
        <w:rPr>
          <w:rFonts w:ascii="Garamond" w:hAnsi="Garamond"/>
          <w:lang w:val="fr-FR"/>
        </w:rPr>
        <w:t xml:space="preserve">, envisagent </w:t>
      </w:r>
      <w:r w:rsidR="008D6D2D" w:rsidRPr="008D6D2D">
        <w:rPr>
          <w:rFonts w:ascii="Garamond" w:hAnsi="Garamond"/>
          <w:lang w:val="fr-FR"/>
        </w:rPr>
        <w:t>la passation d’un</w:t>
      </w:r>
      <w:r w:rsidR="008D6D2D">
        <w:rPr>
          <w:rFonts w:ascii="Garamond" w:hAnsi="Garamond"/>
          <w:lang w:val="fr-FR"/>
        </w:rPr>
        <w:t xml:space="preserve"> marché de fournitures, visant </w:t>
      </w:r>
      <w:r w:rsidRPr="003F7870">
        <w:rPr>
          <w:rFonts w:ascii="Garamond" w:hAnsi="Garamond"/>
          <w:lang w:val="fr-FR"/>
        </w:rPr>
        <w:t>la conclusion de deux contrats</w:t>
      </w:r>
      <w:r>
        <w:rPr>
          <w:rFonts w:ascii="Garamond" w:hAnsi="Garamond"/>
          <w:lang w:val="fr-FR"/>
        </w:rPr>
        <w:noBreakHyphen/>
      </w:r>
      <w:r w:rsidRPr="003F7870">
        <w:rPr>
          <w:rFonts w:ascii="Garamond" w:hAnsi="Garamond"/>
          <w:lang w:val="fr-FR"/>
        </w:rPr>
        <w:t xml:space="preserve">cadres pour la location à long terme </w:t>
      </w:r>
      <w:r w:rsidRPr="00917BFC">
        <w:rPr>
          <w:rFonts w:ascii="Garamond" w:hAnsi="Garamond"/>
          <w:lang w:val="fr-FR"/>
        </w:rPr>
        <w:t>de véhicules neufs, sans option d’achat.</w:t>
      </w:r>
    </w:p>
    <w:p w:rsidR="001E46A2" w:rsidRDefault="001E46A2" w:rsidP="00A5220A">
      <w:pPr>
        <w:spacing w:before="120" w:after="120"/>
        <w:jc w:val="both"/>
        <w:rPr>
          <w:rFonts w:ascii="Garamond" w:hAnsi="Garamond"/>
          <w:lang w:val="fr-FR"/>
        </w:rPr>
      </w:pPr>
      <w:r w:rsidRPr="003F7870">
        <w:rPr>
          <w:rFonts w:ascii="Garamond" w:hAnsi="Garamond"/>
          <w:lang w:val="fr-FR"/>
        </w:rPr>
        <w:t>Ce marché est composé de deux lots</w:t>
      </w:r>
      <w:r>
        <w:rPr>
          <w:rFonts w:ascii="Garamond" w:hAnsi="Garamond"/>
          <w:lang w:val="fr-FR"/>
        </w:rPr>
        <w:t xml:space="preserve"> </w:t>
      </w:r>
      <w:r w:rsidR="002861E8">
        <w:rPr>
          <w:rFonts w:ascii="Garamond" w:hAnsi="Garamond"/>
          <w:lang w:val="fr-FR"/>
        </w:rPr>
        <w:t xml:space="preserve">séparés et </w:t>
      </w:r>
      <w:r>
        <w:rPr>
          <w:rFonts w:ascii="Garamond" w:hAnsi="Garamond"/>
          <w:lang w:val="fr-FR"/>
        </w:rPr>
        <w:t>indivisibles, constitués de deux sous lots chacun.</w:t>
      </w:r>
      <w:r w:rsidR="008D51CF">
        <w:rPr>
          <w:rFonts w:ascii="Garamond" w:hAnsi="Garamond"/>
          <w:lang w:val="fr-FR"/>
        </w:rPr>
        <w:t xml:space="preserve"> Il n’est pas autorisé de soumissionner pour un sous lot.</w:t>
      </w:r>
      <w:r w:rsidR="0043623D">
        <w:rPr>
          <w:rFonts w:ascii="Garamond" w:hAnsi="Garamond"/>
          <w:lang w:val="fr-FR"/>
        </w:rPr>
        <w:t xml:space="preserve"> Pour la description des lots, il est nécessaire de se référer à la Partie II.2 – spécifications techniques.</w:t>
      </w:r>
    </w:p>
    <w:p w:rsidR="001E46A2" w:rsidRDefault="001E46A2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 xml:space="preserve">Il est rappelé que toutes les quantités mentionnées dans les documents composant le cahier des charges (en particulier au point </w:t>
      </w:r>
      <w:r w:rsidR="004A0DD2">
        <w:rPr>
          <w:noProof w:val="0"/>
          <w:lang w:val="fr-FR"/>
        </w:rPr>
        <w:t>3</w:t>
      </w:r>
      <w:r>
        <w:rPr>
          <w:noProof w:val="0"/>
          <w:lang w:val="fr-FR"/>
        </w:rPr>
        <w:t>.</w:t>
      </w:r>
      <w:r w:rsidR="008D51CF">
        <w:rPr>
          <w:noProof w:val="0"/>
          <w:lang w:val="fr-FR"/>
        </w:rPr>
        <w:t>1</w:t>
      </w:r>
      <w:r>
        <w:rPr>
          <w:noProof w:val="0"/>
          <w:lang w:val="fr-FR"/>
        </w:rPr>
        <w:t xml:space="preserve"> ci-après) sont données à titre purement i</w:t>
      </w:r>
      <w:r w:rsidR="00C3292A">
        <w:rPr>
          <w:noProof w:val="0"/>
          <w:lang w:val="fr-FR"/>
        </w:rPr>
        <w:t>ndicatif et sans engagement du p</w:t>
      </w:r>
      <w:r>
        <w:rPr>
          <w:noProof w:val="0"/>
          <w:lang w:val="fr-FR"/>
        </w:rPr>
        <w:t>ouvoir adjudicateur.</w:t>
      </w:r>
    </w:p>
    <w:p w:rsidR="0038066C" w:rsidRDefault="0038066C" w:rsidP="00A5220A">
      <w:pPr>
        <w:jc w:val="both"/>
        <w:rPr>
          <w:rFonts w:ascii="Garamond" w:hAnsi="Garamond"/>
          <w:lang w:val="fr-FR"/>
        </w:rPr>
      </w:pPr>
    </w:p>
    <w:p w:rsidR="0038066C" w:rsidRDefault="00F84F8E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t>2</w:t>
      </w:r>
      <w:r w:rsidR="0038066C">
        <w:rPr>
          <w:b/>
          <w:noProof w:val="0"/>
          <w:lang w:val="fr-FR"/>
        </w:rPr>
        <w:t>.</w:t>
      </w:r>
      <w:r w:rsidR="0038066C">
        <w:rPr>
          <w:b/>
          <w:noProof w:val="0"/>
          <w:lang w:val="fr-FR"/>
        </w:rPr>
        <w:tab/>
        <w:t>Documents constitutifs de l'offre :</w:t>
      </w:r>
    </w:p>
    <w:p w:rsidR="0038066C" w:rsidRDefault="0038066C" w:rsidP="00A5220A">
      <w:pPr>
        <w:jc w:val="both"/>
        <w:rPr>
          <w:rFonts w:ascii="Garamond" w:hAnsi="Garamond"/>
          <w:lang w:val="fr-FR"/>
        </w:rPr>
      </w:pPr>
    </w:p>
    <w:p w:rsidR="00572497" w:rsidRDefault="00572497" w:rsidP="00A5220A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L'offre est établie conformément aux prescriptions de l'invitation à soumissionner</w:t>
      </w:r>
      <w:r w:rsidR="00FF3CA6">
        <w:rPr>
          <w:rFonts w:ascii="Garamond" w:hAnsi="Garamond"/>
          <w:lang w:val="fr-FR"/>
        </w:rPr>
        <w:t xml:space="preserve"> / à présenter une demande de participation </w:t>
      </w:r>
      <w:r>
        <w:rPr>
          <w:rFonts w:ascii="Garamond" w:hAnsi="Garamond"/>
          <w:lang w:val="fr-FR"/>
        </w:rPr>
        <w:t>(P</w:t>
      </w:r>
      <w:r w:rsidR="000406A9">
        <w:rPr>
          <w:rFonts w:ascii="Garamond" w:hAnsi="Garamond"/>
          <w:lang w:val="fr-FR"/>
        </w:rPr>
        <w:t>ARTIE </w:t>
      </w:r>
      <w:r>
        <w:rPr>
          <w:rFonts w:ascii="Garamond" w:hAnsi="Garamond"/>
          <w:lang w:val="fr-FR"/>
        </w:rPr>
        <w:t>I)</w:t>
      </w:r>
      <w:r w:rsidR="00F86E75">
        <w:rPr>
          <w:rFonts w:ascii="Garamond" w:hAnsi="Garamond"/>
          <w:lang w:val="fr-FR"/>
        </w:rPr>
        <w:t xml:space="preserve"> et à la documentation du cahier des charges (P</w:t>
      </w:r>
      <w:r w:rsidR="000406A9">
        <w:rPr>
          <w:rFonts w:ascii="Garamond" w:hAnsi="Garamond"/>
          <w:lang w:val="fr-FR"/>
        </w:rPr>
        <w:t>ARTIE</w:t>
      </w:r>
      <w:r w:rsidR="00F86E75">
        <w:rPr>
          <w:rFonts w:ascii="Garamond" w:hAnsi="Garamond"/>
          <w:lang w:val="fr-FR"/>
        </w:rPr>
        <w:t xml:space="preserve"> II)</w:t>
      </w:r>
      <w:r w:rsidR="00FF3CA6">
        <w:rPr>
          <w:rFonts w:ascii="Garamond" w:hAnsi="Garamond"/>
          <w:lang w:val="fr-FR"/>
        </w:rPr>
        <w:t xml:space="preserve"> ainsi que du projet de contrat-cadre ((PARTIE II)</w:t>
      </w:r>
      <w:r>
        <w:rPr>
          <w:rFonts w:ascii="Garamond" w:hAnsi="Garamond"/>
          <w:lang w:val="fr-FR"/>
        </w:rPr>
        <w:t>.</w:t>
      </w:r>
    </w:p>
    <w:p w:rsidR="00572497" w:rsidRDefault="00572497" w:rsidP="00A5220A">
      <w:pPr>
        <w:jc w:val="both"/>
        <w:rPr>
          <w:rFonts w:ascii="Garamond" w:hAnsi="Garamond"/>
          <w:lang w:val="fr-FR"/>
        </w:rPr>
      </w:pPr>
    </w:p>
    <w:p w:rsidR="00572497" w:rsidRDefault="001E46A2" w:rsidP="00A5220A">
      <w:pPr>
        <w:jc w:val="both"/>
        <w:rPr>
          <w:rFonts w:ascii="Garamond" w:hAnsi="Garamond"/>
          <w:lang w:val="fr-FR"/>
        </w:rPr>
      </w:pPr>
      <w:r w:rsidRPr="005A2F79">
        <w:rPr>
          <w:rFonts w:ascii="Garamond" w:hAnsi="Garamond"/>
          <w:b/>
          <w:lang w:val="fr-FR"/>
        </w:rPr>
        <w:t>Pour chaque lot</w:t>
      </w:r>
      <w:r>
        <w:rPr>
          <w:rFonts w:ascii="Garamond" w:hAnsi="Garamond"/>
          <w:lang w:val="fr-FR"/>
        </w:rPr>
        <w:t>, l</w:t>
      </w:r>
      <w:r w:rsidR="00572497">
        <w:rPr>
          <w:rFonts w:ascii="Garamond" w:hAnsi="Garamond"/>
          <w:lang w:val="fr-FR"/>
        </w:rPr>
        <w:t>es documents suivants en font obligatoirement partie:</w:t>
      </w:r>
    </w:p>
    <w:p w:rsidR="00572497" w:rsidRDefault="00572497" w:rsidP="00A5220A">
      <w:pPr>
        <w:jc w:val="both"/>
        <w:rPr>
          <w:rFonts w:ascii="Garamond" w:hAnsi="Garamond"/>
          <w:lang w:val="fr-FR"/>
        </w:rPr>
      </w:pPr>
    </w:p>
    <w:p w:rsidR="000D7172" w:rsidRPr="000D7172" w:rsidRDefault="000D7172" w:rsidP="00A5220A">
      <w:pPr>
        <w:jc w:val="both"/>
        <w:rPr>
          <w:rFonts w:ascii="Garamond" w:hAnsi="Garamond"/>
          <w:u w:val="single"/>
          <w:lang w:val="fr-FR"/>
        </w:rPr>
      </w:pPr>
      <w:r w:rsidRPr="000D7172">
        <w:rPr>
          <w:rFonts w:ascii="Garamond" w:hAnsi="Garamond"/>
          <w:u w:val="single"/>
          <w:lang w:val="fr-FR"/>
        </w:rPr>
        <w:t>Bordereaux obligatoires</w:t>
      </w:r>
    </w:p>
    <w:p w:rsidR="000D7172" w:rsidRDefault="000D7172" w:rsidP="00A5220A">
      <w:pPr>
        <w:jc w:val="both"/>
        <w:rPr>
          <w:rFonts w:ascii="Garamond" w:hAnsi="Garamond"/>
          <w:lang w:val="fr-FR"/>
        </w:rPr>
      </w:pPr>
    </w:p>
    <w:p w:rsidR="00025B3F" w:rsidRDefault="00B8731F" w:rsidP="00A5220A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Les bordereaux suivants doivent être remplis et des prix de loyer mensuel remis pour </w:t>
      </w:r>
      <w:r w:rsidRPr="002861E8">
        <w:rPr>
          <w:rFonts w:ascii="Garamond" w:hAnsi="Garamond"/>
          <w:u w:val="single"/>
          <w:lang w:val="fr-FR"/>
        </w:rPr>
        <w:t>toutes</w:t>
      </w:r>
      <w:r>
        <w:rPr>
          <w:rFonts w:ascii="Garamond" w:hAnsi="Garamond"/>
          <w:lang w:val="fr-FR"/>
        </w:rPr>
        <w:t xml:space="preserve"> les cases</w:t>
      </w:r>
      <w:r w:rsidR="002861E8">
        <w:rPr>
          <w:rFonts w:ascii="Garamond" w:hAnsi="Garamond"/>
          <w:lang w:val="fr-FR"/>
        </w:rPr>
        <w:t xml:space="preserve"> correspondantes aux différentes combinaisons de durées et kilométrages envisagées.</w:t>
      </w:r>
      <w:r w:rsidR="00E60DD8">
        <w:rPr>
          <w:rFonts w:ascii="Garamond" w:hAnsi="Garamond"/>
          <w:lang w:val="fr-FR"/>
        </w:rPr>
        <w:t xml:space="preserve"> Le prix de l'option "voiture de remplacement" </w:t>
      </w:r>
      <w:r w:rsidR="00A5220A">
        <w:rPr>
          <w:rFonts w:ascii="Garamond" w:hAnsi="Garamond"/>
          <w:lang w:val="fr-FR"/>
        </w:rPr>
        <w:t>est</w:t>
      </w:r>
      <w:r w:rsidR="00E60DD8">
        <w:rPr>
          <w:rFonts w:ascii="Garamond" w:hAnsi="Garamond"/>
          <w:lang w:val="fr-FR"/>
        </w:rPr>
        <w:t xml:space="preserve"> </w:t>
      </w:r>
      <w:r w:rsidR="00E60DD8" w:rsidRPr="00E60DD8">
        <w:rPr>
          <w:rFonts w:ascii="Garamond" w:hAnsi="Garamond"/>
          <w:u w:val="single"/>
          <w:lang w:val="fr-FR"/>
        </w:rPr>
        <w:t>toujours</w:t>
      </w:r>
      <w:r w:rsidR="00E60DD8">
        <w:rPr>
          <w:rFonts w:ascii="Garamond" w:hAnsi="Garamond"/>
          <w:lang w:val="fr-FR"/>
        </w:rPr>
        <w:t xml:space="preserve"> </w:t>
      </w:r>
      <w:r w:rsidR="00A5220A">
        <w:rPr>
          <w:rFonts w:ascii="Garamond" w:hAnsi="Garamond"/>
          <w:lang w:val="fr-FR"/>
        </w:rPr>
        <w:t>compris d’office</w:t>
      </w:r>
      <w:r w:rsidR="00E60DD8">
        <w:rPr>
          <w:rFonts w:ascii="Garamond" w:hAnsi="Garamond"/>
          <w:lang w:val="fr-FR"/>
        </w:rPr>
        <w:t xml:space="preserve">. Les prix des options éventuelles </w:t>
      </w:r>
      <w:r w:rsidR="000649E6">
        <w:rPr>
          <w:rFonts w:ascii="Garamond" w:hAnsi="Garamond"/>
          <w:lang w:val="fr-FR"/>
        </w:rPr>
        <w:t xml:space="preserve">(en plus des options obligatoires) </w:t>
      </w:r>
      <w:r w:rsidR="00E60DD8">
        <w:rPr>
          <w:rFonts w:ascii="Garamond" w:hAnsi="Garamond"/>
          <w:lang w:val="fr-FR"/>
        </w:rPr>
        <w:t xml:space="preserve">ne seront pas pris en compte pour </w:t>
      </w:r>
      <w:r w:rsidR="00E60DD8">
        <w:rPr>
          <w:rFonts w:ascii="Garamond" w:hAnsi="Garamond"/>
          <w:lang w:val="fr-FR"/>
        </w:rPr>
        <w:lastRenderedPageBreak/>
        <w:t xml:space="preserve">l'évaluation financière au point </w:t>
      </w:r>
      <w:r w:rsidR="004A0DD2">
        <w:rPr>
          <w:rFonts w:ascii="Garamond" w:hAnsi="Garamond"/>
          <w:lang w:val="fr-FR"/>
        </w:rPr>
        <w:t>3</w:t>
      </w:r>
      <w:r w:rsidR="008D51CF">
        <w:rPr>
          <w:rFonts w:ascii="Garamond" w:hAnsi="Garamond"/>
          <w:lang w:val="fr-FR"/>
        </w:rPr>
        <w:t>.1</w:t>
      </w:r>
      <w:r w:rsidR="00E60DD8">
        <w:rPr>
          <w:rFonts w:ascii="Garamond" w:hAnsi="Garamond"/>
          <w:lang w:val="fr-FR"/>
        </w:rPr>
        <w:t xml:space="preserve">, les soumissionnaires ne sont donc pas obligés de remettre prix pour ces options, mais pourront le faire librement. </w:t>
      </w:r>
    </w:p>
    <w:p w:rsidR="00025B3F" w:rsidRDefault="00025B3F" w:rsidP="00A5220A">
      <w:pPr>
        <w:jc w:val="both"/>
        <w:rPr>
          <w:rFonts w:ascii="Garamond" w:hAnsi="Garamond"/>
          <w:lang w:val="fr-FR"/>
        </w:rPr>
      </w:pPr>
    </w:p>
    <w:p w:rsidR="00B8731F" w:rsidRDefault="00E60DD8" w:rsidP="00A5220A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Le prix des options obligatoires est compris dans les loyers mensuels</w:t>
      </w:r>
      <w:r w:rsidR="008C2FCB">
        <w:rPr>
          <w:rFonts w:ascii="Garamond" w:hAnsi="Garamond"/>
          <w:lang w:val="fr-FR"/>
        </w:rPr>
        <w:t xml:space="preserve"> (il convient de noter que </w:t>
      </w:r>
      <w:r w:rsidR="008C2FCB">
        <w:rPr>
          <w:rFonts w:ascii="Garamond" w:hAnsi="Garamond"/>
          <w:lang w:val="fr-BE"/>
        </w:rPr>
        <w:t xml:space="preserve">celles-ci sont différentes selon la liste dans laquelle le véhicule est repris, cf. point 2 de la </w:t>
      </w:r>
      <w:r w:rsidR="008C2FCB" w:rsidRPr="004455BA">
        <w:rPr>
          <w:rFonts w:ascii="Garamond" w:hAnsi="Garamond"/>
          <w:lang w:val="fr-BE"/>
        </w:rPr>
        <w:t>PARTIE II.</w:t>
      </w:r>
      <w:r w:rsidR="008C2FCB">
        <w:rPr>
          <w:rFonts w:ascii="Garamond" w:hAnsi="Garamond"/>
          <w:lang w:val="fr-BE"/>
        </w:rPr>
        <w:t>2 et PARTIE II.</w:t>
      </w:r>
      <w:r w:rsidR="008C2FCB" w:rsidRPr="004455BA">
        <w:rPr>
          <w:rFonts w:ascii="Garamond" w:hAnsi="Garamond"/>
          <w:lang w:val="fr-BE"/>
        </w:rPr>
        <w:t>3</w:t>
      </w:r>
      <w:r w:rsidR="008C2FCB">
        <w:rPr>
          <w:rFonts w:ascii="Garamond" w:hAnsi="Garamond"/>
          <w:lang w:val="fr-BE"/>
        </w:rPr>
        <w:t>)</w:t>
      </w:r>
      <w:r>
        <w:rPr>
          <w:rFonts w:ascii="Garamond" w:hAnsi="Garamond"/>
          <w:lang w:val="fr-FR"/>
        </w:rPr>
        <w:t>.</w:t>
      </w:r>
      <w:r w:rsidR="00025B3F">
        <w:rPr>
          <w:rFonts w:ascii="Garamond" w:hAnsi="Garamond"/>
          <w:lang w:val="fr-FR"/>
        </w:rPr>
        <w:t xml:space="preserve"> </w:t>
      </w:r>
      <w:bookmarkStart w:id="2" w:name="OLE_LINK3"/>
      <w:r w:rsidR="00025B3F">
        <w:rPr>
          <w:rFonts w:ascii="Garamond" w:hAnsi="Garamond"/>
          <w:lang w:val="fr-FR"/>
        </w:rPr>
        <w:t>Pour chaque bordereau de chaque véhicule, la liste des options obligatoires remplie avec les codes fabricant des options</w:t>
      </w:r>
      <w:r w:rsidR="000F7AF2">
        <w:rPr>
          <w:rFonts w:ascii="Garamond" w:hAnsi="Garamond"/>
          <w:lang w:val="fr-FR"/>
        </w:rPr>
        <w:t xml:space="preserve"> ou  l'indication qu'il s'agit d'un équipement de série</w:t>
      </w:r>
      <w:r w:rsidR="00025B3F">
        <w:rPr>
          <w:rFonts w:ascii="Garamond" w:hAnsi="Garamond"/>
          <w:lang w:val="fr-FR"/>
        </w:rPr>
        <w:t xml:space="preserve">, ainsi que leur prix de vente doit être jointe. Chaque option doit être prise individuellement et pas </w:t>
      </w:r>
      <w:r w:rsidR="007A0D80">
        <w:rPr>
          <w:rFonts w:ascii="Garamond" w:hAnsi="Garamond"/>
          <w:lang w:val="fr-FR"/>
        </w:rPr>
        <w:t>en faisant partie</w:t>
      </w:r>
      <w:r w:rsidR="00025B3F">
        <w:rPr>
          <w:rFonts w:ascii="Garamond" w:hAnsi="Garamond"/>
          <w:lang w:val="fr-FR"/>
        </w:rPr>
        <w:t xml:space="preserve"> d'un </w:t>
      </w:r>
      <w:r w:rsidR="000F7AF2">
        <w:rPr>
          <w:rFonts w:ascii="Garamond" w:hAnsi="Garamond"/>
          <w:lang w:val="fr-FR"/>
        </w:rPr>
        <w:t xml:space="preserve">quelconque </w:t>
      </w:r>
      <w:r w:rsidR="00025B3F">
        <w:rPr>
          <w:rFonts w:ascii="Garamond" w:hAnsi="Garamond"/>
          <w:lang w:val="fr-FR"/>
        </w:rPr>
        <w:t>"pack"</w:t>
      </w:r>
      <w:r w:rsidR="000F7AF2">
        <w:rPr>
          <w:rFonts w:ascii="Garamond" w:hAnsi="Garamond"/>
          <w:lang w:val="fr-FR"/>
        </w:rPr>
        <w:t xml:space="preserve"> commercial</w:t>
      </w:r>
      <w:r w:rsidR="00025B3F">
        <w:rPr>
          <w:rFonts w:ascii="Garamond" w:hAnsi="Garamond"/>
          <w:lang w:val="fr-FR"/>
        </w:rPr>
        <w:t>. L</w:t>
      </w:r>
      <w:r w:rsidR="000F7AF2">
        <w:rPr>
          <w:rFonts w:ascii="Garamond" w:hAnsi="Garamond"/>
          <w:lang w:val="fr-FR"/>
        </w:rPr>
        <w:t>es références aux</w:t>
      </w:r>
      <w:r w:rsidR="00025B3F">
        <w:rPr>
          <w:rFonts w:ascii="Garamond" w:hAnsi="Garamond"/>
          <w:lang w:val="fr-FR"/>
        </w:rPr>
        <w:t xml:space="preserve"> "packs" commerciaux </w:t>
      </w:r>
      <w:r w:rsidR="000F7AF2">
        <w:rPr>
          <w:rFonts w:ascii="Garamond" w:hAnsi="Garamond"/>
          <w:lang w:val="fr-FR"/>
        </w:rPr>
        <w:t>sont proscrites</w:t>
      </w:r>
      <w:r w:rsidR="00025B3F">
        <w:rPr>
          <w:rFonts w:ascii="Garamond" w:hAnsi="Garamond"/>
          <w:lang w:val="fr-FR"/>
        </w:rPr>
        <w:t xml:space="preserve"> pour l'évaluation des offres</w:t>
      </w:r>
      <w:r w:rsidR="000F7AF2">
        <w:rPr>
          <w:rFonts w:ascii="Garamond" w:hAnsi="Garamond"/>
          <w:lang w:val="fr-FR"/>
        </w:rPr>
        <w:t xml:space="preserve"> (ces "packs" </w:t>
      </w:r>
      <w:r w:rsidR="00025B3F">
        <w:rPr>
          <w:rFonts w:ascii="Garamond" w:hAnsi="Garamond"/>
          <w:lang w:val="fr-FR"/>
        </w:rPr>
        <w:t xml:space="preserve">pourront </w:t>
      </w:r>
      <w:r w:rsidR="000F7AF2">
        <w:rPr>
          <w:rFonts w:ascii="Garamond" w:hAnsi="Garamond"/>
          <w:lang w:val="fr-FR"/>
        </w:rPr>
        <w:t xml:space="preserve">néanmoins </w:t>
      </w:r>
      <w:r w:rsidR="00025B3F">
        <w:rPr>
          <w:rFonts w:ascii="Garamond" w:hAnsi="Garamond"/>
          <w:lang w:val="fr-FR"/>
        </w:rPr>
        <w:t>être utilisés par après lors des commandes</w:t>
      </w:r>
      <w:r w:rsidR="000F7AF2">
        <w:rPr>
          <w:rFonts w:ascii="Garamond" w:hAnsi="Garamond"/>
          <w:lang w:val="fr-FR"/>
        </w:rPr>
        <w:t>)</w:t>
      </w:r>
      <w:r w:rsidR="00025B3F">
        <w:rPr>
          <w:rFonts w:ascii="Garamond" w:hAnsi="Garamond"/>
          <w:lang w:val="fr-FR"/>
        </w:rPr>
        <w:t>.</w:t>
      </w:r>
      <w:bookmarkEnd w:id="2"/>
    </w:p>
    <w:p w:rsidR="00B8731F" w:rsidRDefault="00B8731F" w:rsidP="00A5220A">
      <w:pPr>
        <w:jc w:val="both"/>
        <w:rPr>
          <w:rFonts w:ascii="Garamond" w:hAnsi="Garamond"/>
          <w:lang w:val="fr-FR"/>
        </w:rPr>
      </w:pPr>
    </w:p>
    <w:p w:rsidR="00BF73AF" w:rsidRPr="004455BA" w:rsidRDefault="00BF73AF" w:rsidP="00A5220A">
      <w:pPr>
        <w:jc w:val="both"/>
        <w:rPr>
          <w:rFonts w:ascii="Garamond" w:hAnsi="Garamond"/>
          <w:b/>
          <w:lang w:val="fr-BE"/>
        </w:rPr>
      </w:pPr>
      <w:r w:rsidRPr="004455BA">
        <w:rPr>
          <w:rFonts w:ascii="Garamond" w:hAnsi="Garamond"/>
          <w:b/>
          <w:lang w:val="fr-BE"/>
        </w:rPr>
        <w:t>- lot 1a et 2a :</w:t>
      </w:r>
    </w:p>
    <w:p w:rsidR="00BF73AF" w:rsidRPr="004455BA" w:rsidRDefault="00BF73AF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</w:p>
    <w:p w:rsidR="00BF73AF" w:rsidRDefault="001A726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Bordereaux</w:t>
      </w:r>
      <w:r w:rsidR="00BF73AF" w:rsidRPr="004455BA">
        <w:rPr>
          <w:rFonts w:ascii="Garamond" w:hAnsi="Garamond"/>
          <w:b/>
          <w:lang w:val="fr-BE"/>
        </w:rPr>
        <w:t xml:space="preserve"> berlines de représentation</w:t>
      </w:r>
    </w:p>
    <w:p w:rsidR="00B8731F" w:rsidRDefault="00B8731F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B8731F" w:rsidRPr="00B8731F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>xx</w:t>
      </w:r>
      <w:r w:rsidR="00C41216">
        <w:rPr>
          <w:rStyle w:val="FootnoteReference"/>
          <w:rFonts w:ascii="Garamond" w:hAnsi="Garamond"/>
          <w:b/>
          <w:lang w:val="fr-BE"/>
        </w:rPr>
        <w:footnoteReference w:id="1"/>
      </w:r>
      <w:r w:rsidR="00667A5D">
        <w:rPr>
          <w:rFonts w:ascii="Garamond" w:hAnsi="Garamond"/>
          <w:lang w:val="fr-BE"/>
        </w:rPr>
        <w:t xml:space="preserve"> </w:t>
      </w:r>
      <w:r w:rsidR="00B8731F" w:rsidRPr="00B8731F">
        <w:rPr>
          <w:rFonts w:ascii="Garamond" w:hAnsi="Garamond"/>
          <w:lang w:val="fr-BE"/>
        </w:rPr>
        <w:t>bordereaux</w:t>
      </w:r>
      <w:r w:rsidR="00B8731F">
        <w:rPr>
          <w:rFonts w:ascii="Garamond" w:hAnsi="Garamond"/>
          <w:lang w:val="fr-BE"/>
        </w:rPr>
        <w:t xml:space="preserve"> obligatoires (voir liste en P</w:t>
      </w:r>
      <w:r w:rsidR="000406A9">
        <w:rPr>
          <w:rFonts w:ascii="Garamond" w:hAnsi="Garamond"/>
          <w:lang w:val="fr-BE"/>
        </w:rPr>
        <w:t>ARTIE</w:t>
      </w:r>
      <w:r w:rsidR="00B8731F">
        <w:rPr>
          <w:rFonts w:ascii="Garamond" w:hAnsi="Garamond"/>
          <w:lang w:val="fr-BE"/>
        </w:rPr>
        <w:t xml:space="preserve"> II.2 et bordereaux en P</w:t>
      </w:r>
      <w:r w:rsidR="000406A9">
        <w:rPr>
          <w:rFonts w:ascii="Garamond" w:hAnsi="Garamond"/>
          <w:lang w:val="fr-BE"/>
        </w:rPr>
        <w:t>ARTIE</w:t>
      </w:r>
      <w:r w:rsidR="00B8731F">
        <w:rPr>
          <w:rFonts w:ascii="Garamond" w:hAnsi="Garamond"/>
          <w:lang w:val="fr-BE"/>
        </w:rPr>
        <w:t xml:space="preserve"> II.3)</w:t>
      </w:r>
      <w:r w:rsidR="00025B3F">
        <w:rPr>
          <w:rFonts w:ascii="Garamond" w:hAnsi="Garamond"/>
          <w:lang w:val="fr-BE"/>
        </w:rPr>
        <w:t xml:space="preserve">, avec </w:t>
      </w:r>
      <w:r>
        <w:rPr>
          <w:rFonts w:ascii="Garamond" w:hAnsi="Garamond"/>
          <w:lang w:val="fr-BE"/>
        </w:rPr>
        <w:t>xx</w:t>
      </w:r>
      <w:r w:rsidR="00C57291">
        <w:rPr>
          <w:rFonts w:ascii="Garamond" w:hAnsi="Garamond"/>
          <w:lang w:val="fr-BE"/>
        </w:rPr>
        <w:t xml:space="preserve"> </w:t>
      </w:r>
      <w:r w:rsidR="00025B3F">
        <w:rPr>
          <w:rFonts w:ascii="Garamond" w:hAnsi="Garamond"/>
          <w:lang w:val="fr-BE"/>
        </w:rPr>
        <w:t>listes des options obligatoires dûment remplies.</w:t>
      </w:r>
    </w:p>
    <w:p w:rsidR="00B8731F" w:rsidRPr="004455BA" w:rsidRDefault="00B8731F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BF73AF" w:rsidRDefault="001A726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Bordereaux</w:t>
      </w:r>
      <w:r w:rsidR="00BF73AF" w:rsidRPr="004455BA">
        <w:rPr>
          <w:rFonts w:ascii="Garamond" w:hAnsi="Garamond"/>
          <w:b/>
          <w:lang w:val="fr-BE"/>
        </w:rPr>
        <w:t xml:space="preserve"> autres berlines pour les services</w:t>
      </w:r>
    </w:p>
    <w:p w:rsidR="000D7172" w:rsidRDefault="000D7172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0D7172" w:rsidRPr="00B8731F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>x</w:t>
      </w:r>
      <w:r w:rsidR="0077418F">
        <w:rPr>
          <w:rFonts w:ascii="Garamond" w:hAnsi="Garamond"/>
          <w:b/>
          <w:lang w:val="fr-BE"/>
        </w:rPr>
        <w:t xml:space="preserve"> </w:t>
      </w:r>
      <w:r w:rsidR="000D7172" w:rsidRPr="00B8731F">
        <w:rPr>
          <w:rFonts w:ascii="Garamond" w:hAnsi="Garamond"/>
          <w:lang w:val="fr-BE"/>
        </w:rPr>
        <w:t>bordereaux</w:t>
      </w:r>
      <w:r w:rsidR="000D7172">
        <w:rPr>
          <w:rFonts w:ascii="Garamond" w:hAnsi="Garamond"/>
          <w:lang w:val="fr-BE"/>
        </w:rPr>
        <w:t xml:space="preserve"> obligatoires </w:t>
      </w:r>
      <w:bookmarkStart w:id="3" w:name="OLE_LINK2"/>
      <w:r w:rsidR="000D7172">
        <w:rPr>
          <w:rFonts w:ascii="Garamond" w:hAnsi="Garamond"/>
          <w:lang w:val="fr-BE"/>
        </w:rPr>
        <w:t>(voir liste en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II.2 et bordereaux en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II.3)</w:t>
      </w:r>
      <w:bookmarkEnd w:id="3"/>
      <w:r w:rsidR="00025B3F">
        <w:rPr>
          <w:rFonts w:ascii="Garamond" w:hAnsi="Garamond"/>
          <w:lang w:val="fr-BE"/>
        </w:rPr>
        <w:t xml:space="preserve">, avec </w:t>
      </w:r>
      <w:r w:rsidR="00211D57">
        <w:rPr>
          <w:rFonts w:ascii="Garamond" w:hAnsi="Garamond"/>
          <w:lang w:val="fr-BE"/>
        </w:rPr>
        <w:t xml:space="preserve"> </w:t>
      </w:r>
      <w:r w:rsidR="00C625F4">
        <w:rPr>
          <w:rFonts w:ascii="Garamond" w:hAnsi="Garamond"/>
          <w:lang w:val="fr-BE"/>
        </w:rPr>
        <w:br/>
      </w:r>
      <w:r>
        <w:rPr>
          <w:rFonts w:ascii="Garamond" w:hAnsi="Garamond"/>
          <w:lang w:val="fr-BE"/>
        </w:rPr>
        <w:t>x</w:t>
      </w:r>
      <w:r w:rsidR="00025B3F">
        <w:rPr>
          <w:rFonts w:ascii="Garamond" w:hAnsi="Garamond"/>
          <w:lang w:val="fr-BE"/>
        </w:rPr>
        <w:t xml:space="preserve"> listes des options obligatoires dûment remplies.</w:t>
      </w:r>
    </w:p>
    <w:p w:rsidR="000D7172" w:rsidRDefault="000D7172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A5220A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Bordereau</w:t>
      </w:r>
      <w:r w:rsidR="001A726A">
        <w:rPr>
          <w:rFonts w:ascii="Garamond" w:hAnsi="Garamond"/>
          <w:b/>
          <w:lang w:val="fr-BE"/>
        </w:rPr>
        <w:t>x</w:t>
      </w:r>
      <w:r>
        <w:rPr>
          <w:rFonts w:ascii="Garamond" w:hAnsi="Garamond"/>
          <w:b/>
          <w:lang w:val="fr-BE"/>
        </w:rPr>
        <w:t xml:space="preserve"> </w:t>
      </w:r>
      <w:r w:rsidR="001A726A">
        <w:rPr>
          <w:rFonts w:ascii="Garamond" w:hAnsi="Garamond"/>
          <w:b/>
          <w:lang w:val="fr-BE"/>
        </w:rPr>
        <w:t>berlines de représentation - p</w:t>
      </w:r>
      <w:r w:rsidR="00AB2423">
        <w:rPr>
          <w:rFonts w:ascii="Garamond" w:hAnsi="Garamond"/>
          <w:b/>
          <w:lang w:val="fr-BE"/>
        </w:rPr>
        <w:t xml:space="preserve">arc automobile homogène </w:t>
      </w:r>
      <w:r w:rsidR="00FF3CA6">
        <w:rPr>
          <w:rFonts w:ascii="Garamond" w:hAnsi="Garamond"/>
          <w:b/>
          <w:lang w:val="fr-BE"/>
        </w:rPr>
        <w:t>(seulement pour le lot 1a)</w:t>
      </w:r>
    </w:p>
    <w:p w:rsidR="00A5220A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A5220A" w:rsidRPr="000D7172" w:rsidRDefault="001A726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>2</w:t>
      </w:r>
      <w:r w:rsidR="00A5220A" w:rsidRPr="000D7172">
        <w:rPr>
          <w:rFonts w:ascii="Garamond" w:hAnsi="Garamond"/>
          <w:lang w:val="fr-BE"/>
        </w:rPr>
        <w:t xml:space="preserve"> bordereau</w:t>
      </w:r>
      <w:r>
        <w:rPr>
          <w:rFonts w:ascii="Garamond" w:hAnsi="Garamond"/>
          <w:lang w:val="fr-BE"/>
        </w:rPr>
        <w:t>x</w:t>
      </w:r>
      <w:r w:rsidR="00A5220A" w:rsidRPr="000D7172">
        <w:rPr>
          <w:rFonts w:ascii="Garamond" w:hAnsi="Garamond"/>
          <w:lang w:val="fr-BE"/>
        </w:rPr>
        <w:t xml:space="preserve"> </w:t>
      </w:r>
      <w:r w:rsidR="00A5220A">
        <w:rPr>
          <w:rFonts w:ascii="Garamond" w:hAnsi="Garamond"/>
          <w:lang w:val="fr-BE"/>
        </w:rPr>
        <w:t>obligatoire</w:t>
      </w:r>
      <w:r>
        <w:rPr>
          <w:rFonts w:ascii="Garamond" w:hAnsi="Garamond"/>
          <w:lang w:val="fr-BE"/>
        </w:rPr>
        <w:t>s</w:t>
      </w:r>
      <w:r w:rsidR="00A5220A">
        <w:rPr>
          <w:rFonts w:ascii="Garamond" w:hAnsi="Garamond"/>
          <w:lang w:val="fr-BE"/>
        </w:rPr>
        <w:t xml:space="preserve"> (voir PARTIE II.2 et bordereaux en PARTIE II.3)</w:t>
      </w:r>
      <w:r w:rsidR="00FF3CA6">
        <w:rPr>
          <w:rFonts w:ascii="Garamond" w:hAnsi="Garamond"/>
          <w:lang w:val="fr-BE"/>
        </w:rPr>
        <w:t xml:space="preserve">. </w:t>
      </w:r>
      <w:r w:rsidR="00FF3CA6" w:rsidRPr="00FF3CA6">
        <w:rPr>
          <w:rFonts w:ascii="Garamond" w:hAnsi="Garamond"/>
          <w:i/>
          <w:lang w:val="fr-BE"/>
        </w:rPr>
        <w:t>Cette position ne concerne pas le lot 2 – Bruxelles</w:t>
      </w:r>
      <w:r w:rsidR="00FF3CA6">
        <w:rPr>
          <w:rFonts w:ascii="Garamond" w:hAnsi="Garamond"/>
          <w:lang w:val="fr-BE"/>
        </w:rPr>
        <w:t>.</w:t>
      </w:r>
    </w:p>
    <w:p w:rsidR="00A5220A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B8731F" w:rsidRDefault="00B8731F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Bordereau voiture d'attente</w:t>
      </w:r>
    </w:p>
    <w:p w:rsidR="000D7172" w:rsidRDefault="000D7172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b/>
          <w:lang w:val="fr-BE"/>
        </w:rPr>
      </w:pPr>
    </w:p>
    <w:p w:rsidR="000D7172" w:rsidRPr="000D7172" w:rsidRDefault="00EA78CB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>U</w:t>
      </w:r>
      <w:r w:rsidR="000D7172" w:rsidRPr="00193180">
        <w:rPr>
          <w:rFonts w:ascii="Garamond" w:hAnsi="Garamond"/>
          <w:b/>
          <w:lang w:val="fr-BE"/>
        </w:rPr>
        <w:t>n</w:t>
      </w:r>
      <w:r w:rsidR="000D7172" w:rsidRPr="000D7172">
        <w:rPr>
          <w:rFonts w:ascii="Garamond" w:hAnsi="Garamond"/>
          <w:lang w:val="fr-BE"/>
        </w:rPr>
        <w:t xml:space="preserve"> bordereau </w:t>
      </w:r>
      <w:r>
        <w:rPr>
          <w:rFonts w:ascii="Garamond" w:hAnsi="Garamond"/>
          <w:lang w:val="fr-BE"/>
        </w:rPr>
        <w:t xml:space="preserve">au moins </w:t>
      </w:r>
      <w:r w:rsidR="000D7172">
        <w:rPr>
          <w:rFonts w:ascii="Garamond" w:hAnsi="Garamond"/>
          <w:lang w:val="fr-BE"/>
        </w:rPr>
        <w:t>est obligatoire (voir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II.2 et bordereaux en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II.3)</w:t>
      </w:r>
    </w:p>
    <w:p w:rsidR="00BF73AF" w:rsidRDefault="00BF73AF" w:rsidP="00A5220A">
      <w:pPr>
        <w:jc w:val="both"/>
        <w:rPr>
          <w:rFonts w:ascii="Garamond" w:hAnsi="Garamond"/>
          <w:lang w:val="fr-BE"/>
        </w:rPr>
      </w:pPr>
    </w:p>
    <w:p w:rsidR="00BF73AF" w:rsidRPr="00BF73AF" w:rsidRDefault="0082343F" w:rsidP="00A5220A">
      <w:pPr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>- lot 1b</w:t>
      </w:r>
      <w:r w:rsidR="00BF73AF" w:rsidRPr="00BF73AF">
        <w:rPr>
          <w:rFonts w:ascii="Garamond" w:hAnsi="Garamond"/>
          <w:b/>
          <w:lang w:val="fr-FR"/>
        </w:rPr>
        <w:t xml:space="preserve"> </w:t>
      </w:r>
      <w:r>
        <w:rPr>
          <w:rFonts w:ascii="Garamond" w:hAnsi="Garamond"/>
          <w:b/>
          <w:lang w:val="fr-FR"/>
        </w:rPr>
        <w:t>et</w:t>
      </w:r>
      <w:r w:rsidR="00BF73AF" w:rsidRPr="00BF73AF">
        <w:rPr>
          <w:rFonts w:ascii="Garamond" w:hAnsi="Garamond"/>
          <w:b/>
          <w:lang w:val="fr-FR"/>
        </w:rPr>
        <w:t xml:space="preserve"> </w:t>
      </w:r>
      <w:r>
        <w:rPr>
          <w:rFonts w:ascii="Garamond" w:hAnsi="Garamond"/>
          <w:b/>
          <w:lang w:val="fr-FR"/>
        </w:rPr>
        <w:t>2</w:t>
      </w:r>
      <w:r w:rsidR="00BF73AF" w:rsidRPr="00BF73AF">
        <w:rPr>
          <w:rFonts w:ascii="Garamond" w:hAnsi="Garamond"/>
          <w:b/>
          <w:lang w:val="fr-FR"/>
        </w:rPr>
        <w:t>b</w:t>
      </w:r>
      <w:r>
        <w:rPr>
          <w:rFonts w:ascii="Garamond" w:hAnsi="Garamond"/>
          <w:b/>
          <w:lang w:val="fr-FR"/>
        </w:rPr>
        <w:t xml:space="preserve"> :</w:t>
      </w:r>
    </w:p>
    <w:p w:rsidR="00BF73AF" w:rsidRDefault="00BF73AF" w:rsidP="00A5220A">
      <w:pPr>
        <w:jc w:val="both"/>
        <w:rPr>
          <w:rFonts w:ascii="Garamond" w:hAnsi="Garamond"/>
          <w:lang w:val="fr-BE"/>
        </w:rPr>
      </w:pPr>
    </w:p>
    <w:p w:rsidR="000D7172" w:rsidRDefault="00A5220A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>xx</w:t>
      </w:r>
      <w:r w:rsidR="00C57291">
        <w:rPr>
          <w:rFonts w:ascii="Garamond" w:hAnsi="Garamond"/>
          <w:b/>
          <w:lang w:val="fr-BE"/>
        </w:rPr>
        <w:t xml:space="preserve"> </w:t>
      </w:r>
      <w:r w:rsidR="000D7172" w:rsidRPr="00B8731F">
        <w:rPr>
          <w:rFonts w:ascii="Garamond" w:hAnsi="Garamond"/>
          <w:lang w:val="fr-BE"/>
        </w:rPr>
        <w:t>bordereaux</w:t>
      </w:r>
      <w:r w:rsidR="000D7172">
        <w:rPr>
          <w:rFonts w:ascii="Garamond" w:hAnsi="Garamond"/>
          <w:lang w:val="fr-BE"/>
        </w:rPr>
        <w:t xml:space="preserve"> obligatoires (voir liste en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II.2 et bordereaux en P</w:t>
      </w:r>
      <w:r w:rsidR="000406A9">
        <w:rPr>
          <w:rFonts w:ascii="Garamond" w:hAnsi="Garamond"/>
          <w:lang w:val="fr-BE"/>
        </w:rPr>
        <w:t>ARTIE</w:t>
      </w:r>
      <w:r w:rsidR="000D7172">
        <w:rPr>
          <w:rFonts w:ascii="Garamond" w:hAnsi="Garamond"/>
          <w:lang w:val="fr-BE"/>
        </w:rPr>
        <w:t xml:space="preserve"> II.3)</w:t>
      </w:r>
      <w:r w:rsidR="00025B3F">
        <w:rPr>
          <w:rFonts w:ascii="Garamond" w:hAnsi="Garamond"/>
          <w:lang w:val="fr-BE"/>
        </w:rPr>
        <w:t>,</w:t>
      </w:r>
      <w:r w:rsidR="00025B3F" w:rsidRPr="00025B3F">
        <w:rPr>
          <w:rFonts w:ascii="Garamond" w:hAnsi="Garamond"/>
          <w:lang w:val="fr-BE"/>
        </w:rPr>
        <w:t xml:space="preserve"> </w:t>
      </w:r>
      <w:r w:rsidR="00025B3F">
        <w:rPr>
          <w:rFonts w:ascii="Garamond" w:hAnsi="Garamond"/>
          <w:lang w:val="fr-BE"/>
        </w:rPr>
        <w:t xml:space="preserve">avec </w:t>
      </w:r>
      <w:r>
        <w:rPr>
          <w:rFonts w:ascii="Garamond" w:hAnsi="Garamond"/>
          <w:lang w:val="fr-BE"/>
        </w:rPr>
        <w:t>xx</w:t>
      </w:r>
      <w:r w:rsidR="00025B3F">
        <w:rPr>
          <w:rFonts w:ascii="Garamond" w:hAnsi="Garamond"/>
          <w:lang w:val="fr-BE"/>
        </w:rPr>
        <w:t xml:space="preserve"> listes des options obligatoires dûment remplies.</w:t>
      </w:r>
    </w:p>
    <w:p w:rsidR="00262495" w:rsidRDefault="00262495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</w:p>
    <w:p w:rsidR="00262495" w:rsidRPr="00B8731F" w:rsidRDefault="00262495" w:rsidP="00A5220A">
      <w:pPr>
        <w:tabs>
          <w:tab w:val="left" w:pos="1701"/>
          <w:tab w:val="left" w:pos="3402"/>
          <w:tab w:val="left" w:pos="5103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Si le soumissionnaire estime qu'une erreur matérielle a été commise lors de l'élaboration des bordereaux obligatoires ou qu'une des options obligatoires ne peut pas être installée pour un des véhicules repris dans l</w:t>
      </w:r>
      <w:r w:rsidR="00A90B7E">
        <w:rPr>
          <w:rFonts w:ascii="Garamond" w:hAnsi="Garamond"/>
          <w:lang w:val="fr-BE"/>
        </w:rPr>
        <w:t>a</w:t>
      </w:r>
      <w:r w:rsidR="008C2FCB">
        <w:rPr>
          <w:rFonts w:ascii="Garamond" w:hAnsi="Garamond"/>
          <w:lang w:val="fr-BE"/>
        </w:rPr>
        <w:t xml:space="preserve"> liste</w:t>
      </w:r>
      <w:r>
        <w:rPr>
          <w:rFonts w:ascii="Garamond" w:hAnsi="Garamond"/>
          <w:lang w:val="fr-BE"/>
        </w:rPr>
        <w:t xml:space="preserve"> </w:t>
      </w:r>
      <w:r w:rsidR="00A90B7E">
        <w:rPr>
          <w:rFonts w:ascii="Garamond" w:hAnsi="Garamond"/>
          <w:lang w:val="fr-BE"/>
        </w:rPr>
        <w:t xml:space="preserve">correspondante </w:t>
      </w:r>
      <w:r>
        <w:rPr>
          <w:rFonts w:ascii="Garamond" w:hAnsi="Garamond"/>
          <w:lang w:val="fr-BE"/>
        </w:rPr>
        <w:t>du point 2</w:t>
      </w:r>
      <w:r w:rsidR="00A90B7E">
        <w:rPr>
          <w:rFonts w:ascii="Garamond" w:hAnsi="Garamond"/>
          <w:lang w:val="fr-BE"/>
        </w:rPr>
        <w:t>.</w:t>
      </w:r>
      <w:r>
        <w:rPr>
          <w:rFonts w:ascii="Garamond" w:hAnsi="Garamond"/>
          <w:lang w:val="fr-BE"/>
        </w:rPr>
        <w:t xml:space="preserve"> </w:t>
      </w:r>
      <w:proofErr w:type="gramStart"/>
      <w:r>
        <w:rPr>
          <w:rFonts w:ascii="Garamond" w:hAnsi="Garamond"/>
          <w:lang w:val="fr-BE"/>
        </w:rPr>
        <w:t>de</w:t>
      </w:r>
      <w:proofErr w:type="gramEnd"/>
      <w:r>
        <w:rPr>
          <w:rFonts w:ascii="Garamond" w:hAnsi="Garamond"/>
          <w:lang w:val="fr-BE"/>
        </w:rPr>
        <w:t xml:space="preserve"> la PARTIE II.2</w:t>
      </w:r>
      <w:r w:rsidR="00A90B7E">
        <w:rPr>
          <w:rFonts w:ascii="Garamond" w:hAnsi="Garamond"/>
          <w:lang w:val="fr-BE"/>
        </w:rPr>
        <w:t xml:space="preserve">, il doit en informer la Cour de justice par écrit sans délai, comme indiqué dans le premier paragraphe du point </w:t>
      </w:r>
      <w:r w:rsidR="00A5220A">
        <w:rPr>
          <w:rFonts w:ascii="Garamond" w:hAnsi="Garamond"/>
          <w:lang w:val="fr-BE"/>
        </w:rPr>
        <w:t>7</w:t>
      </w:r>
      <w:r w:rsidR="00A90B7E">
        <w:rPr>
          <w:rFonts w:ascii="Garamond" w:hAnsi="Garamond"/>
          <w:lang w:val="fr-BE"/>
        </w:rPr>
        <w:t xml:space="preserve">. </w:t>
      </w:r>
      <w:proofErr w:type="gramStart"/>
      <w:r w:rsidR="00A90B7E">
        <w:rPr>
          <w:rFonts w:ascii="Garamond" w:hAnsi="Garamond"/>
          <w:lang w:val="fr-BE"/>
        </w:rPr>
        <w:t>de</w:t>
      </w:r>
      <w:proofErr w:type="gramEnd"/>
      <w:r w:rsidR="00A90B7E">
        <w:rPr>
          <w:rFonts w:ascii="Garamond" w:hAnsi="Garamond"/>
          <w:lang w:val="fr-BE"/>
        </w:rPr>
        <w:t xml:space="preserve"> la PARTIE I).</w:t>
      </w:r>
    </w:p>
    <w:p w:rsidR="000D7172" w:rsidRDefault="000D7172" w:rsidP="00A5220A">
      <w:pPr>
        <w:jc w:val="both"/>
        <w:rPr>
          <w:rFonts w:ascii="Garamond" w:hAnsi="Garamond"/>
          <w:lang w:val="fr-BE"/>
        </w:rPr>
      </w:pPr>
    </w:p>
    <w:p w:rsidR="000D7172" w:rsidRPr="000D7172" w:rsidRDefault="000D7172" w:rsidP="00A5220A">
      <w:pPr>
        <w:jc w:val="both"/>
        <w:rPr>
          <w:rFonts w:ascii="Garamond" w:hAnsi="Garamond"/>
          <w:u w:val="single"/>
          <w:lang w:val="fr-FR"/>
        </w:rPr>
      </w:pPr>
      <w:r w:rsidRPr="000D7172">
        <w:rPr>
          <w:rFonts w:ascii="Garamond" w:hAnsi="Garamond"/>
          <w:u w:val="single"/>
          <w:lang w:val="fr-FR"/>
        </w:rPr>
        <w:t xml:space="preserve">Bordereaux </w:t>
      </w:r>
      <w:r>
        <w:rPr>
          <w:rFonts w:ascii="Garamond" w:hAnsi="Garamond"/>
          <w:u w:val="single"/>
          <w:lang w:val="fr-FR"/>
        </w:rPr>
        <w:t>facultatifs ou libres</w:t>
      </w:r>
    </w:p>
    <w:p w:rsidR="00BF73AF" w:rsidRDefault="00BF73AF" w:rsidP="00A5220A">
      <w:pPr>
        <w:jc w:val="both"/>
        <w:rPr>
          <w:rFonts w:ascii="Garamond" w:hAnsi="Garamond"/>
          <w:lang w:val="fr-BE"/>
        </w:rPr>
      </w:pPr>
    </w:p>
    <w:p w:rsidR="00B8731F" w:rsidRDefault="00B8731F" w:rsidP="00A5220A">
      <w:p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soumissionnaires sont libres de remettre des prix pour toute marque</w:t>
      </w:r>
      <w:r w:rsidR="007469E8">
        <w:rPr>
          <w:rFonts w:ascii="Garamond" w:hAnsi="Garamond"/>
          <w:lang w:val="fr-BE"/>
        </w:rPr>
        <w:t>/</w:t>
      </w:r>
      <w:r>
        <w:rPr>
          <w:rFonts w:ascii="Garamond" w:hAnsi="Garamond"/>
          <w:lang w:val="fr-BE"/>
        </w:rPr>
        <w:t xml:space="preserve">modèle </w:t>
      </w:r>
      <w:r w:rsidR="000649E6">
        <w:rPr>
          <w:rFonts w:ascii="Garamond" w:hAnsi="Garamond"/>
          <w:lang w:val="fr-BE"/>
        </w:rPr>
        <w:t xml:space="preserve">et options </w:t>
      </w:r>
      <w:r>
        <w:rPr>
          <w:rFonts w:ascii="Garamond" w:hAnsi="Garamond"/>
          <w:lang w:val="fr-BE"/>
        </w:rPr>
        <w:t>de leur choix</w:t>
      </w:r>
      <w:r w:rsidR="000D7172">
        <w:rPr>
          <w:rFonts w:ascii="Garamond" w:hAnsi="Garamond"/>
          <w:lang w:val="fr-BE"/>
        </w:rPr>
        <w:t xml:space="preserve"> en utilisant les bordereaux vides prévus à cet effet</w:t>
      </w:r>
      <w:r>
        <w:rPr>
          <w:rFonts w:ascii="Garamond" w:hAnsi="Garamond"/>
          <w:lang w:val="fr-BE"/>
        </w:rPr>
        <w:t>.</w:t>
      </w:r>
      <w:r w:rsidR="000D7172">
        <w:rPr>
          <w:rFonts w:ascii="Garamond" w:hAnsi="Garamond"/>
          <w:lang w:val="fr-BE"/>
        </w:rPr>
        <w:t xml:space="preserve"> Ces bordereaux ne seront néanmoins pas pris en considération pour l'évaluation financière</w:t>
      </w:r>
      <w:r w:rsidR="002861E8">
        <w:rPr>
          <w:rFonts w:ascii="Garamond" w:hAnsi="Garamond"/>
          <w:lang w:val="fr-BE"/>
        </w:rPr>
        <w:t xml:space="preserve"> au point </w:t>
      </w:r>
      <w:r w:rsidR="004A0DD2">
        <w:rPr>
          <w:rFonts w:ascii="Garamond" w:hAnsi="Garamond"/>
          <w:lang w:val="fr-BE"/>
        </w:rPr>
        <w:t>3</w:t>
      </w:r>
      <w:r w:rsidR="002861E8">
        <w:rPr>
          <w:rFonts w:ascii="Garamond" w:hAnsi="Garamond"/>
          <w:lang w:val="fr-BE"/>
        </w:rPr>
        <w:t>.</w:t>
      </w:r>
      <w:r w:rsidR="008D51CF">
        <w:rPr>
          <w:rFonts w:ascii="Garamond" w:hAnsi="Garamond"/>
          <w:lang w:val="fr-BE"/>
        </w:rPr>
        <w:t>1</w:t>
      </w:r>
      <w:r w:rsidR="000D7172">
        <w:rPr>
          <w:rFonts w:ascii="Garamond" w:hAnsi="Garamond"/>
          <w:lang w:val="fr-BE"/>
        </w:rPr>
        <w:t>.</w:t>
      </w:r>
    </w:p>
    <w:p w:rsidR="00BF73AF" w:rsidRDefault="00BF73AF" w:rsidP="00A5220A">
      <w:pPr>
        <w:jc w:val="both"/>
        <w:rPr>
          <w:rFonts w:ascii="Garamond" w:hAnsi="Garamond"/>
          <w:lang w:val="fr-BE"/>
        </w:rPr>
      </w:pPr>
    </w:p>
    <w:p w:rsidR="008E49C3" w:rsidRDefault="008E49C3" w:rsidP="00A5220A">
      <w:pPr>
        <w:jc w:val="both"/>
        <w:rPr>
          <w:rFonts w:ascii="Garamond" w:hAnsi="Garamond"/>
          <w:lang w:val="fr-BE"/>
        </w:rPr>
      </w:pPr>
    </w:p>
    <w:p w:rsidR="00EB0E83" w:rsidRPr="00663692" w:rsidRDefault="00FF3CA6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br w:type="page"/>
      </w:r>
      <w:r w:rsidR="00F84F8E">
        <w:rPr>
          <w:b/>
          <w:noProof w:val="0"/>
          <w:lang w:val="fr-FR"/>
        </w:rPr>
        <w:lastRenderedPageBreak/>
        <w:t>3</w:t>
      </w:r>
      <w:r w:rsidR="00EB0E83" w:rsidRPr="00663692">
        <w:rPr>
          <w:b/>
          <w:noProof w:val="0"/>
          <w:lang w:val="fr-FR"/>
        </w:rPr>
        <w:t>.</w:t>
      </w:r>
      <w:r w:rsidR="00EB0E83" w:rsidRPr="00663692">
        <w:rPr>
          <w:b/>
          <w:noProof w:val="0"/>
          <w:lang w:val="fr-FR"/>
        </w:rPr>
        <w:tab/>
        <w:t>Critère d'attribution :</w:t>
      </w:r>
    </w:p>
    <w:p w:rsidR="00EB0E83" w:rsidRPr="00663692" w:rsidRDefault="00EB0E83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</w:p>
    <w:p w:rsidR="00466773" w:rsidRPr="00663692" w:rsidRDefault="00892D6E" w:rsidP="00A5220A">
      <w:pPr>
        <w:pStyle w:val="TemplateBase"/>
        <w:spacing w:after="0" w:line="240" w:lineRule="auto"/>
        <w:jc w:val="both"/>
        <w:rPr>
          <w:lang w:val="fr-FR"/>
        </w:rPr>
      </w:pPr>
      <w:r w:rsidRPr="00892D6E">
        <w:rPr>
          <w:lang w:val="fr-FR"/>
        </w:rPr>
        <w:t>Attribution du marché par lot, à l'offre correspondant aux besoins de</w:t>
      </w:r>
      <w:r>
        <w:rPr>
          <w:lang w:val="fr-FR"/>
        </w:rPr>
        <w:t>s institutions</w:t>
      </w:r>
      <w:r w:rsidRPr="00892D6E">
        <w:rPr>
          <w:lang w:val="fr-FR"/>
        </w:rPr>
        <w:t xml:space="preserve">, définis dans les points </w:t>
      </w:r>
      <w:r>
        <w:rPr>
          <w:lang w:val="fr-FR"/>
        </w:rPr>
        <w:t>1 et 2</w:t>
      </w:r>
      <w:r w:rsidRPr="00892D6E">
        <w:rPr>
          <w:lang w:val="fr-FR"/>
        </w:rPr>
        <w:t xml:space="preserve"> ci-dessus et présentant le prix le plus bas tel que calculé au point 3.1.</w:t>
      </w:r>
    </w:p>
    <w:p w:rsidR="00EB0E83" w:rsidRPr="00663692" w:rsidRDefault="00EB0E83" w:rsidP="00A5220A">
      <w:pPr>
        <w:pStyle w:val="TemplateBase"/>
        <w:spacing w:after="0" w:line="240" w:lineRule="auto"/>
        <w:ind w:left="284" w:hanging="284"/>
        <w:jc w:val="both"/>
        <w:rPr>
          <w:lang w:val="fr-FR"/>
        </w:rPr>
      </w:pPr>
    </w:p>
    <w:p w:rsidR="00EB0E83" w:rsidRPr="00755A8F" w:rsidRDefault="00F84F8E" w:rsidP="00A5220A">
      <w:pPr>
        <w:pStyle w:val="Heading3"/>
        <w:spacing w:after="0" w:line="240" w:lineRule="auto"/>
        <w:jc w:val="both"/>
        <w:rPr>
          <w:lang w:val="fr-FR"/>
        </w:rPr>
      </w:pPr>
      <w:r>
        <w:rPr>
          <w:lang w:val="fr-FR"/>
        </w:rPr>
        <w:t>3</w:t>
      </w:r>
      <w:r w:rsidR="00EB0E83" w:rsidRPr="00755A8F">
        <w:rPr>
          <w:lang w:val="fr-FR"/>
        </w:rPr>
        <w:t>.</w:t>
      </w:r>
      <w:r w:rsidR="00EA33D9">
        <w:rPr>
          <w:lang w:val="fr-FR"/>
        </w:rPr>
        <w:t>1</w:t>
      </w:r>
      <w:r w:rsidR="00EB0E83" w:rsidRPr="00755A8F">
        <w:rPr>
          <w:lang w:val="fr-FR"/>
        </w:rPr>
        <w:t>.</w:t>
      </w:r>
      <w:r w:rsidR="00EB0E83" w:rsidRPr="00755A8F">
        <w:rPr>
          <w:lang w:val="fr-FR"/>
        </w:rPr>
        <w:tab/>
        <w:t>Évaluation financière</w:t>
      </w:r>
      <w:r w:rsidR="00EB0E83" w:rsidRPr="00755A8F">
        <w:rPr>
          <w:lang w:val="fr-FR"/>
        </w:rPr>
        <w:tab/>
      </w:r>
    </w:p>
    <w:p w:rsidR="00EB0E83" w:rsidRPr="00755A8F" w:rsidRDefault="00EB0E83" w:rsidP="00A5220A">
      <w:pPr>
        <w:jc w:val="both"/>
        <w:rPr>
          <w:rFonts w:ascii="Garamond" w:hAnsi="Garamond"/>
          <w:lang w:val="fr-FR"/>
        </w:rPr>
      </w:pPr>
    </w:p>
    <w:p w:rsidR="000613D5" w:rsidRPr="000613D5" w:rsidRDefault="00324354" w:rsidP="000613D5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Pour chaque lot et sous </w:t>
      </w:r>
      <w:r w:rsidR="000613D5">
        <w:rPr>
          <w:rFonts w:ascii="Garamond" w:hAnsi="Garamond"/>
          <w:lang w:val="fr-FR"/>
        </w:rPr>
        <w:t>lot,</w:t>
      </w:r>
      <w:r w:rsidR="000613D5" w:rsidRPr="000613D5">
        <w:rPr>
          <w:rFonts w:ascii="Garamond" w:hAnsi="Garamond"/>
          <w:lang w:val="fr-FR"/>
        </w:rPr>
        <w:t xml:space="preserve"> une évaluation financière est établie sur la base de la somme des coûts totaux par combinaison durée/kilométrage à laquelle s’ajoutent les prix par kilomètre supplémentaire et par kilomètre non parcouru. </w:t>
      </w:r>
    </w:p>
    <w:p w:rsidR="000613D5" w:rsidRPr="000613D5" w:rsidRDefault="000613D5" w:rsidP="000613D5">
      <w:pPr>
        <w:jc w:val="both"/>
        <w:rPr>
          <w:rFonts w:ascii="Garamond" w:hAnsi="Garamond"/>
          <w:lang w:val="fr-FR"/>
        </w:rPr>
      </w:pPr>
    </w:p>
    <w:p w:rsidR="000613D5" w:rsidRPr="000613D5" w:rsidRDefault="000613D5" w:rsidP="000613D5">
      <w:pPr>
        <w:jc w:val="both"/>
        <w:rPr>
          <w:rFonts w:ascii="Garamond" w:hAnsi="Garamond"/>
          <w:lang w:val="fr-FR"/>
        </w:rPr>
      </w:pPr>
      <w:r w:rsidRPr="000613D5">
        <w:rPr>
          <w:rFonts w:ascii="Garamond" w:hAnsi="Garamond"/>
          <w:lang w:val="fr-FR"/>
        </w:rPr>
        <w:t xml:space="preserve">Le coût total pour une combinaison durée/kilométrage se calcule comme suit: moyenne des loyers mensuels </w:t>
      </w:r>
      <w:r w:rsidR="00324354">
        <w:rPr>
          <w:rFonts w:ascii="Garamond" w:hAnsi="Garamond"/>
          <w:lang w:val="fr-FR"/>
        </w:rPr>
        <w:t xml:space="preserve">nets </w:t>
      </w:r>
      <w:r w:rsidRPr="000613D5">
        <w:rPr>
          <w:rFonts w:ascii="Garamond" w:hAnsi="Garamond"/>
          <w:lang w:val="fr-FR"/>
        </w:rPr>
        <w:t>calculés en fonction de la combinaison durée/kilométrage prévue</w:t>
      </w:r>
      <w:r>
        <w:rPr>
          <w:rFonts w:ascii="Garamond" w:hAnsi="Garamond"/>
          <w:lang w:val="fr-FR"/>
        </w:rPr>
        <w:t xml:space="preserve"> </w:t>
      </w:r>
      <w:r w:rsidR="00324354" w:rsidRPr="00755A8F">
        <w:rPr>
          <w:rFonts w:ascii="Garamond" w:hAnsi="Garamond"/>
          <w:lang w:val="fr-FR"/>
        </w:rPr>
        <w:t xml:space="preserve">dans la liste </w:t>
      </w:r>
      <w:r w:rsidR="00324354">
        <w:rPr>
          <w:rFonts w:ascii="Garamond" w:hAnsi="Garamond"/>
          <w:lang w:val="fr-FR"/>
        </w:rPr>
        <w:t xml:space="preserve">respective </w:t>
      </w:r>
      <w:r w:rsidR="00324354" w:rsidRPr="00755A8F">
        <w:rPr>
          <w:rFonts w:ascii="Garamond" w:hAnsi="Garamond"/>
          <w:lang w:val="fr-FR"/>
        </w:rPr>
        <w:t>(</w:t>
      </w:r>
      <w:r w:rsidR="00324354">
        <w:rPr>
          <w:rFonts w:ascii="Garamond" w:hAnsi="Garamond"/>
          <w:lang w:val="fr-FR"/>
        </w:rPr>
        <w:t xml:space="preserve">pour chaque sous lot, </w:t>
      </w:r>
      <w:r w:rsidR="00324354" w:rsidRPr="00755A8F">
        <w:rPr>
          <w:rFonts w:ascii="Garamond" w:hAnsi="Garamond"/>
          <w:lang w:val="fr-FR"/>
        </w:rPr>
        <w:t>chaque marque/modèle aura donc au sein de cet ensemble la même pondération)</w:t>
      </w:r>
      <w:r w:rsidR="00324354">
        <w:rPr>
          <w:rFonts w:ascii="Garamond" w:hAnsi="Garamond"/>
          <w:lang w:val="fr-FR"/>
        </w:rPr>
        <w:t xml:space="preserve"> </w:t>
      </w:r>
      <w:r w:rsidRPr="000613D5">
        <w:rPr>
          <w:rFonts w:ascii="Garamond" w:hAnsi="Garamond"/>
          <w:lang w:val="fr-FR"/>
        </w:rPr>
        <w:t>multipliée par le nombre de véhicules inclus dans cette combinaison</w:t>
      </w:r>
      <w:r w:rsidR="00173C14">
        <w:rPr>
          <w:rFonts w:ascii="Garamond" w:hAnsi="Garamond"/>
          <w:lang w:val="fr-FR"/>
        </w:rPr>
        <w:t xml:space="preserve"> (voir tableaux plus loin)</w:t>
      </w:r>
      <w:r w:rsidRPr="000613D5">
        <w:rPr>
          <w:rFonts w:ascii="Garamond" w:hAnsi="Garamond"/>
          <w:lang w:val="fr-FR"/>
        </w:rPr>
        <w:t xml:space="preserve"> et par le nombre de mois de la durée </w:t>
      </w:r>
      <w:r w:rsidR="00173C14">
        <w:rPr>
          <w:rFonts w:ascii="Garamond" w:hAnsi="Garamond"/>
          <w:lang w:val="fr-FR"/>
        </w:rPr>
        <w:t>de cette combinaison</w:t>
      </w:r>
      <w:r w:rsidRPr="000613D5">
        <w:rPr>
          <w:rFonts w:ascii="Garamond" w:hAnsi="Garamond"/>
          <w:lang w:val="fr-FR"/>
        </w:rPr>
        <w:t xml:space="preserve">. </w:t>
      </w:r>
    </w:p>
    <w:p w:rsidR="000613D5" w:rsidRPr="000613D5" w:rsidRDefault="000613D5" w:rsidP="000613D5">
      <w:pPr>
        <w:jc w:val="both"/>
        <w:rPr>
          <w:rFonts w:ascii="Garamond" w:hAnsi="Garamond"/>
          <w:lang w:val="fr-FR"/>
        </w:rPr>
      </w:pPr>
    </w:p>
    <w:p w:rsidR="000613D5" w:rsidRPr="000613D5" w:rsidRDefault="000613D5" w:rsidP="000613D5">
      <w:pPr>
        <w:jc w:val="both"/>
        <w:rPr>
          <w:rFonts w:ascii="Garamond" w:hAnsi="Garamond"/>
          <w:lang w:val="fr-FR"/>
        </w:rPr>
      </w:pPr>
      <w:r w:rsidRPr="000613D5">
        <w:rPr>
          <w:rFonts w:ascii="Garamond" w:hAnsi="Garamond"/>
          <w:lang w:val="fr-FR"/>
        </w:rPr>
        <w:t>Une moyenne est établie pour les prix par kilomètre supplémentaire et par kilomètre non parcouru. Cette moyenne est d’une part multipliée par le nombre de kilomètres supplémentaire</w:t>
      </w:r>
      <w:r w:rsidR="00324354">
        <w:rPr>
          <w:rFonts w:ascii="Garamond" w:hAnsi="Garamond"/>
          <w:lang w:val="fr-FR"/>
        </w:rPr>
        <w:t xml:space="preserve"> (5.000 km)</w:t>
      </w:r>
      <w:r w:rsidRPr="000613D5">
        <w:rPr>
          <w:rFonts w:ascii="Garamond" w:hAnsi="Garamond"/>
          <w:lang w:val="fr-FR"/>
        </w:rPr>
        <w:t xml:space="preserve"> et additionnée au total,  et d’autre part multipliée par le nombre  de kilomètres non parcourus</w:t>
      </w:r>
      <w:r w:rsidR="00324354">
        <w:rPr>
          <w:rFonts w:ascii="Garamond" w:hAnsi="Garamond"/>
          <w:lang w:val="fr-FR"/>
        </w:rPr>
        <w:t xml:space="preserve"> (5.000 km)</w:t>
      </w:r>
      <w:r w:rsidRPr="000613D5">
        <w:rPr>
          <w:rFonts w:ascii="Garamond" w:hAnsi="Garamond"/>
          <w:lang w:val="fr-FR"/>
        </w:rPr>
        <w:t xml:space="preserve"> et retranchée du coût total.  </w:t>
      </w:r>
    </w:p>
    <w:p w:rsidR="000613D5" w:rsidRDefault="000613D5" w:rsidP="000613D5">
      <w:pPr>
        <w:jc w:val="both"/>
        <w:rPr>
          <w:rFonts w:ascii="Garamond" w:hAnsi="Garamond"/>
          <w:lang w:val="fr-FR"/>
        </w:rPr>
      </w:pPr>
    </w:p>
    <w:p w:rsidR="00324354" w:rsidRDefault="00324354" w:rsidP="00324354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Pour le lot 1a – </w:t>
      </w:r>
      <w:r w:rsidR="006C7D59">
        <w:rPr>
          <w:rFonts w:ascii="Garamond" w:hAnsi="Garamond"/>
          <w:i/>
          <w:lang w:val="fr-FR"/>
        </w:rPr>
        <w:t>bordereaux parc automobile homogène</w:t>
      </w:r>
      <w:r>
        <w:rPr>
          <w:rFonts w:ascii="Garamond" w:hAnsi="Garamond"/>
          <w:lang w:val="fr-FR"/>
        </w:rPr>
        <w:t xml:space="preserve">, </w:t>
      </w:r>
      <w:r w:rsidR="006C7D59" w:rsidRPr="006C7D59">
        <w:rPr>
          <w:rFonts w:ascii="Garamond" w:hAnsi="Garamond"/>
          <w:b/>
          <w:lang w:val="fr-FR"/>
        </w:rPr>
        <w:t>29</w:t>
      </w:r>
      <w:r>
        <w:rPr>
          <w:rFonts w:ascii="Garamond" w:hAnsi="Garamond"/>
          <w:lang w:val="fr-FR"/>
        </w:rPr>
        <w:t xml:space="preserve"> voitures </w:t>
      </w:r>
      <w:r w:rsidR="006C7D59">
        <w:rPr>
          <w:rFonts w:ascii="Garamond" w:hAnsi="Garamond"/>
          <w:lang w:val="fr-FR"/>
        </w:rPr>
        <w:t xml:space="preserve">en total </w:t>
      </w:r>
      <w:r>
        <w:rPr>
          <w:rFonts w:ascii="Garamond" w:hAnsi="Garamond"/>
          <w:lang w:val="fr-FR"/>
        </w:rPr>
        <w:t>seront calculées</w:t>
      </w:r>
      <w:r w:rsidR="006C7D59">
        <w:rPr>
          <w:rFonts w:ascii="Garamond" w:hAnsi="Garamond"/>
          <w:lang w:val="fr-FR"/>
        </w:rPr>
        <w:t xml:space="preserve">. </w:t>
      </w:r>
      <w:r w:rsidR="006C7D59" w:rsidRPr="006C7D59">
        <w:rPr>
          <w:rFonts w:ascii="Garamond" w:hAnsi="Garamond"/>
          <w:b/>
          <w:lang w:val="fr-FR"/>
        </w:rPr>
        <w:t>20</w:t>
      </w:r>
      <w:r w:rsidR="006C7D59">
        <w:rPr>
          <w:rFonts w:ascii="Garamond" w:hAnsi="Garamond"/>
          <w:lang w:val="fr-FR"/>
        </w:rPr>
        <w:t xml:space="preserve"> voitures seront calculées utilisant </w:t>
      </w:r>
      <w:r>
        <w:rPr>
          <w:rFonts w:ascii="Garamond" w:hAnsi="Garamond"/>
          <w:lang w:val="fr-FR"/>
        </w:rPr>
        <w:t>la combinaison 60 mois / 150.000 km</w:t>
      </w:r>
      <w:r w:rsidR="006C7D59">
        <w:rPr>
          <w:rFonts w:ascii="Garamond" w:hAnsi="Garamond"/>
          <w:lang w:val="fr-FR"/>
        </w:rPr>
        <w:t xml:space="preserve"> et </w:t>
      </w:r>
      <w:r w:rsidR="006C7D59" w:rsidRPr="003B31D9">
        <w:rPr>
          <w:rFonts w:ascii="Garamond" w:hAnsi="Garamond"/>
          <w:b/>
          <w:lang w:val="fr-FR"/>
        </w:rPr>
        <w:t>9</w:t>
      </w:r>
      <w:r w:rsidR="006C7D59">
        <w:rPr>
          <w:rFonts w:ascii="Garamond" w:hAnsi="Garamond"/>
          <w:lang w:val="fr-FR"/>
        </w:rPr>
        <w:t xml:space="preserve"> voitures utilisant la combinaison 72 mois / 150.000 km</w:t>
      </w:r>
      <w:r>
        <w:rPr>
          <w:rFonts w:ascii="Garamond" w:hAnsi="Garamond"/>
          <w:lang w:val="fr-FR"/>
        </w:rPr>
        <w:t xml:space="preserve">. </w:t>
      </w:r>
      <w:r w:rsidR="003B31D9">
        <w:rPr>
          <w:rFonts w:ascii="Garamond" w:hAnsi="Garamond"/>
          <w:lang w:val="fr-FR"/>
        </w:rPr>
        <w:t xml:space="preserve">Ces quantités seront multipliées par la moyenne des </w:t>
      </w:r>
      <w:r w:rsidR="003B31D9" w:rsidRPr="000613D5">
        <w:rPr>
          <w:rFonts w:ascii="Garamond" w:hAnsi="Garamond"/>
          <w:lang w:val="fr-FR"/>
        </w:rPr>
        <w:t xml:space="preserve">loyers mensuels </w:t>
      </w:r>
      <w:r w:rsidR="003B31D9">
        <w:rPr>
          <w:rFonts w:ascii="Garamond" w:hAnsi="Garamond"/>
          <w:lang w:val="fr-FR"/>
        </w:rPr>
        <w:t xml:space="preserve">nets relatifs à la combinaison respective repris dans les deux bordereaux « parc automobile homogène » – un pour la motorisation hybride plug in essence et l’autre pour la motorisation essence. </w:t>
      </w:r>
      <w:r>
        <w:rPr>
          <w:rFonts w:ascii="Garamond" w:hAnsi="Garamond"/>
          <w:lang w:val="fr-FR"/>
        </w:rPr>
        <w:t>Ce nombre de voitures (</w:t>
      </w:r>
      <w:r w:rsidR="003B31D9">
        <w:rPr>
          <w:rFonts w:ascii="Garamond" w:hAnsi="Garamond"/>
          <w:lang w:val="fr-FR"/>
        </w:rPr>
        <w:t>29</w:t>
      </w:r>
      <w:r>
        <w:rPr>
          <w:rFonts w:ascii="Garamond" w:hAnsi="Garamond"/>
          <w:lang w:val="fr-FR"/>
        </w:rPr>
        <w:t xml:space="preserve">) est multiplié par 5.000 km x </w:t>
      </w:r>
      <w:r w:rsidR="003B31D9">
        <w:rPr>
          <w:rFonts w:ascii="Garamond" w:hAnsi="Garamond"/>
          <w:lang w:val="fr-FR"/>
        </w:rPr>
        <w:t>la moyenne d</w:t>
      </w:r>
      <w:r>
        <w:rPr>
          <w:rFonts w:ascii="Garamond" w:hAnsi="Garamond"/>
          <w:lang w:val="fr-FR"/>
        </w:rPr>
        <w:t>e</w:t>
      </w:r>
      <w:r w:rsidR="003B31D9">
        <w:rPr>
          <w:rFonts w:ascii="Garamond" w:hAnsi="Garamond"/>
          <w:lang w:val="fr-FR"/>
        </w:rPr>
        <w:t>s</w:t>
      </w:r>
      <w:r>
        <w:rPr>
          <w:rFonts w:ascii="Garamond" w:hAnsi="Garamond"/>
          <w:lang w:val="fr-FR"/>
        </w:rPr>
        <w:t xml:space="preserve"> prix par kilomètre supplémentaire indiqué dans le</w:t>
      </w:r>
      <w:r w:rsidR="003B31D9">
        <w:rPr>
          <w:rFonts w:ascii="Garamond" w:hAnsi="Garamond"/>
          <w:lang w:val="fr-FR"/>
        </w:rPr>
        <w:t>s</w:t>
      </w:r>
      <w:r>
        <w:rPr>
          <w:rFonts w:ascii="Garamond" w:hAnsi="Garamond"/>
          <w:lang w:val="fr-FR"/>
        </w:rPr>
        <w:t xml:space="preserve"> </w:t>
      </w:r>
      <w:r w:rsidR="003B31D9">
        <w:rPr>
          <w:rFonts w:ascii="Garamond" w:hAnsi="Garamond"/>
          <w:lang w:val="fr-FR"/>
        </w:rPr>
        <w:t xml:space="preserve">deux </w:t>
      </w:r>
      <w:r>
        <w:rPr>
          <w:rFonts w:ascii="Garamond" w:hAnsi="Garamond"/>
          <w:lang w:val="fr-FR"/>
        </w:rPr>
        <w:t>bordereau</w:t>
      </w:r>
      <w:r w:rsidR="003B31D9">
        <w:rPr>
          <w:rFonts w:ascii="Garamond" w:hAnsi="Garamond"/>
          <w:lang w:val="fr-FR"/>
        </w:rPr>
        <w:t>x de cette position</w:t>
      </w:r>
      <w:r>
        <w:rPr>
          <w:rFonts w:ascii="Garamond" w:hAnsi="Garamond"/>
          <w:lang w:val="fr-FR"/>
        </w:rPr>
        <w:t>. Le montant est additionné au précédent. Ce nombre de voitures (</w:t>
      </w:r>
      <w:r w:rsidR="003B31D9">
        <w:rPr>
          <w:rFonts w:ascii="Garamond" w:hAnsi="Garamond"/>
          <w:lang w:val="fr-FR"/>
        </w:rPr>
        <w:t>29</w:t>
      </w:r>
      <w:r>
        <w:rPr>
          <w:rFonts w:ascii="Garamond" w:hAnsi="Garamond"/>
          <w:lang w:val="fr-FR"/>
        </w:rPr>
        <w:t xml:space="preserve">) est multiplié par 5.000 km x le prix par kilomètre non parcouru indiqué </w:t>
      </w:r>
      <w:r w:rsidR="003B31D9">
        <w:rPr>
          <w:rFonts w:ascii="Garamond" w:hAnsi="Garamond"/>
          <w:lang w:val="fr-FR"/>
        </w:rPr>
        <w:t>dans les deux bordereaux de cette position</w:t>
      </w:r>
      <w:r>
        <w:rPr>
          <w:rFonts w:ascii="Garamond" w:hAnsi="Garamond"/>
          <w:lang w:val="fr-FR"/>
        </w:rPr>
        <w:t>. Le montant est soustrait du précédent.</w:t>
      </w:r>
      <w:r w:rsidR="003B31D9">
        <w:rPr>
          <w:rFonts w:ascii="Garamond" w:hAnsi="Garamond"/>
          <w:lang w:val="fr-FR"/>
        </w:rPr>
        <w:t xml:space="preserve"> </w:t>
      </w:r>
    </w:p>
    <w:p w:rsidR="00324354" w:rsidRDefault="00324354" w:rsidP="000613D5">
      <w:pPr>
        <w:jc w:val="both"/>
        <w:rPr>
          <w:rFonts w:ascii="Garamond" w:hAnsi="Garamond"/>
          <w:lang w:val="fr-FR"/>
        </w:rPr>
      </w:pPr>
    </w:p>
    <w:p w:rsidR="00324354" w:rsidRPr="00755A8F" w:rsidRDefault="00324354" w:rsidP="00324354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Pour chaque lot (1a et 2a seulement), 1</w:t>
      </w:r>
      <w:r w:rsidR="00684BA7">
        <w:rPr>
          <w:rFonts w:ascii="Garamond" w:hAnsi="Garamond"/>
          <w:lang w:val="fr-FR"/>
        </w:rPr>
        <w:t>5</w:t>
      </w:r>
      <w:r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b/>
          <w:lang w:val="fr-FR"/>
        </w:rPr>
        <w:t>voitures</w:t>
      </w:r>
      <w:r w:rsidRPr="00755A8F">
        <w:rPr>
          <w:rFonts w:ascii="Garamond" w:hAnsi="Garamond"/>
          <w:b/>
          <w:lang w:val="fr-FR"/>
        </w:rPr>
        <w:t xml:space="preserve"> d'attente</w:t>
      </w:r>
      <w:r w:rsidRPr="00755A8F"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lang w:val="fr-FR"/>
        </w:rPr>
        <w:t>seront calculées</w:t>
      </w:r>
      <w:r w:rsidR="006C7D59">
        <w:rPr>
          <w:rFonts w:ascii="Garamond" w:hAnsi="Garamond"/>
          <w:lang w:val="fr-FR"/>
        </w:rPr>
        <w:t xml:space="preserve"> et incluses dans l’évaluation financière</w:t>
      </w:r>
      <w:r>
        <w:rPr>
          <w:rFonts w:ascii="Garamond" w:hAnsi="Garamond"/>
          <w:lang w:val="fr-FR"/>
        </w:rPr>
        <w:t xml:space="preserve">. Le loyer mensuel repris dans le bordereau obligatoire correspondant sera multiplié par </w:t>
      </w:r>
      <w:r w:rsidR="006C7D59">
        <w:rPr>
          <w:rFonts w:ascii="Garamond" w:hAnsi="Garamond"/>
          <w:lang w:val="fr-FR"/>
        </w:rPr>
        <w:t>48</w:t>
      </w:r>
      <w:r>
        <w:rPr>
          <w:rFonts w:ascii="Garamond" w:hAnsi="Garamond"/>
          <w:lang w:val="fr-FR"/>
        </w:rPr>
        <w:t xml:space="preserve">. A ce total, sera ajouté le résultat de </w:t>
      </w:r>
      <w:r w:rsidR="004A7372">
        <w:rPr>
          <w:rFonts w:ascii="Garamond" w:hAnsi="Garamond"/>
          <w:lang w:val="fr-FR"/>
        </w:rPr>
        <w:t>75</w:t>
      </w:r>
      <w:r>
        <w:rPr>
          <w:rFonts w:ascii="Garamond" w:hAnsi="Garamond"/>
          <w:lang w:val="fr-FR"/>
        </w:rPr>
        <w:t>.000 km x le prix par kilomètre supplémentaire</w:t>
      </w:r>
      <w:r w:rsidR="006C68BA">
        <w:rPr>
          <w:rFonts w:ascii="Garamond" w:hAnsi="Garamond"/>
          <w:lang w:val="fr-FR"/>
        </w:rPr>
        <w:t xml:space="preserve"> (soit 5.000km par voiture)</w:t>
      </w:r>
      <w:r>
        <w:rPr>
          <w:rFonts w:ascii="Garamond" w:hAnsi="Garamond"/>
          <w:lang w:val="fr-FR"/>
        </w:rPr>
        <w:t xml:space="preserve"> et diminué celui de </w:t>
      </w:r>
      <w:r w:rsidR="004A7372">
        <w:rPr>
          <w:rFonts w:ascii="Garamond" w:hAnsi="Garamond"/>
          <w:lang w:val="fr-FR"/>
        </w:rPr>
        <w:t>75</w:t>
      </w:r>
      <w:r>
        <w:rPr>
          <w:rFonts w:ascii="Garamond" w:hAnsi="Garamond"/>
          <w:lang w:val="fr-FR"/>
        </w:rPr>
        <w:t>.000 km x le prix par kilomètre non parcouru (prix du bordereau obligatoire "voiture d'attente").</w:t>
      </w:r>
      <w:r w:rsidR="00F02337" w:rsidRPr="00F02337">
        <w:rPr>
          <w:rFonts w:ascii="Garamond" w:hAnsi="Garamond"/>
          <w:lang w:val="fr-FR"/>
        </w:rPr>
        <w:t xml:space="preserve"> </w:t>
      </w:r>
    </w:p>
    <w:p w:rsidR="00324354" w:rsidRDefault="00324354" w:rsidP="000613D5">
      <w:pPr>
        <w:jc w:val="both"/>
        <w:rPr>
          <w:rFonts w:ascii="Garamond" w:hAnsi="Garamond"/>
          <w:lang w:val="fr-FR"/>
        </w:rPr>
      </w:pPr>
    </w:p>
    <w:p w:rsidR="00324354" w:rsidRPr="00755A8F" w:rsidRDefault="00324354" w:rsidP="00324354">
      <w:pPr>
        <w:jc w:val="both"/>
        <w:rPr>
          <w:rFonts w:ascii="Garamond" w:hAnsi="Garamond"/>
          <w:lang w:val="fr-FR"/>
        </w:rPr>
      </w:pPr>
      <w:r w:rsidRPr="00755A8F">
        <w:rPr>
          <w:rFonts w:ascii="Garamond" w:hAnsi="Garamond"/>
          <w:lang w:val="fr-FR"/>
        </w:rPr>
        <w:t xml:space="preserve">Pour chaque lot, le prix global de chaque offre sera donc la somme des prix </w:t>
      </w:r>
      <w:r>
        <w:rPr>
          <w:rFonts w:ascii="Garamond" w:hAnsi="Garamond"/>
          <w:lang w:val="fr-FR"/>
        </w:rPr>
        <w:t xml:space="preserve">globaux </w:t>
      </w:r>
      <w:r w:rsidRPr="00755A8F">
        <w:rPr>
          <w:rFonts w:ascii="Garamond" w:hAnsi="Garamond"/>
          <w:lang w:val="fr-FR"/>
        </w:rPr>
        <w:t>des sous-lots</w:t>
      </w:r>
      <w:r>
        <w:rPr>
          <w:rFonts w:ascii="Garamond" w:hAnsi="Garamond"/>
          <w:lang w:val="fr-FR"/>
        </w:rPr>
        <w:t>,</w:t>
      </w:r>
      <w:r w:rsidRPr="00755A8F"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lang w:val="fr-FR"/>
        </w:rPr>
        <w:t xml:space="preserve">de celui </w:t>
      </w:r>
      <w:r w:rsidRPr="00755A8F">
        <w:rPr>
          <w:rFonts w:ascii="Garamond" w:hAnsi="Garamond"/>
          <w:lang w:val="fr-FR"/>
        </w:rPr>
        <w:t>des voitures d'attente</w:t>
      </w:r>
      <w:r>
        <w:rPr>
          <w:rFonts w:ascii="Garamond" w:hAnsi="Garamond"/>
          <w:lang w:val="fr-FR"/>
        </w:rPr>
        <w:t xml:space="preserve"> ainsi que de</w:t>
      </w:r>
      <w:r w:rsidR="00F02337">
        <w:rPr>
          <w:rFonts w:ascii="Garamond" w:hAnsi="Garamond"/>
          <w:lang w:val="fr-FR"/>
        </w:rPr>
        <w:t xml:space="preserve"> celui de la position</w:t>
      </w:r>
      <w:r>
        <w:rPr>
          <w:rFonts w:ascii="Garamond" w:hAnsi="Garamond"/>
          <w:lang w:val="fr-FR"/>
        </w:rPr>
        <w:t xml:space="preserve"> «berlines de représentation – parc homogène» pour le lot 1 - Luxembourg.</w:t>
      </w:r>
      <w:r>
        <w:rPr>
          <w:rStyle w:val="FootnoteReference"/>
          <w:rFonts w:ascii="Garamond" w:hAnsi="Garamond"/>
          <w:lang w:val="fr-FR"/>
        </w:rPr>
        <w:footnoteReference w:id="2"/>
      </w:r>
    </w:p>
    <w:p w:rsidR="00324354" w:rsidRPr="00755A8F" w:rsidRDefault="00324354" w:rsidP="00324354">
      <w:pPr>
        <w:jc w:val="both"/>
        <w:rPr>
          <w:rFonts w:ascii="Garamond" w:hAnsi="Garamond"/>
          <w:lang w:val="fr-FR"/>
        </w:rPr>
      </w:pPr>
    </w:p>
    <w:p w:rsidR="00324354" w:rsidRPr="00755A8F" w:rsidRDefault="00324354" w:rsidP="00324354">
      <w:pPr>
        <w:pStyle w:val="TemplateBase"/>
        <w:spacing w:after="0" w:line="240" w:lineRule="auto"/>
        <w:jc w:val="both"/>
        <w:rPr>
          <w:noProof w:val="0"/>
          <w:lang w:val="fr-FR"/>
        </w:rPr>
      </w:pPr>
      <w:r w:rsidRPr="00755A8F">
        <w:rPr>
          <w:noProof w:val="0"/>
          <w:lang w:val="fr-FR"/>
        </w:rPr>
        <w:t>Il est rappelé que toutes les quantités mentionnées sont données à titre purement indicatif</w:t>
      </w:r>
      <w:r>
        <w:rPr>
          <w:noProof w:val="0"/>
          <w:lang w:val="fr-FR"/>
        </w:rPr>
        <w:t xml:space="preserve"> et aux fins de la comparaison des offres</w:t>
      </w:r>
      <w:r w:rsidRPr="00755A8F">
        <w:rPr>
          <w:noProof w:val="0"/>
          <w:lang w:val="fr-FR"/>
        </w:rPr>
        <w:t>.</w:t>
      </w:r>
    </w:p>
    <w:p w:rsidR="00324354" w:rsidRPr="000613D5" w:rsidRDefault="00324354" w:rsidP="000613D5">
      <w:pPr>
        <w:jc w:val="both"/>
        <w:rPr>
          <w:rFonts w:ascii="Garamond" w:hAnsi="Garamond"/>
          <w:lang w:val="fr-FR"/>
        </w:rPr>
      </w:pPr>
    </w:p>
    <w:p w:rsidR="000613D5" w:rsidRDefault="000613D5" w:rsidP="000613D5">
      <w:pPr>
        <w:jc w:val="both"/>
        <w:rPr>
          <w:rFonts w:ascii="Garamond" w:hAnsi="Garamond"/>
          <w:lang w:val="fr-FR"/>
        </w:rPr>
      </w:pPr>
      <w:r w:rsidRPr="000613D5">
        <w:rPr>
          <w:rFonts w:ascii="Garamond" w:hAnsi="Garamond"/>
          <w:lang w:val="fr-FR"/>
        </w:rPr>
        <w:lastRenderedPageBreak/>
        <w:t xml:space="preserve">Un tableau </w:t>
      </w:r>
      <w:r w:rsidR="00173C14">
        <w:rPr>
          <w:rFonts w:ascii="Garamond" w:hAnsi="Garamond"/>
          <w:lang w:val="fr-FR"/>
        </w:rPr>
        <w:t xml:space="preserve">(sous forme de fichier Excel) </w:t>
      </w:r>
      <w:r w:rsidRPr="000613D5">
        <w:rPr>
          <w:rFonts w:ascii="Garamond" w:hAnsi="Garamond"/>
          <w:lang w:val="fr-FR"/>
        </w:rPr>
        <w:t>récapitulant les règles d’évaluation financière sera remis lors de</w:t>
      </w:r>
      <w:r w:rsidR="00173C14">
        <w:rPr>
          <w:rFonts w:ascii="Garamond" w:hAnsi="Garamond"/>
          <w:lang w:val="fr-FR"/>
        </w:rPr>
        <w:t xml:space="preserve"> l’envoi de</w:t>
      </w:r>
      <w:r w:rsidRPr="000613D5">
        <w:rPr>
          <w:rFonts w:ascii="Garamond" w:hAnsi="Garamond"/>
          <w:lang w:val="fr-FR"/>
        </w:rPr>
        <w:t>s invitations à soumissionner.</w:t>
      </w:r>
    </w:p>
    <w:p w:rsidR="000613D5" w:rsidRDefault="000613D5" w:rsidP="00A5220A">
      <w:pPr>
        <w:jc w:val="both"/>
        <w:rPr>
          <w:rFonts w:ascii="Garamond" w:hAnsi="Garamond"/>
          <w:lang w:val="fr-FR"/>
        </w:rPr>
      </w:pPr>
    </w:p>
    <w:p w:rsidR="00D92F50" w:rsidRDefault="00D92F50" w:rsidP="00A5220A">
      <w:pPr>
        <w:jc w:val="both"/>
        <w:rPr>
          <w:rFonts w:ascii="Garamond" w:hAnsi="Garamond"/>
          <w:lang w:val="fr-FR"/>
        </w:rPr>
      </w:pPr>
    </w:p>
    <w:p w:rsidR="00AB437A" w:rsidRPr="00755A8F" w:rsidRDefault="00235A0C" w:rsidP="00A5220A">
      <w:pPr>
        <w:jc w:val="both"/>
        <w:rPr>
          <w:rFonts w:ascii="Garamond" w:hAnsi="Garamond"/>
          <w:lang w:val="fr-FR"/>
        </w:rPr>
      </w:pPr>
      <w:r w:rsidRPr="00755A8F">
        <w:rPr>
          <w:rFonts w:ascii="Garamond" w:hAnsi="Garamond"/>
          <w:lang w:val="fr-FR"/>
        </w:rPr>
        <w:t xml:space="preserve">Pour le lot 1a, la distribution du nombre de véhicules par rapport aux </w:t>
      </w:r>
      <w:r w:rsidR="00173C14">
        <w:rPr>
          <w:rFonts w:ascii="Garamond" w:hAnsi="Garamond"/>
          <w:lang w:val="fr-FR"/>
        </w:rPr>
        <w:t>combinaisons durée de location/kilométrage</w:t>
      </w:r>
      <w:r w:rsidRPr="00755A8F">
        <w:rPr>
          <w:rFonts w:ascii="Garamond" w:hAnsi="Garamond"/>
          <w:lang w:val="fr-FR"/>
        </w:rPr>
        <w:t xml:space="preserve"> est la suivante:</w:t>
      </w:r>
    </w:p>
    <w:p w:rsidR="00780C52" w:rsidRPr="00C56084" w:rsidRDefault="00780C52" w:rsidP="00A5220A">
      <w:pPr>
        <w:jc w:val="both"/>
        <w:rPr>
          <w:rFonts w:ascii="Garamond" w:hAnsi="Garamond"/>
          <w:lang w:val="fr-FR"/>
        </w:rPr>
      </w:pPr>
    </w:p>
    <w:tbl>
      <w:tblPr>
        <w:tblW w:w="7836" w:type="dxa"/>
        <w:tblInd w:w="720" w:type="dxa"/>
        <w:tblLook w:val="0000" w:firstRow="0" w:lastRow="0" w:firstColumn="0" w:lastColumn="0" w:noHBand="0" w:noVBand="0"/>
      </w:tblPr>
      <w:tblGrid>
        <w:gridCol w:w="960"/>
        <w:gridCol w:w="1120"/>
        <w:gridCol w:w="1120"/>
        <w:gridCol w:w="1120"/>
        <w:gridCol w:w="1100"/>
        <w:gridCol w:w="1208"/>
        <w:gridCol w:w="1208"/>
      </w:tblGrid>
      <w:tr w:rsidR="003B5FB2" w:rsidRPr="00C56084" w:rsidTr="003B5FB2">
        <w:trPr>
          <w:trHeight w:val="315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40.000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60.000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90.000 km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120.000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135.000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150.000 km</w:t>
            </w: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24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36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48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11</w:t>
            </w: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60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40</w:t>
            </w: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72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20</w:t>
            </w:r>
          </w:p>
        </w:tc>
      </w:tr>
    </w:tbl>
    <w:p w:rsidR="00D92F50" w:rsidRPr="00C56084" w:rsidRDefault="00D92F50" w:rsidP="00A5220A">
      <w:pPr>
        <w:jc w:val="both"/>
        <w:rPr>
          <w:rFonts w:ascii="Garamond" w:hAnsi="Garamond"/>
          <w:highlight w:val="cyan"/>
          <w:lang w:val="fr-FR"/>
        </w:rPr>
      </w:pPr>
    </w:p>
    <w:p w:rsidR="00780C52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t>Pour un total d</w:t>
      </w:r>
      <w:r w:rsidR="005C0905" w:rsidRPr="00C56084">
        <w:rPr>
          <w:rFonts w:ascii="Garamond" w:hAnsi="Garamond"/>
          <w:lang w:val="fr-FR"/>
        </w:rPr>
        <w:t xml:space="preserve">e </w:t>
      </w:r>
      <w:r w:rsidR="00DE193B">
        <w:rPr>
          <w:rFonts w:ascii="Garamond" w:hAnsi="Garamond"/>
          <w:lang w:val="fr-FR"/>
        </w:rPr>
        <w:t>90</w:t>
      </w:r>
      <w:r w:rsidR="00B8218F" w:rsidRPr="00C56084">
        <w:rPr>
          <w:rFonts w:ascii="Garamond" w:hAnsi="Garamond"/>
          <w:lang w:val="fr-FR"/>
        </w:rPr>
        <w:t xml:space="preserve"> </w:t>
      </w:r>
      <w:r w:rsidR="005C0905" w:rsidRPr="00C56084">
        <w:rPr>
          <w:rFonts w:ascii="Garamond" w:hAnsi="Garamond"/>
          <w:lang w:val="fr-FR"/>
        </w:rPr>
        <w:t>voitures pour ce tableau.</w:t>
      </w:r>
      <w:r w:rsidR="00324354">
        <w:rPr>
          <w:rFonts w:ascii="Garamond" w:hAnsi="Garamond"/>
          <w:lang w:val="fr-FR"/>
        </w:rPr>
        <w:t xml:space="preserve"> Avec les 29 voitures de la position bordereau parc automobile homogène, il y aura un total de 119 voitures pour le lot 1a.</w:t>
      </w:r>
    </w:p>
    <w:p w:rsidR="00235A0C" w:rsidRPr="00C56084" w:rsidRDefault="00235A0C" w:rsidP="00A5220A">
      <w:pPr>
        <w:jc w:val="both"/>
        <w:rPr>
          <w:rFonts w:ascii="Garamond" w:hAnsi="Garamond"/>
          <w:lang w:val="fr-FR"/>
        </w:rPr>
      </w:pP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t xml:space="preserve">Pour le lot 1b, la distribution du nombre de véhicules par rapport aux </w:t>
      </w:r>
      <w:r w:rsidR="006C7D59">
        <w:rPr>
          <w:rFonts w:ascii="Garamond" w:hAnsi="Garamond"/>
          <w:lang w:val="fr-FR"/>
        </w:rPr>
        <w:t>combinaisons durée de location/kilométrage</w:t>
      </w:r>
      <w:r w:rsidR="006C7D59" w:rsidRPr="00755A8F">
        <w:rPr>
          <w:rFonts w:ascii="Garamond" w:hAnsi="Garamond"/>
          <w:lang w:val="fr-FR"/>
        </w:rPr>
        <w:t xml:space="preserve"> est la suivante</w:t>
      </w:r>
      <w:r w:rsidRPr="00C56084">
        <w:rPr>
          <w:rFonts w:ascii="Garamond" w:hAnsi="Garamond"/>
          <w:lang w:val="fr-FR"/>
        </w:rPr>
        <w:t>:</w:t>
      </w: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</w:p>
    <w:tbl>
      <w:tblPr>
        <w:tblW w:w="7836" w:type="dxa"/>
        <w:tblInd w:w="720" w:type="dxa"/>
        <w:tblLook w:val="0000" w:firstRow="0" w:lastRow="0" w:firstColumn="0" w:lastColumn="0" w:noHBand="0" w:noVBand="0"/>
      </w:tblPr>
      <w:tblGrid>
        <w:gridCol w:w="960"/>
        <w:gridCol w:w="1120"/>
        <w:gridCol w:w="1120"/>
        <w:gridCol w:w="1120"/>
        <w:gridCol w:w="1100"/>
        <w:gridCol w:w="1208"/>
        <w:gridCol w:w="1208"/>
      </w:tblGrid>
      <w:tr w:rsidR="00EA33D9" w:rsidRPr="00C56084" w:rsidTr="0098003A">
        <w:trPr>
          <w:trHeight w:val="315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40.000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60.000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90.000 km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120.000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135.000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150.000 km</w:t>
            </w: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24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36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48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60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72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D92F50" w:rsidRPr="00C56084" w:rsidRDefault="00D92F50" w:rsidP="00A5220A">
      <w:pPr>
        <w:jc w:val="both"/>
        <w:rPr>
          <w:rFonts w:ascii="Garamond" w:hAnsi="Garamond"/>
          <w:highlight w:val="cyan"/>
          <w:lang w:val="fr-FR"/>
        </w:rPr>
      </w:pP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t xml:space="preserve">Pour un total de </w:t>
      </w:r>
      <w:r w:rsidR="00DE193B">
        <w:rPr>
          <w:rFonts w:ascii="Garamond" w:hAnsi="Garamond"/>
          <w:lang w:val="fr-FR"/>
        </w:rPr>
        <w:t>22</w:t>
      </w:r>
      <w:r w:rsidR="00B8218F" w:rsidRPr="00C56084">
        <w:rPr>
          <w:rFonts w:ascii="Garamond" w:hAnsi="Garamond"/>
          <w:lang w:val="fr-FR"/>
        </w:rPr>
        <w:t xml:space="preserve"> </w:t>
      </w:r>
      <w:r w:rsidRPr="00C56084">
        <w:rPr>
          <w:rFonts w:ascii="Garamond" w:hAnsi="Garamond"/>
          <w:lang w:val="fr-FR"/>
        </w:rPr>
        <w:t>voitures pour ce tableau.</w:t>
      </w: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t xml:space="preserve">Pour le lot 2a, la distribution du nombre de véhicules par rapport </w:t>
      </w:r>
      <w:r w:rsidR="006C7D59" w:rsidRPr="00755A8F">
        <w:rPr>
          <w:rFonts w:ascii="Garamond" w:hAnsi="Garamond"/>
          <w:lang w:val="fr-FR"/>
        </w:rPr>
        <w:t xml:space="preserve">aux </w:t>
      </w:r>
      <w:r w:rsidR="006C7D59">
        <w:rPr>
          <w:rFonts w:ascii="Garamond" w:hAnsi="Garamond"/>
          <w:lang w:val="fr-FR"/>
        </w:rPr>
        <w:t>combinaisons durée de location/kilométrage</w:t>
      </w:r>
      <w:r w:rsidR="006C7D59" w:rsidRPr="00755A8F">
        <w:rPr>
          <w:rFonts w:ascii="Garamond" w:hAnsi="Garamond"/>
          <w:lang w:val="fr-FR"/>
        </w:rPr>
        <w:t xml:space="preserve"> est la suivante</w:t>
      </w:r>
      <w:r w:rsidRPr="00C56084">
        <w:rPr>
          <w:rFonts w:ascii="Garamond" w:hAnsi="Garamond"/>
          <w:lang w:val="fr-FR"/>
        </w:rPr>
        <w:t>:</w:t>
      </w:r>
    </w:p>
    <w:p w:rsidR="00B8218F" w:rsidRPr="00C56084" w:rsidRDefault="00B8218F" w:rsidP="00A5220A">
      <w:pPr>
        <w:jc w:val="both"/>
        <w:rPr>
          <w:rFonts w:ascii="Garamond" w:hAnsi="Garamond"/>
          <w:lang w:val="fr-FR"/>
        </w:rPr>
      </w:pPr>
    </w:p>
    <w:tbl>
      <w:tblPr>
        <w:tblW w:w="7836" w:type="dxa"/>
        <w:tblInd w:w="720" w:type="dxa"/>
        <w:tblLook w:val="0000" w:firstRow="0" w:lastRow="0" w:firstColumn="0" w:lastColumn="0" w:noHBand="0" w:noVBand="0"/>
      </w:tblPr>
      <w:tblGrid>
        <w:gridCol w:w="960"/>
        <w:gridCol w:w="1120"/>
        <w:gridCol w:w="1120"/>
        <w:gridCol w:w="1120"/>
        <w:gridCol w:w="1100"/>
        <w:gridCol w:w="1208"/>
        <w:gridCol w:w="1208"/>
      </w:tblGrid>
      <w:tr w:rsidR="003B5FB2" w:rsidRPr="00C56084" w:rsidTr="0098003A">
        <w:trPr>
          <w:trHeight w:val="315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40.000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60.000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90.000 km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120.000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135.000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150.000 km</w:t>
            </w: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24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20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30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57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36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48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29</w:t>
            </w: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24</w:t>
            </w: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60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B5FB2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B5FB2" w:rsidRPr="00C56084" w:rsidRDefault="003B5FB2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72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5FB2" w:rsidRPr="00C56084" w:rsidRDefault="003B5FB2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B8218F" w:rsidRPr="00C56084" w:rsidRDefault="00B8218F" w:rsidP="00A5220A">
      <w:pPr>
        <w:jc w:val="both"/>
        <w:rPr>
          <w:rFonts w:ascii="Garamond" w:hAnsi="Garamond"/>
          <w:lang w:val="fr-FR"/>
        </w:rPr>
      </w:pP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t>Pour un total d</w:t>
      </w:r>
      <w:r w:rsidR="005C0905" w:rsidRPr="00C56084">
        <w:rPr>
          <w:rFonts w:ascii="Garamond" w:hAnsi="Garamond"/>
          <w:lang w:val="fr-FR"/>
        </w:rPr>
        <w:t xml:space="preserve">e </w:t>
      </w:r>
      <w:r w:rsidR="00DE193B">
        <w:rPr>
          <w:rFonts w:ascii="Garamond" w:hAnsi="Garamond"/>
          <w:lang w:val="fr-FR"/>
        </w:rPr>
        <w:t>135</w:t>
      </w:r>
      <w:r w:rsidR="00B8218F" w:rsidRPr="00C56084">
        <w:rPr>
          <w:rFonts w:ascii="Garamond" w:hAnsi="Garamond"/>
          <w:lang w:val="fr-FR"/>
        </w:rPr>
        <w:t xml:space="preserve"> </w:t>
      </w:r>
      <w:r w:rsidR="005C0905" w:rsidRPr="00C56084">
        <w:rPr>
          <w:rFonts w:ascii="Garamond" w:hAnsi="Garamond"/>
          <w:lang w:val="fr-FR"/>
        </w:rPr>
        <w:t>voitures pour ce tableau.</w:t>
      </w: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  <w:r w:rsidRPr="00C56084">
        <w:rPr>
          <w:rFonts w:ascii="Garamond" w:hAnsi="Garamond"/>
          <w:lang w:val="fr-FR"/>
        </w:rPr>
        <w:lastRenderedPageBreak/>
        <w:t xml:space="preserve">Pour le lot 2b, la distribution du nombre de véhicules par rapport </w:t>
      </w:r>
      <w:r w:rsidR="006C7D59" w:rsidRPr="00755A8F">
        <w:rPr>
          <w:rFonts w:ascii="Garamond" w:hAnsi="Garamond"/>
          <w:lang w:val="fr-FR"/>
        </w:rPr>
        <w:t xml:space="preserve">aux </w:t>
      </w:r>
      <w:r w:rsidR="006C7D59">
        <w:rPr>
          <w:rFonts w:ascii="Garamond" w:hAnsi="Garamond"/>
          <w:lang w:val="fr-FR"/>
        </w:rPr>
        <w:t>combinaisons durée de location/kilométrage</w:t>
      </w:r>
      <w:r w:rsidR="006C7D59" w:rsidRPr="00755A8F">
        <w:rPr>
          <w:rFonts w:ascii="Garamond" w:hAnsi="Garamond"/>
          <w:lang w:val="fr-FR"/>
        </w:rPr>
        <w:t xml:space="preserve"> est la suivante</w:t>
      </w:r>
      <w:r w:rsidRPr="00C56084">
        <w:rPr>
          <w:rFonts w:ascii="Garamond" w:hAnsi="Garamond"/>
          <w:lang w:val="fr-FR"/>
        </w:rPr>
        <w:t>:</w:t>
      </w:r>
    </w:p>
    <w:p w:rsidR="00D92F50" w:rsidRPr="00C56084" w:rsidRDefault="00D92F50" w:rsidP="00A5220A">
      <w:pPr>
        <w:jc w:val="both"/>
        <w:rPr>
          <w:rFonts w:ascii="Garamond" w:hAnsi="Garamond"/>
          <w:lang w:val="fr-FR"/>
        </w:rPr>
      </w:pPr>
    </w:p>
    <w:tbl>
      <w:tblPr>
        <w:tblW w:w="7836" w:type="dxa"/>
        <w:tblInd w:w="720" w:type="dxa"/>
        <w:tblLook w:val="0000" w:firstRow="0" w:lastRow="0" w:firstColumn="0" w:lastColumn="0" w:noHBand="0" w:noVBand="0"/>
      </w:tblPr>
      <w:tblGrid>
        <w:gridCol w:w="960"/>
        <w:gridCol w:w="1120"/>
        <w:gridCol w:w="1120"/>
        <w:gridCol w:w="1120"/>
        <w:gridCol w:w="1100"/>
        <w:gridCol w:w="1208"/>
        <w:gridCol w:w="1208"/>
      </w:tblGrid>
      <w:tr w:rsidR="00EA33D9" w:rsidRPr="00C56084" w:rsidTr="0098003A">
        <w:trPr>
          <w:trHeight w:val="315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40.000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60.000 km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90.000 km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120.000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135.000 km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>150.000 km</w:t>
            </w: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24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36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48 mois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60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DE193B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A33D9" w:rsidRPr="00C56084" w:rsidTr="00DE19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A33D9" w:rsidRPr="00C56084" w:rsidRDefault="00EA33D9" w:rsidP="00A5220A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56084">
              <w:rPr>
                <w:rFonts w:ascii="Arial" w:hAnsi="Arial" w:cs="Arial"/>
                <w:sz w:val="16"/>
                <w:szCs w:val="16"/>
                <w:lang w:val="fr-FR"/>
              </w:rPr>
              <w:t xml:space="preserve"> 72 mois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33D9" w:rsidRPr="00C56084" w:rsidRDefault="00EA33D9" w:rsidP="00DE193B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D92F50" w:rsidRPr="00C56084" w:rsidRDefault="00D92F50" w:rsidP="00A5220A">
      <w:pPr>
        <w:jc w:val="both"/>
        <w:rPr>
          <w:rFonts w:ascii="Garamond" w:hAnsi="Garamond"/>
          <w:highlight w:val="cyan"/>
          <w:lang w:val="fr-FR"/>
        </w:rPr>
      </w:pPr>
    </w:p>
    <w:p w:rsidR="00D92F50" w:rsidRPr="00755A8F" w:rsidRDefault="00D92F50" w:rsidP="00A5220A">
      <w:pPr>
        <w:jc w:val="both"/>
        <w:rPr>
          <w:rFonts w:ascii="Garamond" w:hAnsi="Garamond"/>
          <w:lang w:val="fr-FR"/>
        </w:rPr>
      </w:pPr>
      <w:r w:rsidRPr="00D92F50">
        <w:rPr>
          <w:rFonts w:ascii="Garamond" w:hAnsi="Garamond"/>
          <w:lang w:val="fr-FR"/>
        </w:rPr>
        <w:t>Pour un</w:t>
      </w:r>
      <w:r>
        <w:rPr>
          <w:rFonts w:ascii="Garamond" w:hAnsi="Garamond"/>
          <w:lang w:val="fr-FR"/>
        </w:rPr>
        <w:t xml:space="preserve"> total </w:t>
      </w:r>
      <w:r w:rsidR="005C0905">
        <w:rPr>
          <w:rFonts w:ascii="Garamond" w:hAnsi="Garamond"/>
          <w:lang w:val="fr-FR"/>
        </w:rPr>
        <w:t xml:space="preserve">de </w:t>
      </w:r>
      <w:r w:rsidR="00DE193B">
        <w:rPr>
          <w:rFonts w:ascii="Garamond" w:hAnsi="Garamond"/>
          <w:lang w:val="fr-FR"/>
        </w:rPr>
        <w:t>32</w:t>
      </w:r>
      <w:r w:rsidR="00B8218F">
        <w:rPr>
          <w:rFonts w:ascii="Garamond" w:hAnsi="Garamond"/>
          <w:lang w:val="fr-FR"/>
        </w:rPr>
        <w:t xml:space="preserve"> </w:t>
      </w:r>
      <w:r w:rsidR="005C0905">
        <w:rPr>
          <w:rFonts w:ascii="Garamond" w:hAnsi="Garamond"/>
          <w:lang w:val="fr-FR"/>
        </w:rPr>
        <w:t>voitures pour ce tableau.</w:t>
      </w:r>
    </w:p>
    <w:p w:rsidR="00D92F50" w:rsidRDefault="00D92F50" w:rsidP="00A5220A">
      <w:pPr>
        <w:jc w:val="both"/>
        <w:rPr>
          <w:rFonts w:ascii="Garamond" w:hAnsi="Garamond"/>
          <w:lang w:val="fr-FR"/>
        </w:rPr>
      </w:pPr>
    </w:p>
    <w:p w:rsidR="00572497" w:rsidRDefault="00572497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</w:p>
    <w:p w:rsidR="00572497" w:rsidRDefault="00F84F8E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t>4</w:t>
      </w:r>
      <w:r w:rsidR="00572497">
        <w:rPr>
          <w:b/>
          <w:noProof w:val="0"/>
          <w:lang w:val="fr-FR"/>
        </w:rPr>
        <w:t>.</w:t>
      </w:r>
      <w:r w:rsidR="00572497">
        <w:rPr>
          <w:b/>
          <w:noProof w:val="0"/>
          <w:lang w:val="fr-FR"/>
        </w:rPr>
        <w:tab/>
        <w:t>Révision des prix :</w:t>
      </w:r>
    </w:p>
    <w:p w:rsidR="00572497" w:rsidRDefault="00572497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</w:p>
    <w:p w:rsidR="00755E82" w:rsidRDefault="009E4155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>Conformément à l’article I.5.2.2 du projet de contrat-cadre (PARTIE III), l</w:t>
      </w:r>
      <w:r w:rsidR="00755E82" w:rsidRPr="006534E0">
        <w:rPr>
          <w:noProof w:val="0"/>
          <w:lang w:val="fr-FR"/>
        </w:rPr>
        <w:t>es commandes sont passées au tarif en vigueur à la date de la signature de la commande. Le prix de location de chaque véhicule est fixe et non révisable pour toute la durée contractuelle de location.</w:t>
      </w:r>
    </w:p>
    <w:p w:rsidR="00681128" w:rsidRDefault="00681128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681128" w:rsidRPr="00681128" w:rsidRDefault="00681128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 xml:space="preserve">Les prix pour chaque commande évolueront pendant la durée du contrat-cadre selon l'évolution des prix net des véhicules </w:t>
      </w:r>
      <w:r w:rsidRPr="00681128">
        <w:rPr>
          <w:i/>
          <w:noProof w:val="0"/>
          <w:lang w:val="fr-FR"/>
        </w:rPr>
        <w:t>(voir l'article I.</w:t>
      </w:r>
      <w:r w:rsidR="009E4155">
        <w:rPr>
          <w:i/>
          <w:noProof w:val="0"/>
          <w:lang w:val="fr-FR"/>
        </w:rPr>
        <w:t>5.2.4</w:t>
      </w:r>
      <w:r w:rsidRPr="00681128">
        <w:rPr>
          <w:i/>
          <w:noProof w:val="0"/>
          <w:lang w:val="fr-FR"/>
        </w:rPr>
        <w:t xml:space="preserve"> du projet de contrat à </w:t>
      </w:r>
      <w:r w:rsidR="009E4155">
        <w:rPr>
          <w:i/>
          <w:noProof w:val="0"/>
          <w:lang w:val="fr-FR"/>
        </w:rPr>
        <w:t xml:space="preserve">la </w:t>
      </w:r>
      <w:r w:rsidRPr="00681128">
        <w:rPr>
          <w:i/>
          <w:noProof w:val="0"/>
          <w:lang w:val="fr-FR"/>
        </w:rPr>
        <w:t>P</w:t>
      </w:r>
      <w:r w:rsidR="000406A9">
        <w:rPr>
          <w:i/>
          <w:noProof w:val="0"/>
          <w:lang w:val="fr-FR"/>
        </w:rPr>
        <w:t>ARTIE</w:t>
      </w:r>
      <w:r w:rsidRPr="00681128">
        <w:rPr>
          <w:i/>
          <w:noProof w:val="0"/>
          <w:lang w:val="fr-FR"/>
        </w:rPr>
        <w:t xml:space="preserve"> III</w:t>
      </w:r>
      <w:r>
        <w:rPr>
          <w:i/>
          <w:noProof w:val="0"/>
          <w:lang w:val="fr-FR"/>
        </w:rPr>
        <w:t>)</w:t>
      </w:r>
      <w:r>
        <w:rPr>
          <w:noProof w:val="0"/>
          <w:lang w:val="fr-FR"/>
        </w:rPr>
        <w:t xml:space="preserve"> et ceci dès la fin de la validité de l'offre retenue.</w:t>
      </w:r>
    </w:p>
    <w:p w:rsidR="00755E82" w:rsidRDefault="00755E82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572497" w:rsidRDefault="00681128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 xml:space="preserve">Par conséquent, il </w:t>
      </w:r>
      <w:r w:rsidR="009E4155">
        <w:rPr>
          <w:noProof w:val="0"/>
          <w:lang w:val="fr-FR"/>
        </w:rPr>
        <w:t>convient de</w:t>
      </w:r>
      <w:r>
        <w:rPr>
          <w:noProof w:val="0"/>
          <w:lang w:val="fr-FR"/>
        </w:rPr>
        <w:t xml:space="preserve"> noter que les évolutions des prix peuvent se faire vers la hausse ou vers la baisse.</w:t>
      </w:r>
    </w:p>
    <w:p w:rsidR="00B37653" w:rsidRDefault="00B3765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572497" w:rsidRDefault="00572497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</w:p>
    <w:p w:rsidR="00EB0E83" w:rsidRDefault="00F84F8E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t>5</w:t>
      </w:r>
      <w:r w:rsidR="00EB0E83">
        <w:rPr>
          <w:b/>
          <w:noProof w:val="0"/>
          <w:lang w:val="fr-FR"/>
        </w:rPr>
        <w:t>.</w:t>
      </w:r>
      <w:r w:rsidR="00EB0E83">
        <w:rPr>
          <w:b/>
          <w:noProof w:val="0"/>
          <w:lang w:val="fr-FR"/>
        </w:rPr>
        <w:tab/>
        <w:t>Durée des contrats :</w:t>
      </w:r>
    </w:p>
    <w:p w:rsidR="00EB0E83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EB0E83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 xml:space="preserve">Le contrat-cadre prendra effet à la date de la dernière signature par les parties contractantes. Il aura une durée initiale </w:t>
      </w:r>
      <w:r w:rsidR="000D6AF5">
        <w:rPr>
          <w:noProof w:val="0"/>
          <w:lang w:val="fr-FR"/>
        </w:rPr>
        <w:t xml:space="preserve">de </w:t>
      </w:r>
      <w:r w:rsidR="0063129B">
        <w:rPr>
          <w:noProof w:val="0"/>
          <w:lang w:val="fr-FR"/>
        </w:rPr>
        <w:t>2 ans</w:t>
      </w:r>
      <w:r>
        <w:rPr>
          <w:noProof w:val="0"/>
          <w:lang w:val="fr-FR"/>
        </w:rPr>
        <w:t>, avec possibilité de reconduction à deux reprises pour un an (durée</w:t>
      </w:r>
      <w:r w:rsidR="0067067F">
        <w:rPr>
          <w:noProof w:val="0"/>
          <w:lang w:val="fr-FR"/>
        </w:rPr>
        <w:t xml:space="preserve"> totale maximale du contrat</w:t>
      </w:r>
      <w:r w:rsidR="00832D98">
        <w:rPr>
          <w:noProof w:val="0"/>
          <w:lang w:val="fr-FR"/>
        </w:rPr>
        <w:t>-cadre</w:t>
      </w:r>
      <w:r w:rsidR="0067067F">
        <w:rPr>
          <w:noProof w:val="0"/>
          <w:lang w:val="fr-FR"/>
        </w:rPr>
        <w:t xml:space="preserve"> : 4 </w:t>
      </w:r>
      <w:r>
        <w:rPr>
          <w:noProof w:val="0"/>
          <w:lang w:val="fr-FR"/>
        </w:rPr>
        <w:t xml:space="preserve">ans). </w:t>
      </w:r>
    </w:p>
    <w:p w:rsidR="00EB0E83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264C5B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 w:rsidRPr="0063129B">
        <w:rPr>
          <w:noProof w:val="0"/>
          <w:lang w:val="fr-FR"/>
        </w:rPr>
        <w:t xml:space="preserve">Les </w:t>
      </w:r>
      <w:r w:rsidR="00832D98">
        <w:rPr>
          <w:noProof w:val="0"/>
          <w:lang w:val="fr-FR"/>
        </w:rPr>
        <w:t xml:space="preserve">commandes ou </w:t>
      </w:r>
      <w:r w:rsidRPr="0063129B">
        <w:rPr>
          <w:noProof w:val="0"/>
          <w:lang w:val="fr-FR"/>
        </w:rPr>
        <w:t xml:space="preserve">contrats spécifiques auront une durée </w:t>
      </w:r>
      <w:r w:rsidR="009E4155" w:rsidRPr="009E4155">
        <w:rPr>
          <w:noProof w:val="0"/>
          <w:lang w:val="fr-FR"/>
        </w:rPr>
        <w:t>de 24, 30 (pour le lot 2a – Bruxelles - berlines de représentation), 36, 48, 60 ou 72 mois</w:t>
      </w:r>
      <w:r w:rsidR="009E4155">
        <w:rPr>
          <w:noProof w:val="0"/>
          <w:lang w:val="fr-FR"/>
        </w:rPr>
        <w:t xml:space="preserve">. </w:t>
      </w:r>
      <w:r w:rsidR="009E4155" w:rsidRPr="009E4155">
        <w:rPr>
          <w:noProof w:val="0"/>
          <w:lang w:val="fr-FR"/>
        </w:rPr>
        <w:t xml:space="preserve"> </w:t>
      </w:r>
      <w:r w:rsidR="009E4155">
        <w:rPr>
          <w:noProof w:val="0"/>
          <w:lang w:val="fr-FR"/>
        </w:rPr>
        <w:t xml:space="preserve">Les kilométrages contractuels seront </w:t>
      </w:r>
      <w:r w:rsidR="009E4155" w:rsidRPr="009E4155">
        <w:rPr>
          <w:noProof w:val="0"/>
          <w:lang w:val="fr-FR"/>
        </w:rPr>
        <w:t>de 40.000, 60.000, 90.000, 120.000, 135.000 ou 150.000 km.</w:t>
      </w:r>
    </w:p>
    <w:p w:rsidR="00264C5B" w:rsidRDefault="00264C5B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972449" w:rsidRPr="000565DE" w:rsidRDefault="00972449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>Le remplacement anticipé du véhicule ou l'adaptation des paramètres de durée ou de kilométrage  initiaux de la commande sont définis à l'article I.</w:t>
      </w:r>
      <w:r w:rsidR="005637F2">
        <w:rPr>
          <w:noProof w:val="0"/>
          <w:lang w:val="fr-FR"/>
        </w:rPr>
        <w:t>5.2.3</w:t>
      </w:r>
      <w:r>
        <w:rPr>
          <w:noProof w:val="0"/>
          <w:lang w:val="fr-FR"/>
        </w:rPr>
        <w:t xml:space="preserve"> du projet de contrat-cadre (P</w:t>
      </w:r>
      <w:r w:rsidR="000406A9">
        <w:rPr>
          <w:noProof w:val="0"/>
          <w:lang w:val="fr-FR"/>
        </w:rPr>
        <w:t>ARTIE</w:t>
      </w:r>
      <w:r>
        <w:rPr>
          <w:noProof w:val="0"/>
          <w:lang w:val="fr-FR"/>
        </w:rPr>
        <w:t xml:space="preserve"> III).</w:t>
      </w:r>
    </w:p>
    <w:p w:rsidR="00972449" w:rsidRDefault="00972449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EB0E83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>
        <w:rPr>
          <w:noProof w:val="0"/>
          <w:lang w:val="fr-FR"/>
        </w:rPr>
        <w:t xml:space="preserve">Le contrat-cadre continuera à produire ses effets sur les </w:t>
      </w:r>
      <w:r w:rsidR="00832D98">
        <w:rPr>
          <w:noProof w:val="0"/>
          <w:lang w:val="fr-FR"/>
        </w:rPr>
        <w:t xml:space="preserve">commandes ou </w:t>
      </w:r>
      <w:r>
        <w:rPr>
          <w:noProof w:val="0"/>
          <w:lang w:val="fr-FR"/>
        </w:rPr>
        <w:t>contrats spécifiques encore en vigueur à son échéance.</w:t>
      </w:r>
    </w:p>
    <w:p w:rsidR="00832D98" w:rsidRDefault="00832D98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EB0E83" w:rsidRDefault="00F84F8E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t>6</w:t>
      </w:r>
      <w:r w:rsidR="00EB0E83">
        <w:rPr>
          <w:b/>
          <w:noProof w:val="0"/>
          <w:lang w:val="fr-FR"/>
        </w:rPr>
        <w:t>.</w:t>
      </w:r>
      <w:r w:rsidR="00EB0E83">
        <w:rPr>
          <w:b/>
          <w:noProof w:val="0"/>
          <w:lang w:val="fr-FR"/>
        </w:rPr>
        <w:tab/>
        <w:t>Modalités de paiement :</w:t>
      </w:r>
    </w:p>
    <w:p w:rsidR="00EB0E83" w:rsidRDefault="00EB0E83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0D6AF5" w:rsidRDefault="000D6AF5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  <w:r w:rsidRPr="007B3394">
        <w:rPr>
          <w:lang w:val="fr-FR"/>
        </w:rPr>
        <w:t xml:space="preserve">Les paiements s’effectueront </w:t>
      </w:r>
      <w:r w:rsidRPr="007B3394">
        <w:rPr>
          <w:spacing w:val="-2"/>
          <w:lang w:val="fr-FR"/>
        </w:rPr>
        <w:t xml:space="preserve">dans un délai maximum de </w:t>
      </w:r>
      <w:r w:rsidRPr="007B3394">
        <w:rPr>
          <w:b/>
          <w:lang w:val="fr-FR"/>
        </w:rPr>
        <w:t>30</w:t>
      </w:r>
      <w:r w:rsidRPr="007B3394">
        <w:rPr>
          <w:lang w:val="fr-FR"/>
        </w:rPr>
        <w:t xml:space="preserve"> jours calendrier à compter de la date d'enregistrement d'une demande de paiement recevable par le service habilité de l'ordonnateur compétent, conformément a</w:t>
      </w:r>
      <w:r>
        <w:rPr>
          <w:lang w:val="fr-FR"/>
        </w:rPr>
        <w:t>ux dispositions de l’article I.</w:t>
      </w:r>
      <w:r w:rsidR="005637F2">
        <w:rPr>
          <w:lang w:val="fr-FR"/>
        </w:rPr>
        <w:t>6</w:t>
      </w:r>
      <w:r>
        <w:rPr>
          <w:lang w:val="fr-FR"/>
        </w:rPr>
        <w:t>.</w:t>
      </w:r>
      <w:r w:rsidR="00C13A1A">
        <w:rPr>
          <w:lang w:val="fr-FR"/>
        </w:rPr>
        <w:t>3</w:t>
      </w:r>
      <w:r w:rsidRPr="007B3394">
        <w:rPr>
          <w:lang w:val="fr-FR"/>
        </w:rPr>
        <w:t xml:space="preserve"> du projet de contrat joint en </w:t>
      </w:r>
      <w:r w:rsidR="000406A9">
        <w:rPr>
          <w:lang w:val="fr-FR"/>
        </w:rPr>
        <w:t xml:space="preserve">PARTIE </w:t>
      </w:r>
      <w:r>
        <w:rPr>
          <w:lang w:val="fr-FR"/>
        </w:rPr>
        <w:t>III</w:t>
      </w:r>
      <w:r w:rsidRPr="007B3394">
        <w:rPr>
          <w:lang w:val="fr-FR"/>
        </w:rPr>
        <w:t>.</w:t>
      </w:r>
    </w:p>
    <w:p w:rsidR="000D6AF5" w:rsidRDefault="000D6AF5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0B4439" w:rsidRDefault="000B4439" w:rsidP="00A5220A">
      <w:pPr>
        <w:pStyle w:val="TemplateBase"/>
        <w:spacing w:after="0" w:line="240" w:lineRule="auto"/>
        <w:jc w:val="both"/>
        <w:rPr>
          <w:noProof w:val="0"/>
          <w:lang w:val="fr-FR"/>
        </w:rPr>
      </w:pPr>
    </w:p>
    <w:p w:rsidR="004D5BEC" w:rsidRDefault="00F84F8E" w:rsidP="00A5220A">
      <w:pPr>
        <w:pStyle w:val="TemplateBase"/>
        <w:spacing w:after="0" w:line="240" w:lineRule="auto"/>
        <w:ind w:left="284" w:hanging="284"/>
        <w:jc w:val="both"/>
        <w:rPr>
          <w:b/>
          <w:noProof w:val="0"/>
          <w:lang w:val="fr-FR"/>
        </w:rPr>
      </w:pPr>
      <w:r>
        <w:rPr>
          <w:b/>
          <w:noProof w:val="0"/>
          <w:lang w:val="fr-FR"/>
        </w:rPr>
        <w:t>7</w:t>
      </w:r>
      <w:r w:rsidR="004D5BEC">
        <w:rPr>
          <w:b/>
          <w:noProof w:val="0"/>
          <w:lang w:val="fr-FR"/>
        </w:rPr>
        <w:t>.</w:t>
      </w:r>
      <w:r w:rsidR="004D5BEC">
        <w:rPr>
          <w:b/>
          <w:noProof w:val="0"/>
          <w:lang w:val="fr-FR"/>
        </w:rPr>
        <w:tab/>
        <w:t>Démarches concernant seulement le soumissionnaire à qui le marché sera attribué:</w:t>
      </w:r>
    </w:p>
    <w:p w:rsidR="004D5BEC" w:rsidRDefault="004D5BEC" w:rsidP="00A5220A">
      <w:pPr>
        <w:jc w:val="both"/>
        <w:rPr>
          <w:rFonts w:ascii="Garamond" w:hAnsi="Garamond"/>
          <w:lang w:val="fr-FR"/>
        </w:rPr>
      </w:pPr>
    </w:p>
    <w:p w:rsidR="004D5BEC" w:rsidRPr="004D5BEC" w:rsidRDefault="00F84F8E" w:rsidP="00A5220A">
      <w:pPr>
        <w:jc w:val="both"/>
        <w:rPr>
          <w:rFonts w:ascii="Garamond" w:hAnsi="Garamond"/>
          <w:smallCaps/>
          <w:lang w:val="fr-FR"/>
        </w:rPr>
      </w:pPr>
      <w:r>
        <w:rPr>
          <w:rFonts w:ascii="Garamond" w:hAnsi="Garamond"/>
          <w:smallCaps/>
          <w:lang w:val="fr-FR"/>
        </w:rPr>
        <w:t>7</w:t>
      </w:r>
      <w:r w:rsidR="004D5BEC" w:rsidRPr="004D5BEC">
        <w:rPr>
          <w:rFonts w:ascii="Garamond" w:hAnsi="Garamond"/>
          <w:smallCaps/>
          <w:lang w:val="fr-FR"/>
        </w:rPr>
        <w:t>.1</w:t>
      </w:r>
      <w:r w:rsidR="004D5BEC" w:rsidRPr="004D5BEC">
        <w:rPr>
          <w:rFonts w:ascii="Garamond" w:hAnsi="Garamond"/>
          <w:smallCaps/>
          <w:lang w:val="fr-FR"/>
        </w:rPr>
        <w:tab/>
        <w:t xml:space="preserve">Preuves confirmant la déclaration sur </w:t>
      </w:r>
      <w:r w:rsidR="001C35C5" w:rsidRPr="004D5BEC">
        <w:rPr>
          <w:rFonts w:ascii="Garamond" w:hAnsi="Garamond"/>
          <w:smallCaps/>
          <w:lang w:val="fr-FR"/>
        </w:rPr>
        <w:t>l'ho</w:t>
      </w:r>
      <w:r w:rsidR="001C35C5">
        <w:rPr>
          <w:rFonts w:ascii="Garamond" w:hAnsi="Garamond"/>
          <w:smallCaps/>
          <w:lang w:val="fr-FR"/>
        </w:rPr>
        <w:t>nn</w:t>
      </w:r>
      <w:r w:rsidR="001C35C5" w:rsidRPr="004D5BEC">
        <w:rPr>
          <w:rFonts w:ascii="Garamond" w:hAnsi="Garamond"/>
          <w:smallCaps/>
          <w:lang w:val="fr-FR"/>
        </w:rPr>
        <w:t>eur</w:t>
      </w:r>
      <w:r w:rsidR="004D5BEC" w:rsidRPr="004D5BEC">
        <w:rPr>
          <w:rFonts w:ascii="Garamond" w:hAnsi="Garamond"/>
          <w:smallCaps/>
          <w:lang w:val="fr-FR"/>
        </w:rPr>
        <w:t>:</w:t>
      </w:r>
    </w:p>
    <w:p w:rsidR="004D5BEC" w:rsidRDefault="004D5BEC" w:rsidP="00A5220A">
      <w:pPr>
        <w:jc w:val="both"/>
        <w:rPr>
          <w:rFonts w:ascii="Garamond" w:hAnsi="Garamond"/>
          <w:lang w:val="fr-FR"/>
        </w:rPr>
      </w:pPr>
    </w:p>
    <w:p w:rsidR="00D53FA7" w:rsidRDefault="004D5BEC" w:rsidP="00A5220A">
      <w:pPr>
        <w:spacing w:after="120"/>
        <w:jc w:val="both"/>
        <w:rPr>
          <w:rFonts w:ascii="Garamond" w:hAnsi="Garamond" w:cs="50Ea7a6arial"/>
          <w:lang w:val="fr-FR"/>
        </w:rPr>
      </w:pPr>
      <w:r>
        <w:rPr>
          <w:rFonts w:ascii="Garamond" w:hAnsi="Garamond"/>
          <w:lang w:val="fr-FR"/>
        </w:rPr>
        <w:t xml:space="preserve">Tel qu'indiqué dans l'avis de </w:t>
      </w:r>
      <w:r w:rsidRPr="002900AB">
        <w:rPr>
          <w:rFonts w:ascii="Garamond" w:hAnsi="Garamond"/>
          <w:lang w:val="fr-FR"/>
        </w:rPr>
        <w:t xml:space="preserve">marché </w:t>
      </w:r>
      <w:r w:rsidRPr="002900AB">
        <w:rPr>
          <w:rFonts w:ascii="Garamond" w:hAnsi="Garamond"/>
          <w:sz w:val="22"/>
          <w:szCs w:val="22"/>
          <w:lang w:val="fr-FR"/>
        </w:rPr>
        <w:t xml:space="preserve">n° </w:t>
      </w:r>
      <w:r w:rsidR="00490681" w:rsidRPr="00490681">
        <w:rPr>
          <w:rFonts w:ascii="Garamond" w:hAnsi="Garamond"/>
          <w:sz w:val="22"/>
          <w:szCs w:val="22"/>
          <w:lang w:val="fr-FR"/>
        </w:rPr>
        <w:t>S 221-402415 du 16/11/2016</w:t>
      </w:r>
      <w:r>
        <w:rPr>
          <w:sz w:val="22"/>
          <w:szCs w:val="22"/>
          <w:lang w:val="fr-FR"/>
        </w:rPr>
        <w:t xml:space="preserve">, </w:t>
      </w:r>
      <w:r w:rsidRPr="0038066C">
        <w:rPr>
          <w:rFonts w:ascii="Garamond" w:hAnsi="Garamond" w:cs="50Ea7a6arial"/>
          <w:lang w:val="fr-FR"/>
        </w:rPr>
        <w:t>le soumissionnaire à qui le marché sera attribué fournira, sous peine d'exclusion, dans le délai défini</w:t>
      </w:r>
      <w:r>
        <w:rPr>
          <w:rFonts w:ascii="Garamond" w:hAnsi="Garamond" w:cs="50Ea7a6arial"/>
          <w:lang w:val="fr-FR"/>
        </w:rPr>
        <w:t xml:space="preserve"> </w:t>
      </w:r>
      <w:r w:rsidRPr="0038066C">
        <w:rPr>
          <w:rFonts w:ascii="Garamond" w:hAnsi="Garamond" w:cs="50Ea7a6arial"/>
          <w:lang w:val="fr-FR"/>
        </w:rPr>
        <w:t>par écrit par le pouvoir adjudicateur et avant la signature du contrat, les preuves confirmant sa déclaration sur</w:t>
      </w:r>
      <w:r>
        <w:rPr>
          <w:rFonts w:ascii="Garamond" w:hAnsi="Garamond" w:cs="50Ea7a6arial"/>
          <w:lang w:val="fr-FR"/>
        </w:rPr>
        <w:t xml:space="preserve"> </w:t>
      </w:r>
      <w:r w:rsidRPr="0038066C">
        <w:rPr>
          <w:rFonts w:ascii="Garamond" w:hAnsi="Garamond" w:cs="50Ea7a6arial"/>
          <w:lang w:val="fr-FR"/>
        </w:rPr>
        <w:t>l'honneur</w:t>
      </w:r>
      <w:r w:rsidR="00D53FA7">
        <w:rPr>
          <w:rFonts w:ascii="Garamond" w:hAnsi="Garamond" w:cs="50Ea7a6arial"/>
          <w:lang w:val="fr-FR"/>
        </w:rPr>
        <w:t>.</w:t>
      </w:r>
    </w:p>
    <w:p w:rsidR="004D5BEC" w:rsidRPr="0038066C" w:rsidRDefault="004D5BEC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lang w:val="fr-FR"/>
        </w:rPr>
      </w:pPr>
      <w:r>
        <w:rPr>
          <w:rFonts w:ascii="Garamond" w:hAnsi="Garamond" w:cs="50Ea7a6arial"/>
          <w:lang w:val="fr-FR"/>
        </w:rPr>
        <w:t>E</w:t>
      </w:r>
      <w:r w:rsidRPr="0038066C">
        <w:rPr>
          <w:rFonts w:ascii="Garamond" w:hAnsi="Garamond" w:cs="50Ea7a6arial"/>
          <w:lang w:val="fr-FR"/>
        </w:rPr>
        <w:t>n cas de groupement, les documents et renseignements</w:t>
      </w:r>
      <w:r>
        <w:rPr>
          <w:rFonts w:ascii="Garamond" w:hAnsi="Garamond" w:cs="50Ea7a6arial"/>
          <w:lang w:val="fr-FR"/>
        </w:rPr>
        <w:t xml:space="preserve"> </w:t>
      </w:r>
      <w:r w:rsidRPr="0038066C">
        <w:rPr>
          <w:rFonts w:ascii="Garamond" w:hAnsi="Garamond" w:cs="50Ea7a6arial"/>
          <w:lang w:val="fr-FR"/>
        </w:rPr>
        <w:t>probants en cas d'attribution du marché, doivent être fournis individuellement pour chaque membre du</w:t>
      </w:r>
      <w:r>
        <w:rPr>
          <w:rFonts w:ascii="Garamond" w:hAnsi="Garamond" w:cs="50Ea7a6arial"/>
          <w:lang w:val="fr-FR"/>
        </w:rPr>
        <w:t xml:space="preserve"> </w:t>
      </w:r>
      <w:r w:rsidRPr="0038066C">
        <w:rPr>
          <w:rFonts w:ascii="Garamond" w:hAnsi="Garamond" w:cs="50Ea7a6arial"/>
          <w:lang w:val="fr-FR"/>
        </w:rPr>
        <w:t>groupement.</w:t>
      </w:r>
    </w:p>
    <w:p w:rsidR="004D5BEC" w:rsidRPr="0038066C" w:rsidRDefault="004D5BEC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lang w:val="fr-FR"/>
        </w:rPr>
      </w:pPr>
    </w:p>
    <w:p w:rsidR="004D5BEC" w:rsidRDefault="00F84F8E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smallCaps/>
          <w:lang w:val="fr-FR"/>
        </w:rPr>
      </w:pPr>
      <w:r>
        <w:rPr>
          <w:rFonts w:ascii="Garamond" w:hAnsi="Garamond" w:cs="50Ea7a6arial"/>
          <w:smallCaps/>
          <w:lang w:val="fr-FR"/>
        </w:rPr>
        <w:t>7</w:t>
      </w:r>
      <w:r w:rsidR="004D5BEC">
        <w:rPr>
          <w:rFonts w:ascii="Garamond" w:hAnsi="Garamond" w:cs="50Ea7a6arial"/>
          <w:smallCaps/>
          <w:lang w:val="fr-FR"/>
        </w:rPr>
        <w:t>.2</w:t>
      </w:r>
      <w:r w:rsidR="004D5BEC">
        <w:rPr>
          <w:rFonts w:ascii="Garamond" w:hAnsi="Garamond" w:cs="50Ea7a6arial"/>
          <w:smallCaps/>
          <w:lang w:val="fr-FR"/>
        </w:rPr>
        <w:tab/>
        <w:t>Fiche signalétique financière et Fiche entité légale:</w:t>
      </w:r>
    </w:p>
    <w:p w:rsidR="004D5BEC" w:rsidRDefault="004D5BEC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smallCaps/>
          <w:lang w:val="fr-FR"/>
        </w:rPr>
      </w:pPr>
    </w:p>
    <w:p w:rsidR="00606049" w:rsidRDefault="004D5BEC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lang w:val="fr-FR"/>
        </w:rPr>
      </w:pPr>
      <w:r>
        <w:rPr>
          <w:rFonts w:ascii="Garamond" w:hAnsi="Garamond" w:cs="50Ea7a6arial"/>
          <w:lang w:val="fr-FR"/>
        </w:rPr>
        <w:t>L</w:t>
      </w:r>
      <w:r w:rsidRPr="0038066C">
        <w:rPr>
          <w:rFonts w:ascii="Garamond" w:hAnsi="Garamond" w:cs="50Ea7a6arial"/>
          <w:lang w:val="fr-FR"/>
        </w:rPr>
        <w:t>e soumissionnaire à qui le marché sera attribué fournira</w:t>
      </w:r>
      <w:r>
        <w:rPr>
          <w:rFonts w:ascii="Garamond" w:hAnsi="Garamond" w:cs="50Ea7a6arial"/>
          <w:lang w:val="fr-FR"/>
        </w:rPr>
        <w:t xml:space="preserve"> encore </w:t>
      </w:r>
      <w:r w:rsidRPr="0038066C">
        <w:rPr>
          <w:rFonts w:ascii="Garamond" w:hAnsi="Garamond" w:cs="50Ea7a6arial"/>
          <w:lang w:val="fr-FR"/>
        </w:rPr>
        <w:t>sous peine d'exclusion, dans le délai défini</w:t>
      </w:r>
      <w:r>
        <w:rPr>
          <w:rFonts w:ascii="Garamond" w:hAnsi="Garamond" w:cs="50Ea7a6arial"/>
          <w:lang w:val="fr-FR"/>
        </w:rPr>
        <w:t xml:space="preserve"> </w:t>
      </w:r>
      <w:r w:rsidRPr="0038066C">
        <w:rPr>
          <w:rFonts w:ascii="Garamond" w:hAnsi="Garamond" w:cs="50Ea7a6arial"/>
          <w:lang w:val="fr-FR"/>
        </w:rPr>
        <w:t xml:space="preserve">par écrit par le pouvoir adjudicateur et avant la signature du contrat, </w:t>
      </w:r>
      <w:r w:rsidRPr="002900AB">
        <w:rPr>
          <w:rFonts w:ascii="Garamond" w:hAnsi="Garamond" w:cs="50Ea7a6arial"/>
          <w:lang w:val="fr-FR"/>
        </w:rPr>
        <w:t>une</w:t>
      </w:r>
      <w:r w:rsidRPr="002900AB">
        <w:rPr>
          <w:rFonts w:ascii="Garamond" w:hAnsi="Garamond"/>
          <w:lang w:val="fr-FR"/>
        </w:rPr>
        <w:t xml:space="preserve"> fiche signalétique financière et une fiche d’entité légale, dont les modèles sont joints en </w:t>
      </w:r>
      <w:r w:rsidRPr="002900AB">
        <w:rPr>
          <w:rFonts w:ascii="Garamond" w:hAnsi="Garamond"/>
          <w:b/>
          <w:lang w:val="fr-FR"/>
        </w:rPr>
        <w:t xml:space="preserve">Annexes IV et V </w:t>
      </w:r>
      <w:r w:rsidRPr="002900AB">
        <w:rPr>
          <w:rFonts w:ascii="Garamond" w:hAnsi="Garamond"/>
          <w:lang w:val="fr-FR"/>
        </w:rPr>
        <w:t xml:space="preserve">de la </w:t>
      </w:r>
      <w:r w:rsidR="000406A9" w:rsidRPr="002900AB">
        <w:rPr>
          <w:rFonts w:ascii="Garamond" w:hAnsi="Garamond"/>
          <w:lang w:val="fr-FR"/>
        </w:rPr>
        <w:t>PARTIE</w:t>
      </w:r>
      <w:r w:rsidRPr="002900AB">
        <w:rPr>
          <w:rFonts w:ascii="Garamond" w:hAnsi="Garamond"/>
          <w:lang w:val="fr-FR"/>
        </w:rPr>
        <w:t xml:space="preserve"> III "Projet de contrat-cadre", dûment complétées, signées et datées</w:t>
      </w:r>
      <w:r w:rsidRPr="002900AB">
        <w:rPr>
          <w:rFonts w:ascii="Garamond" w:hAnsi="Garamond" w:cs="50Ea7a6arial"/>
          <w:lang w:val="fr-FR"/>
        </w:rPr>
        <w:t>.</w:t>
      </w:r>
      <w:r w:rsidR="00D53FA7" w:rsidRPr="002900AB">
        <w:rPr>
          <w:rFonts w:ascii="Garamond" w:hAnsi="Garamond" w:cs="50Ea7a6arial"/>
          <w:lang w:val="fr-FR"/>
        </w:rPr>
        <w:t xml:space="preserve"> </w:t>
      </w:r>
    </w:p>
    <w:p w:rsidR="00606049" w:rsidRDefault="00606049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lang w:val="fr-FR"/>
        </w:rPr>
      </w:pPr>
    </w:p>
    <w:p w:rsidR="004D5BEC" w:rsidRPr="00606049" w:rsidRDefault="00D53FA7" w:rsidP="00A5220A">
      <w:pPr>
        <w:autoSpaceDE w:val="0"/>
        <w:autoSpaceDN w:val="0"/>
        <w:adjustRightInd w:val="0"/>
        <w:jc w:val="both"/>
        <w:rPr>
          <w:rFonts w:ascii="Garamond" w:hAnsi="Garamond" w:cs="50Ea7a6arial"/>
          <w:lang w:val="fr-FR"/>
        </w:rPr>
      </w:pPr>
      <w:r>
        <w:rPr>
          <w:rFonts w:ascii="Garamond" w:hAnsi="Garamond" w:cs="50Ea7a6arial"/>
          <w:lang w:val="fr-FR"/>
        </w:rPr>
        <w:t xml:space="preserve">L’attention des soumissionnaires est attirée sur la déclaration </w:t>
      </w:r>
      <w:r w:rsidR="00606049">
        <w:rPr>
          <w:rFonts w:ascii="Garamond" w:hAnsi="Garamond" w:cs="50Ea7a6arial"/>
          <w:lang w:val="fr-FR"/>
        </w:rPr>
        <w:t xml:space="preserve">concernant la protection des données à caractère personnel dans le cadre de la validation des entités légales et des comptes bancaires ainsi que dans le cadre des transactions financières y relatives, sous : </w:t>
      </w:r>
      <w:hyperlink r:id="rId10" w:history="1">
        <w:r w:rsidR="00606049" w:rsidRPr="004B74BD">
          <w:rPr>
            <w:rStyle w:val="Hyperlink"/>
            <w:rFonts w:ascii="Garamond" w:hAnsi="Garamond" w:cs="50Ea7a6arial"/>
            <w:lang w:val="fr-FR"/>
          </w:rPr>
          <w:t>http://curia.europa.eu/jcms/upload/docs/application/pdf/2011-08/fr.pdf</w:t>
        </w:r>
      </w:hyperlink>
      <w:r w:rsidR="00606049">
        <w:rPr>
          <w:rFonts w:ascii="Garamond" w:hAnsi="Garamond" w:cs="50Ea7a6arial"/>
          <w:lang w:val="fr-FR"/>
        </w:rPr>
        <w:t xml:space="preserve"> )</w:t>
      </w:r>
    </w:p>
    <w:p w:rsidR="004D5BEC" w:rsidRDefault="004D5BEC" w:rsidP="004D5BEC">
      <w:pPr>
        <w:autoSpaceDE w:val="0"/>
        <w:autoSpaceDN w:val="0"/>
        <w:adjustRightInd w:val="0"/>
        <w:rPr>
          <w:rFonts w:ascii="Garamond" w:hAnsi="Garamond" w:cs="50Ea7a6arial"/>
          <w:lang w:val="fr-FR"/>
        </w:rPr>
      </w:pPr>
    </w:p>
    <w:sectPr w:rsidR="004D5BEC">
      <w:headerReference w:type="default" r:id="rId11"/>
      <w:footerReference w:type="default" r:id="rId12"/>
      <w:footerReference w:type="first" r:id="rId13"/>
      <w:pgSz w:w="11907" w:h="16840" w:code="9"/>
      <w:pgMar w:top="851" w:right="1134" w:bottom="1077" w:left="2041" w:header="533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3A" w:rsidRDefault="0040103A">
      <w:r>
        <w:separator/>
      </w:r>
    </w:p>
  </w:endnote>
  <w:endnote w:type="continuationSeparator" w:id="0">
    <w:p w:rsidR="0040103A" w:rsidRDefault="0040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50Ea7a6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83" w:rsidRDefault="00EB0E83">
    <w:pPr>
      <w:pStyle w:val="Footer"/>
      <w:jc w:val="center"/>
      <w:rPr>
        <w:rFonts w:ascii="Garamond" w:hAnsi="Garamond"/>
        <w:sz w:val="20"/>
        <w:lang w:val="fr-BE"/>
      </w:rPr>
    </w:pPr>
    <w:r>
      <w:rPr>
        <w:rFonts w:ascii="Garamond" w:hAnsi="Garamond"/>
        <w:snapToGrid w:val="0"/>
        <w:sz w:val="20"/>
        <w:lang w:val="fr-BE" w:eastAsia="en-US"/>
      </w:rPr>
      <w:t xml:space="preserve">- </w:t>
    </w:r>
    <w:r>
      <w:rPr>
        <w:rFonts w:ascii="Garamond" w:hAnsi="Garamond"/>
        <w:snapToGrid w:val="0"/>
        <w:sz w:val="20"/>
        <w:lang w:val="fr-BE" w:eastAsia="en-US"/>
      </w:rPr>
      <w:fldChar w:fldCharType="begin"/>
    </w:r>
    <w:r>
      <w:rPr>
        <w:rFonts w:ascii="Garamond" w:hAnsi="Garamond"/>
        <w:snapToGrid w:val="0"/>
        <w:sz w:val="20"/>
        <w:lang w:val="fr-BE" w:eastAsia="en-US"/>
      </w:rPr>
      <w:instrText xml:space="preserve"> PAGE </w:instrText>
    </w:r>
    <w:r>
      <w:rPr>
        <w:rFonts w:ascii="Garamond" w:hAnsi="Garamond"/>
        <w:snapToGrid w:val="0"/>
        <w:sz w:val="20"/>
        <w:lang w:val="fr-BE" w:eastAsia="en-US"/>
      </w:rPr>
      <w:fldChar w:fldCharType="separate"/>
    </w:r>
    <w:r w:rsidR="00490681">
      <w:rPr>
        <w:rFonts w:ascii="Garamond" w:hAnsi="Garamond"/>
        <w:noProof/>
        <w:snapToGrid w:val="0"/>
        <w:sz w:val="20"/>
        <w:lang w:val="fr-BE" w:eastAsia="en-US"/>
      </w:rPr>
      <w:t>2</w:t>
    </w:r>
    <w:r>
      <w:rPr>
        <w:rFonts w:ascii="Garamond" w:hAnsi="Garamond"/>
        <w:snapToGrid w:val="0"/>
        <w:sz w:val="20"/>
        <w:lang w:val="fr-BE" w:eastAsia="en-US"/>
      </w:rPr>
      <w:fldChar w:fldCharType="end"/>
    </w:r>
    <w:r>
      <w:rPr>
        <w:rFonts w:ascii="Garamond" w:hAnsi="Garamond"/>
        <w:snapToGrid w:val="0"/>
        <w:sz w:val="20"/>
        <w:lang w:val="fr-BE" w:eastAsia="en-US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83" w:rsidRDefault="00EB0E83">
    <w:pPr>
      <w:widowControl w:val="0"/>
      <w:ind w:left="-567" w:right="-568"/>
      <w:jc w:val="center"/>
      <w:rPr>
        <w:rFonts w:ascii="Garamond" w:hAnsi="Garamond"/>
        <w:b/>
        <w:sz w:val="20"/>
        <w:lang w:val="fr-FR"/>
      </w:rPr>
    </w:pP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490681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</w:p>
  <w:p w:rsidR="00EB0E83" w:rsidRDefault="00EB0E83">
    <w:pPr>
      <w:widowControl w:val="0"/>
      <w:ind w:left="-567" w:right="-568"/>
      <w:jc w:val="center"/>
      <w:rPr>
        <w:sz w:val="12"/>
        <w:lang w:val="fr-FR"/>
      </w:rPr>
    </w:pPr>
    <w:r>
      <w:rPr>
        <w:b/>
        <w:sz w:val="12"/>
        <w:lang w:val="fr-FR"/>
      </w:rPr>
      <w:t>Adresse postale:</w:t>
    </w:r>
    <w:r>
      <w:rPr>
        <w:sz w:val="12"/>
        <w:lang w:val="fr-FR"/>
      </w:rPr>
      <w:t xml:space="preserve"> Palais de la Cour de Justice, L-2925 LUXEMBOURG - </w:t>
    </w:r>
    <w:r>
      <w:rPr>
        <w:b/>
        <w:sz w:val="12"/>
        <w:lang w:val="fr-FR"/>
      </w:rPr>
      <w:t>Téléphone</w:t>
    </w:r>
    <w:r>
      <w:rPr>
        <w:sz w:val="12"/>
        <w:lang w:val="fr-FR"/>
      </w:rPr>
      <w:t xml:space="preserve"> [++352] 43031 - </w:t>
    </w:r>
    <w:r>
      <w:rPr>
        <w:b/>
        <w:sz w:val="12"/>
        <w:lang w:val="fr-FR"/>
      </w:rPr>
      <w:t>Télécopieur</w:t>
    </w:r>
    <w:r>
      <w:rPr>
        <w:sz w:val="12"/>
        <w:lang w:val="fr-FR"/>
      </w:rPr>
      <w:t>: Affaires judiciaires: [++352] 43 37 66 - Administration: [++352] 4303-2600</w:t>
    </w:r>
  </w:p>
  <w:p w:rsidR="00EB0E83" w:rsidRDefault="00EB0E83">
    <w:pPr>
      <w:widowControl w:val="0"/>
      <w:spacing w:line="0" w:lineRule="atLeast"/>
      <w:ind w:left="-567" w:right="-568"/>
      <w:jc w:val="center"/>
      <w:rPr>
        <w:sz w:val="12"/>
        <w:lang w:val="fr-FR"/>
      </w:rPr>
    </w:pPr>
    <w:r>
      <w:rPr>
        <w:b/>
        <w:sz w:val="12"/>
        <w:lang w:val="fr-FR"/>
      </w:rPr>
      <w:t>Adresse télégramme</w:t>
    </w:r>
    <w:r>
      <w:rPr>
        <w:sz w:val="12"/>
        <w:lang w:val="fr-FR"/>
      </w:rPr>
      <w:t xml:space="preserve">: CURIA - </w:t>
    </w:r>
    <w:r>
      <w:rPr>
        <w:b/>
        <w:sz w:val="12"/>
        <w:lang w:val="fr-FR"/>
      </w:rPr>
      <w:t>Télex</w:t>
    </w:r>
    <w:r>
      <w:rPr>
        <w:sz w:val="12"/>
        <w:lang w:val="fr-FR"/>
      </w:rPr>
      <w:t>: Affaires judiciaires: (0402) 2510 CURIA LU - Administration: (0402) 2771 CJINFO 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3A" w:rsidRDefault="0040103A">
      <w:r>
        <w:separator/>
      </w:r>
    </w:p>
  </w:footnote>
  <w:footnote w:type="continuationSeparator" w:id="0">
    <w:p w:rsidR="0040103A" w:rsidRDefault="0040103A">
      <w:r>
        <w:continuationSeparator/>
      </w:r>
    </w:p>
  </w:footnote>
  <w:footnote w:id="1">
    <w:p w:rsidR="00C41216" w:rsidRPr="002900AB" w:rsidRDefault="00C41216" w:rsidP="002900AB">
      <w:pPr>
        <w:pStyle w:val="FootnoteText"/>
        <w:ind w:left="720" w:hanging="720"/>
        <w:jc w:val="both"/>
        <w:rPr>
          <w:rFonts w:ascii="Garamond" w:hAnsi="Garamond"/>
          <w:lang w:val="fr-BE"/>
        </w:rPr>
      </w:pPr>
      <w:r>
        <w:rPr>
          <w:rStyle w:val="FootnoteReference"/>
        </w:rPr>
        <w:footnoteRef/>
      </w:r>
      <w:r w:rsidRPr="00C41216">
        <w:rPr>
          <w:lang w:val="fr-BE"/>
        </w:rPr>
        <w:t xml:space="preserve"> </w:t>
      </w:r>
      <w:r>
        <w:rPr>
          <w:lang w:val="fr-BE"/>
        </w:rPr>
        <w:tab/>
      </w:r>
      <w:r w:rsidRPr="002900AB">
        <w:rPr>
          <w:rFonts w:ascii="Garamond" w:hAnsi="Garamond"/>
          <w:lang w:val="fr-BE"/>
        </w:rPr>
        <w:t>Ces quantités seront définies quand les listes définitives des modèles retenus pour la soumission ser</w:t>
      </w:r>
      <w:r w:rsidR="001A726A" w:rsidRPr="002900AB">
        <w:rPr>
          <w:rFonts w:ascii="Garamond" w:hAnsi="Garamond"/>
          <w:lang w:val="fr-BE"/>
        </w:rPr>
        <w:t>ont</w:t>
      </w:r>
      <w:r w:rsidRPr="002900AB">
        <w:rPr>
          <w:rFonts w:ascii="Garamond" w:hAnsi="Garamond"/>
          <w:lang w:val="fr-BE"/>
        </w:rPr>
        <w:t xml:space="preserve"> envoyée</w:t>
      </w:r>
      <w:r w:rsidR="001A726A" w:rsidRPr="002900AB">
        <w:rPr>
          <w:rFonts w:ascii="Garamond" w:hAnsi="Garamond"/>
          <w:lang w:val="fr-BE"/>
        </w:rPr>
        <w:t>s</w:t>
      </w:r>
      <w:r w:rsidRPr="002900AB">
        <w:rPr>
          <w:rFonts w:ascii="Garamond" w:hAnsi="Garamond"/>
          <w:lang w:val="fr-BE"/>
        </w:rPr>
        <w:t xml:space="preserve"> aux candidatures retenues (voir Partie II.2 – spécifications techniques).</w:t>
      </w:r>
    </w:p>
  </w:footnote>
  <w:footnote w:id="2">
    <w:p w:rsidR="00324354" w:rsidRPr="002900AB" w:rsidRDefault="00324354" w:rsidP="00324354">
      <w:pPr>
        <w:pStyle w:val="FootnoteText"/>
        <w:ind w:left="720" w:hanging="720"/>
        <w:jc w:val="both"/>
        <w:rPr>
          <w:rFonts w:ascii="Garamond" w:hAnsi="Garamond"/>
          <w:lang w:val="fr-BE"/>
        </w:rPr>
      </w:pPr>
      <w:r>
        <w:rPr>
          <w:rStyle w:val="FootnoteReference"/>
        </w:rPr>
        <w:footnoteRef/>
      </w:r>
      <w:r w:rsidRPr="009E4155">
        <w:rPr>
          <w:lang w:val="fr-BE"/>
        </w:rPr>
        <w:t xml:space="preserve"> </w:t>
      </w:r>
      <w:r>
        <w:rPr>
          <w:lang w:val="fr-BE"/>
        </w:rPr>
        <w:tab/>
      </w:r>
      <w:r w:rsidRPr="002900AB">
        <w:rPr>
          <w:rFonts w:ascii="Garamond" w:hAnsi="Garamond"/>
          <w:lang w:val="fr-BE"/>
        </w:rPr>
        <w:t>Ce prix global qui sera calculé ne doit pas être confondu avec le montant maximal couvrant tous les achats à effectuer dans le cadre du contrat-cadre, y compris toutes les reconductions, qui est de 14.000.000 € pour le lot 1 – Luxembourg – et de 9.500.000 € pour le lot 2 – Bruxelles. Cependant, la fixation de ce montant ne représente pas un engagement de la part du pouvoir adjudicateur à payer le montant maximal pour l’achat et une majoration de 20% y est incluse de sorte à tenir compte de la tendance à la prolongation des contrats spécifiques (durée de location) et d’autres variations de la composition des parcs des institutions.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83" w:rsidRDefault="00EB0E83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007"/>
    <w:multiLevelType w:val="hybridMultilevel"/>
    <w:tmpl w:val="7B26F506"/>
    <w:lvl w:ilvl="0" w:tplc="8B768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83C47"/>
    <w:multiLevelType w:val="singleLevel"/>
    <w:tmpl w:val="59023776"/>
    <w:lvl w:ilvl="0">
      <w:start w:val="1"/>
      <w:numFmt w:val="bullet"/>
      <w:pStyle w:val="Dash2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</w:abstractNum>
  <w:abstractNum w:abstractNumId="2">
    <w:nsid w:val="184708C9"/>
    <w:multiLevelType w:val="singleLevel"/>
    <w:tmpl w:val="E1341A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Lucida Console" w:hAnsi="TmsRmn" w:hint="default"/>
      </w:rPr>
    </w:lvl>
  </w:abstractNum>
  <w:abstractNum w:abstractNumId="3">
    <w:nsid w:val="1ADC2B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335639"/>
    <w:multiLevelType w:val="hybridMultilevel"/>
    <w:tmpl w:val="8152C15C"/>
    <w:lvl w:ilvl="0" w:tplc="D666C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37582"/>
    <w:multiLevelType w:val="singleLevel"/>
    <w:tmpl w:val="E1341A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Lucida Console" w:hAnsi="TmsRmn" w:hint="default"/>
      </w:rPr>
    </w:lvl>
  </w:abstractNum>
  <w:abstractNum w:abstractNumId="6">
    <w:nsid w:val="1FE25E65"/>
    <w:multiLevelType w:val="hybridMultilevel"/>
    <w:tmpl w:val="4BA42A6E"/>
    <w:lvl w:ilvl="0" w:tplc="8B768F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A63EC6"/>
    <w:multiLevelType w:val="hybridMultilevel"/>
    <w:tmpl w:val="9E26C774"/>
    <w:lvl w:ilvl="0" w:tplc="1DB0489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50Ea7a6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95E37"/>
    <w:multiLevelType w:val="singleLevel"/>
    <w:tmpl w:val="E1341A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Lucida Console" w:hAnsi="TmsRmn" w:hint="default"/>
      </w:rPr>
    </w:lvl>
  </w:abstractNum>
  <w:abstractNum w:abstractNumId="9">
    <w:nsid w:val="310C4D5E"/>
    <w:multiLevelType w:val="hybridMultilevel"/>
    <w:tmpl w:val="CDE8BFBC"/>
    <w:lvl w:ilvl="0" w:tplc="8B768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10011"/>
    <w:multiLevelType w:val="hybridMultilevel"/>
    <w:tmpl w:val="6008841A"/>
    <w:lvl w:ilvl="0" w:tplc="8B768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A7AA7"/>
    <w:multiLevelType w:val="multilevel"/>
    <w:tmpl w:val="C76AD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78620A1"/>
    <w:multiLevelType w:val="hybridMultilevel"/>
    <w:tmpl w:val="FFB8DE50"/>
    <w:lvl w:ilvl="0" w:tplc="853CD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387B"/>
    <w:multiLevelType w:val="singleLevel"/>
    <w:tmpl w:val="061E19FE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4">
    <w:nsid w:val="617C0BED"/>
    <w:multiLevelType w:val="hybridMultilevel"/>
    <w:tmpl w:val="3B48C05A"/>
    <w:lvl w:ilvl="0" w:tplc="D666C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8057C8"/>
    <w:multiLevelType w:val="hybridMultilevel"/>
    <w:tmpl w:val="94DA1786"/>
    <w:lvl w:ilvl="0" w:tplc="8B768F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59087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70"/>
    <w:rsid w:val="00025B3F"/>
    <w:rsid w:val="00040398"/>
    <w:rsid w:val="000406A9"/>
    <w:rsid w:val="000613D5"/>
    <w:rsid w:val="000649E6"/>
    <w:rsid w:val="000A0FEF"/>
    <w:rsid w:val="000A6603"/>
    <w:rsid w:val="000B4439"/>
    <w:rsid w:val="000D6AF5"/>
    <w:rsid w:val="000D7172"/>
    <w:rsid w:val="000F7AF2"/>
    <w:rsid w:val="00111205"/>
    <w:rsid w:val="00165288"/>
    <w:rsid w:val="00167811"/>
    <w:rsid w:val="00171EFE"/>
    <w:rsid w:val="00173C14"/>
    <w:rsid w:val="001852F9"/>
    <w:rsid w:val="00193180"/>
    <w:rsid w:val="001A24FC"/>
    <w:rsid w:val="001A6BDE"/>
    <w:rsid w:val="001A6EA0"/>
    <w:rsid w:val="001A726A"/>
    <w:rsid w:val="001B0150"/>
    <w:rsid w:val="001C35C5"/>
    <w:rsid w:val="001C6EEF"/>
    <w:rsid w:val="001D7E4F"/>
    <w:rsid w:val="001E46A2"/>
    <w:rsid w:val="00202C96"/>
    <w:rsid w:val="00205E7D"/>
    <w:rsid w:val="00211D57"/>
    <w:rsid w:val="00235A0C"/>
    <w:rsid w:val="00237073"/>
    <w:rsid w:val="00262495"/>
    <w:rsid w:val="00264C5B"/>
    <w:rsid w:val="002712DB"/>
    <w:rsid w:val="00274D63"/>
    <w:rsid w:val="002861E8"/>
    <w:rsid w:val="002900AB"/>
    <w:rsid w:val="002933C9"/>
    <w:rsid w:val="002E5CC2"/>
    <w:rsid w:val="00324354"/>
    <w:rsid w:val="00340626"/>
    <w:rsid w:val="0035112B"/>
    <w:rsid w:val="0038066C"/>
    <w:rsid w:val="0039231F"/>
    <w:rsid w:val="003B31D9"/>
    <w:rsid w:val="003B5FB2"/>
    <w:rsid w:val="003C16EE"/>
    <w:rsid w:val="003C2750"/>
    <w:rsid w:val="003E573A"/>
    <w:rsid w:val="003E5EF6"/>
    <w:rsid w:val="003E77E3"/>
    <w:rsid w:val="003F7870"/>
    <w:rsid w:val="0040103A"/>
    <w:rsid w:val="0043623D"/>
    <w:rsid w:val="00466773"/>
    <w:rsid w:val="00472766"/>
    <w:rsid w:val="00490681"/>
    <w:rsid w:val="004A0DD2"/>
    <w:rsid w:val="004A7372"/>
    <w:rsid w:val="004C151E"/>
    <w:rsid w:val="004D5BEC"/>
    <w:rsid w:val="00514221"/>
    <w:rsid w:val="005310E7"/>
    <w:rsid w:val="00534215"/>
    <w:rsid w:val="00544023"/>
    <w:rsid w:val="00552820"/>
    <w:rsid w:val="005637F2"/>
    <w:rsid w:val="00572497"/>
    <w:rsid w:val="00585D3C"/>
    <w:rsid w:val="005921DC"/>
    <w:rsid w:val="005A173B"/>
    <w:rsid w:val="005A255F"/>
    <w:rsid w:val="005A2F79"/>
    <w:rsid w:val="005A45B8"/>
    <w:rsid w:val="005C0905"/>
    <w:rsid w:val="005C68DB"/>
    <w:rsid w:val="005D0D02"/>
    <w:rsid w:val="005D4364"/>
    <w:rsid w:val="005D43AC"/>
    <w:rsid w:val="005F2451"/>
    <w:rsid w:val="00606049"/>
    <w:rsid w:val="0061124F"/>
    <w:rsid w:val="00611384"/>
    <w:rsid w:val="00611C65"/>
    <w:rsid w:val="00620ECA"/>
    <w:rsid w:val="0063129B"/>
    <w:rsid w:val="00652561"/>
    <w:rsid w:val="00662418"/>
    <w:rsid w:val="00663692"/>
    <w:rsid w:val="00667A5D"/>
    <w:rsid w:val="0067067F"/>
    <w:rsid w:val="00673D16"/>
    <w:rsid w:val="00681128"/>
    <w:rsid w:val="00684BA7"/>
    <w:rsid w:val="006C5887"/>
    <w:rsid w:val="006C68BA"/>
    <w:rsid w:val="006C7D59"/>
    <w:rsid w:val="006F5A0D"/>
    <w:rsid w:val="007179B9"/>
    <w:rsid w:val="007469E8"/>
    <w:rsid w:val="00755A8F"/>
    <w:rsid w:val="00755E82"/>
    <w:rsid w:val="0077418F"/>
    <w:rsid w:val="00780C52"/>
    <w:rsid w:val="00791FBE"/>
    <w:rsid w:val="007A0D80"/>
    <w:rsid w:val="007C01A7"/>
    <w:rsid w:val="007D6480"/>
    <w:rsid w:val="007E52A8"/>
    <w:rsid w:val="00812346"/>
    <w:rsid w:val="0081283F"/>
    <w:rsid w:val="0082343F"/>
    <w:rsid w:val="00832D98"/>
    <w:rsid w:val="00836306"/>
    <w:rsid w:val="00874681"/>
    <w:rsid w:val="00892D6E"/>
    <w:rsid w:val="0089774C"/>
    <w:rsid w:val="008A2B45"/>
    <w:rsid w:val="008B3A5C"/>
    <w:rsid w:val="008C2FCB"/>
    <w:rsid w:val="008D51CF"/>
    <w:rsid w:val="008D6D2D"/>
    <w:rsid w:val="008E49C3"/>
    <w:rsid w:val="008F33B8"/>
    <w:rsid w:val="00911E51"/>
    <w:rsid w:val="00960121"/>
    <w:rsid w:val="0096323D"/>
    <w:rsid w:val="00967A0A"/>
    <w:rsid w:val="00972449"/>
    <w:rsid w:val="0098003A"/>
    <w:rsid w:val="00984756"/>
    <w:rsid w:val="009911BF"/>
    <w:rsid w:val="00996DC1"/>
    <w:rsid w:val="009A4E20"/>
    <w:rsid w:val="009E4155"/>
    <w:rsid w:val="009E715E"/>
    <w:rsid w:val="00A45B3B"/>
    <w:rsid w:val="00A5220A"/>
    <w:rsid w:val="00A66157"/>
    <w:rsid w:val="00A90B7E"/>
    <w:rsid w:val="00AA3C2D"/>
    <w:rsid w:val="00AB2423"/>
    <w:rsid w:val="00AB437A"/>
    <w:rsid w:val="00AC6640"/>
    <w:rsid w:val="00B02E40"/>
    <w:rsid w:val="00B37653"/>
    <w:rsid w:val="00B37DF7"/>
    <w:rsid w:val="00B67B19"/>
    <w:rsid w:val="00B8218F"/>
    <w:rsid w:val="00B8731F"/>
    <w:rsid w:val="00B9463F"/>
    <w:rsid w:val="00BA1AEF"/>
    <w:rsid w:val="00BC0CAC"/>
    <w:rsid w:val="00BF73AF"/>
    <w:rsid w:val="00C13A1A"/>
    <w:rsid w:val="00C17B07"/>
    <w:rsid w:val="00C219CF"/>
    <w:rsid w:val="00C3292A"/>
    <w:rsid w:val="00C41216"/>
    <w:rsid w:val="00C43446"/>
    <w:rsid w:val="00C533D3"/>
    <w:rsid w:val="00C56084"/>
    <w:rsid w:val="00C57291"/>
    <w:rsid w:val="00C625F4"/>
    <w:rsid w:val="00C82255"/>
    <w:rsid w:val="00C90B41"/>
    <w:rsid w:val="00CF5BE6"/>
    <w:rsid w:val="00D01525"/>
    <w:rsid w:val="00D02A62"/>
    <w:rsid w:val="00D133E9"/>
    <w:rsid w:val="00D427F9"/>
    <w:rsid w:val="00D4282D"/>
    <w:rsid w:val="00D46587"/>
    <w:rsid w:val="00D53B9B"/>
    <w:rsid w:val="00D53FA7"/>
    <w:rsid w:val="00D7626C"/>
    <w:rsid w:val="00D92F50"/>
    <w:rsid w:val="00DA594B"/>
    <w:rsid w:val="00DE193B"/>
    <w:rsid w:val="00DE3193"/>
    <w:rsid w:val="00DE72C9"/>
    <w:rsid w:val="00DF162B"/>
    <w:rsid w:val="00DF5524"/>
    <w:rsid w:val="00E11817"/>
    <w:rsid w:val="00E14026"/>
    <w:rsid w:val="00E14291"/>
    <w:rsid w:val="00E17366"/>
    <w:rsid w:val="00E25F4C"/>
    <w:rsid w:val="00E3545B"/>
    <w:rsid w:val="00E60DD8"/>
    <w:rsid w:val="00E622E1"/>
    <w:rsid w:val="00E765BA"/>
    <w:rsid w:val="00EA33D9"/>
    <w:rsid w:val="00EA78CB"/>
    <w:rsid w:val="00EB0E83"/>
    <w:rsid w:val="00EC0FA7"/>
    <w:rsid w:val="00ED7418"/>
    <w:rsid w:val="00EE1FE7"/>
    <w:rsid w:val="00F02337"/>
    <w:rsid w:val="00F12FFC"/>
    <w:rsid w:val="00F20CC1"/>
    <w:rsid w:val="00F35A3D"/>
    <w:rsid w:val="00F37B12"/>
    <w:rsid w:val="00F4259D"/>
    <w:rsid w:val="00F43044"/>
    <w:rsid w:val="00F44E4E"/>
    <w:rsid w:val="00F639C5"/>
    <w:rsid w:val="00F777AD"/>
    <w:rsid w:val="00F84F8E"/>
    <w:rsid w:val="00F86E75"/>
    <w:rsid w:val="00FA7D98"/>
    <w:rsid w:val="00FE0AFF"/>
    <w:rsid w:val="00FF3CA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B2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454"/>
        <w:tab w:val="left" w:pos="567"/>
        <w:tab w:val="left" w:pos="851"/>
        <w:tab w:val="left" w:pos="1021"/>
      </w:tabs>
      <w:spacing w:after="240" w:line="360" w:lineRule="auto"/>
      <w:outlineLvl w:val="2"/>
    </w:pPr>
    <w:rPr>
      <w:rFonts w:ascii="Garamond" w:hAnsi="Garamond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mplateBase">
    <w:name w:val="(Template_Base)"/>
    <w:pPr>
      <w:spacing w:after="240" w:line="360" w:lineRule="auto"/>
    </w:pPr>
    <w:rPr>
      <w:rFonts w:ascii="Garamond" w:hAnsi="Garamond"/>
      <w:noProof/>
      <w:sz w:val="24"/>
      <w:lang w:val="en-GB" w:eastAsia="en-GB"/>
    </w:rPr>
  </w:style>
  <w:style w:type="paragraph" w:customStyle="1" w:styleId="Addressee">
    <w:name w:val="Addressee"/>
    <w:basedOn w:val="Normal"/>
    <w:next w:val="Subject"/>
    <w:pPr>
      <w:tabs>
        <w:tab w:val="center" w:pos="4536"/>
      </w:tabs>
      <w:spacing w:before="120" w:after="360"/>
      <w:jc w:val="center"/>
    </w:pPr>
    <w:rPr>
      <w:rFonts w:ascii="Garamond" w:hAnsi="Garamond"/>
      <w:b/>
      <w:lang w:val="fr-FR"/>
    </w:rPr>
  </w:style>
  <w:style w:type="paragraph" w:customStyle="1" w:styleId="Subject">
    <w:name w:val="Subject"/>
    <w:basedOn w:val="TemplateBase"/>
    <w:next w:val="Normal"/>
    <w:pPr>
      <w:tabs>
        <w:tab w:val="left" w:pos="851"/>
      </w:tabs>
      <w:spacing w:before="120" w:after="360"/>
      <w:ind w:left="851" w:hanging="851"/>
    </w:pPr>
  </w:style>
  <w:style w:type="paragraph" w:customStyle="1" w:styleId="Dash2">
    <w:name w:val="Dash_2"/>
    <w:basedOn w:val="TemplateBase"/>
    <w:pPr>
      <w:numPr>
        <w:numId w:val="1"/>
      </w:numPr>
    </w:pPr>
  </w:style>
  <w:style w:type="paragraph" w:customStyle="1" w:styleId="Text1">
    <w:name w:val="Text 1"/>
    <w:basedOn w:val="Normal"/>
    <w:pPr>
      <w:tabs>
        <w:tab w:val="left" w:pos="2160"/>
      </w:tabs>
      <w:spacing w:after="240"/>
      <w:ind w:left="1440"/>
      <w:jc w:val="both"/>
    </w:pPr>
    <w:rPr>
      <w:lang w:val="fr-FR"/>
    </w:r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440"/>
      <w:jc w:val="both"/>
    </w:pPr>
    <w:rPr>
      <w:lang w:val="fr-FR"/>
    </w:rPr>
  </w:style>
  <w:style w:type="paragraph" w:styleId="BalloonText">
    <w:name w:val="Balloon Text"/>
    <w:basedOn w:val="Normal"/>
    <w:semiHidden/>
    <w:rsid w:val="003F7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01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9632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60604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292A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1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4155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9E4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B2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454"/>
        <w:tab w:val="left" w:pos="567"/>
        <w:tab w:val="left" w:pos="851"/>
        <w:tab w:val="left" w:pos="1021"/>
      </w:tabs>
      <w:spacing w:after="240" w:line="360" w:lineRule="auto"/>
      <w:outlineLvl w:val="2"/>
    </w:pPr>
    <w:rPr>
      <w:rFonts w:ascii="Garamond" w:hAnsi="Garamond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mplateBase">
    <w:name w:val="(Template_Base)"/>
    <w:pPr>
      <w:spacing w:after="240" w:line="360" w:lineRule="auto"/>
    </w:pPr>
    <w:rPr>
      <w:rFonts w:ascii="Garamond" w:hAnsi="Garamond"/>
      <w:noProof/>
      <w:sz w:val="24"/>
      <w:lang w:val="en-GB" w:eastAsia="en-GB"/>
    </w:rPr>
  </w:style>
  <w:style w:type="paragraph" w:customStyle="1" w:styleId="Addressee">
    <w:name w:val="Addressee"/>
    <w:basedOn w:val="Normal"/>
    <w:next w:val="Subject"/>
    <w:pPr>
      <w:tabs>
        <w:tab w:val="center" w:pos="4536"/>
      </w:tabs>
      <w:spacing w:before="120" w:after="360"/>
      <w:jc w:val="center"/>
    </w:pPr>
    <w:rPr>
      <w:rFonts w:ascii="Garamond" w:hAnsi="Garamond"/>
      <w:b/>
      <w:lang w:val="fr-FR"/>
    </w:rPr>
  </w:style>
  <w:style w:type="paragraph" w:customStyle="1" w:styleId="Subject">
    <w:name w:val="Subject"/>
    <w:basedOn w:val="TemplateBase"/>
    <w:next w:val="Normal"/>
    <w:pPr>
      <w:tabs>
        <w:tab w:val="left" w:pos="851"/>
      </w:tabs>
      <w:spacing w:before="120" w:after="360"/>
      <w:ind w:left="851" w:hanging="851"/>
    </w:pPr>
  </w:style>
  <w:style w:type="paragraph" w:customStyle="1" w:styleId="Dash2">
    <w:name w:val="Dash_2"/>
    <w:basedOn w:val="TemplateBase"/>
    <w:pPr>
      <w:numPr>
        <w:numId w:val="1"/>
      </w:numPr>
    </w:pPr>
  </w:style>
  <w:style w:type="paragraph" w:customStyle="1" w:styleId="Text1">
    <w:name w:val="Text 1"/>
    <w:basedOn w:val="Normal"/>
    <w:pPr>
      <w:tabs>
        <w:tab w:val="left" w:pos="2160"/>
      </w:tabs>
      <w:spacing w:after="240"/>
      <w:ind w:left="1440"/>
      <w:jc w:val="both"/>
    </w:pPr>
    <w:rPr>
      <w:lang w:val="fr-FR"/>
    </w:r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440"/>
      <w:jc w:val="both"/>
    </w:pPr>
    <w:rPr>
      <w:lang w:val="fr-FR"/>
    </w:rPr>
  </w:style>
  <w:style w:type="paragraph" w:styleId="BalloonText">
    <w:name w:val="Balloon Text"/>
    <w:basedOn w:val="Normal"/>
    <w:semiHidden/>
    <w:rsid w:val="003F7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01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9632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60604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292A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1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4155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9E4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uria.europa.eu/jcms/upload/docs/application/pdf/2011-08/fr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templates\XPTemplates\Curia\Lettre_Ty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4C5E-B5FF-4FF1-9210-E9B6715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Lettre_Type.dot</Template>
  <TotalTime>170</TotalTime>
  <Pages>6</Pages>
  <Words>1921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Lettre type</vt:lpstr>
    </vt:vector>
  </TitlesOfParts>
  <Company>Cour de justice</Company>
  <LinksUpToDate>false</LinksUpToDate>
  <CharactersWithSpaces>12326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http://curia.europa.eu/jcms/upload/docs/application/pdf/2011-08/fr.pdf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Lettre type</dc:title>
  <dc:creator>as</dc:creator>
  <cp:lastModifiedBy>Moitinho de Almeida Luis</cp:lastModifiedBy>
  <cp:revision>16</cp:revision>
  <cp:lastPrinted>2012-10-22T14:27:00Z</cp:lastPrinted>
  <dcterms:created xsi:type="dcterms:W3CDTF">2016-11-07T11:40:00Z</dcterms:created>
  <dcterms:modified xsi:type="dcterms:W3CDTF">2016-11-15T16:55:00Z</dcterms:modified>
</cp:coreProperties>
</file>