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A02371" w:rsidRPr="0092716F" w:rsidTr="0092716F">
        <w:tc>
          <w:tcPr>
            <w:tcW w:w="8948" w:type="dxa"/>
            <w:tcBorders>
              <w:top w:val="single" w:sz="4" w:space="0" w:color="auto"/>
              <w:left w:val="single" w:sz="4" w:space="0" w:color="auto"/>
              <w:bottom w:val="single" w:sz="4" w:space="0" w:color="auto"/>
              <w:right w:val="single" w:sz="4" w:space="0" w:color="auto"/>
            </w:tcBorders>
            <w:shd w:val="clear" w:color="auto" w:fill="auto"/>
          </w:tcPr>
          <w:p w:rsidR="00C53EEB" w:rsidRDefault="00A02371" w:rsidP="0092716F">
            <w:pPr>
              <w:spacing w:before="240"/>
              <w:jc w:val="center"/>
              <w:rPr>
                <w:rFonts w:ascii="Tahoma" w:hAnsi="Tahoma"/>
                <w:b/>
                <w:sz w:val="40"/>
                <w:szCs w:val="40"/>
                <w:lang w:val="fr-FR"/>
              </w:rPr>
            </w:pPr>
            <w:r w:rsidRPr="0092716F">
              <w:rPr>
                <w:rFonts w:ascii="Tahoma" w:hAnsi="Tahoma"/>
                <w:b/>
                <w:sz w:val="40"/>
                <w:szCs w:val="40"/>
                <w:lang w:val="fr-FR"/>
              </w:rPr>
              <w:t xml:space="preserve">Appel d'offres restreint N° </w:t>
            </w:r>
          </w:p>
          <w:p w:rsidR="00A02371" w:rsidRPr="0092716F" w:rsidRDefault="00C53EEB" w:rsidP="0092716F">
            <w:pPr>
              <w:spacing w:before="240"/>
              <w:jc w:val="center"/>
              <w:rPr>
                <w:rFonts w:ascii="Tahoma" w:hAnsi="Tahoma"/>
                <w:b/>
                <w:sz w:val="40"/>
                <w:szCs w:val="40"/>
                <w:lang w:val="fr-FR"/>
              </w:rPr>
            </w:pPr>
            <w:r w:rsidRPr="00CE35DF">
              <w:rPr>
                <w:rFonts w:ascii="Tahoma" w:hAnsi="Tahoma"/>
                <w:b/>
                <w:sz w:val="40"/>
                <w:szCs w:val="40"/>
                <w:lang w:val="fr-FR"/>
              </w:rPr>
              <w:t>C</w:t>
            </w:r>
            <w:r>
              <w:rPr>
                <w:rFonts w:ascii="Tahoma" w:hAnsi="Tahoma"/>
                <w:b/>
                <w:sz w:val="40"/>
                <w:szCs w:val="40"/>
                <w:lang w:val="fr-FR"/>
              </w:rPr>
              <w:t>O</w:t>
            </w:r>
            <w:r w:rsidRPr="00CE35DF">
              <w:rPr>
                <w:rFonts w:ascii="Tahoma" w:hAnsi="Tahoma"/>
                <w:b/>
                <w:sz w:val="40"/>
                <w:szCs w:val="40"/>
                <w:lang w:val="fr-FR"/>
              </w:rPr>
              <w:t>J</w:t>
            </w:r>
            <w:r>
              <w:rPr>
                <w:rFonts w:ascii="Tahoma" w:hAnsi="Tahoma"/>
                <w:b/>
                <w:sz w:val="40"/>
                <w:szCs w:val="40"/>
                <w:lang w:val="fr-FR"/>
              </w:rPr>
              <w:t>-PROC-16/0</w:t>
            </w:r>
            <w:r w:rsidRPr="00CE35DF">
              <w:rPr>
                <w:rFonts w:ascii="Tahoma" w:hAnsi="Tahoma"/>
                <w:b/>
                <w:sz w:val="40"/>
                <w:szCs w:val="40"/>
                <w:lang w:val="fr-FR"/>
              </w:rPr>
              <w:t>22</w:t>
            </w:r>
          </w:p>
          <w:p w:rsidR="00A02371" w:rsidRPr="0092716F" w:rsidRDefault="00A02371" w:rsidP="0092716F">
            <w:pPr>
              <w:jc w:val="center"/>
              <w:rPr>
                <w:b/>
                <w:sz w:val="28"/>
                <w:szCs w:val="28"/>
                <w:lang w:val="fr-FR"/>
              </w:rPr>
            </w:pPr>
          </w:p>
          <w:p w:rsidR="00A02371" w:rsidRPr="0092716F" w:rsidRDefault="00A02371" w:rsidP="0092716F">
            <w:pPr>
              <w:jc w:val="center"/>
              <w:rPr>
                <w:rFonts w:ascii="Tahoma" w:hAnsi="Tahoma"/>
                <w:b/>
                <w:caps/>
                <w:sz w:val="22"/>
                <w:lang w:val="fr-FR"/>
              </w:rPr>
            </w:pPr>
            <w:r w:rsidRPr="0092716F">
              <w:rPr>
                <w:rFonts w:ascii="Tahoma" w:hAnsi="Tahoma"/>
                <w:lang w:val="fr-FR"/>
              </w:rPr>
              <w:t>"</w:t>
            </w:r>
            <w:r w:rsidRPr="0092716F">
              <w:rPr>
                <w:rFonts w:ascii="Tahoma" w:hAnsi="Tahoma"/>
                <w:b/>
                <w:caps/>
                <w:sz w:val="22"/>
                <w:lang w:val="fr-FR"/>
              </w:rPr>
              <w:t>location A long terme de voitures de service"</w:t>
            </w:r>
          </w:p>
          <w:p w:rsidR="00A02371" w:rsidRPr="0092716F" w:rsidRDefault="00A02371" w:rsidP="0092716F">
            <w:pPr>
              <w:jc w:val="center"/>
              <w:rPr>
                <w:rFonts w:ascii="Tahoma" w:hAnsi="Tahoma"/>
                <w:sz w:val="22"/>
                <w:szCs w:val="22"/>
                <w:lang w:val="fr-FR"/>
              </w:rPr>
            </w:pPr>
            <w:r w:rsidRPr="0092716F">
              <w:rPr>
                <w:rFonts w:ascii="Tahoma" w:hAnsi="Tahoma"/>
                <w:sz w:val="22"/>
                <w:szCs w:val="22"/>
                <w:lang w:val="fr-FR"/>
              </w:rPr>
              <w:t xml:space="preserve">(Avis de marché publié au J.O. n° </w:t>
            </w:r>
            <w:r w:rsidR="00024FE5">
              <w:rPr>
                <w:rFonts w:ascii="Tahoma" w:hAnsi="Tahoma"/>
                <w:sz w:val="22"/>
                <w:szCs w:val="22"/>
                <w:lang w:val="fr-FR"/>
              </w:rPr>
              <w:t>S </w:t>
            </w:r>
            <w:r w:rsidR="00024FE5">
              <w:rPr>
                <w:rFonts w:ascii="Tahoma" w:hAnsi="Tahoma"/>
                <w:b/>
                <w:bCs/>
                <w:sz w:val="22"/>
                <w:szCs w:val="22"/>
                <w:lang w:val="fr-FR"/>
              </w:rPr>
              <w:t>221-402415</w:t>
            </w:r>
            <w:r w:rsidR="00024FE5">
              <w:rPr>
                <w:rFonts w:ascii="Tahoma" w:hAnsi="Tahoma"/>
                <w:sz w:val="22"/>
                <w:szCs w:val="22"/>
                <w:lang w:val="fr-FR"/>
              </w:rPr>
              <w:t xml:space="preserve"> du 16/11/2016</w:t>
            </w:r>
            <w:bookmarkStart w:id="0" w:name="_GoBack"/>
            <w:bookmarkEnd w:id="0"/>
            <w:r w:rsidRPr="0092716F">
              <w:rPr>
                <w:rFonts w:ascii="Tahoma" w:hAnsi="Tahoma"/>
                <w:sz w:val="22"/>
                <w:szCs w:val="22"/>
                <w:lang w:val="fr-FR"/>
              </w:rPr>
              <w:t xml:space="preserve">) </w:t>
            </w:r>
          </w:p>
          <w:p w:rsidR="00A02371" w:rsidRPr="0092716F" w:rsidRDefault="00A02371" w:rsidP="0092716F">
            <w:pPr>
              <w:jc w:val="center"/>
              <w:rPr>
                <w:b/>
                <w:bCs/>
                <w:smallCaps/>
                <w:lang w:val="fr-FR"/>
              </w:rPr>
            </w:pPr>
          </w:p>
          <w:p w:rsidR="00A02371" w:rsidRPr="0092716F" w:rsidRDefault="00A02371" w:rsidP="0092716F">
            <w:pPr>
              <w:jc w:val="center"/>
              <w:rPr>
                <w:b/>
                <w:bCs/>
                <w:smallCaps/>
                <w:lang w:val="fr-FR"/>
              </w:rPr>
            </w:pPr>
          </w:p>
          <w:p w:rsidR="00A02371" w:rsidRPr="0092716F" w:rsidRDefault="00A02371" w:rsidP="0092716F">
            <w:pPr>
              <w:jc w:val="center"/>
              <w:rPr>
                <w:b/>
                <w:bCs/>
                <w:smallCaps/>
                <w:sz w:val="32"/>
                <w:szCs w:val="32"/>
                <w:lang w:val="fr-FR"/>
              </w:rPr>
            </w:pPr>
            <w:r w:rsidRPr="0092716F">
              <w:rPr>
                <w:b/>
                <w:bCs/>
                <w:smallCaps/>
                <w:sz w:val="32"/>
                <w:szCs w:val="32"/>
                <w:lang w:val="fr-FR"/>
              </w:rPr>
              <w:t xml:space="preserve">Invitation à </w:t>
            </w:r>
            <w:r w:rsidR="00C53EEB">
              <w:rPr>
                <w:b/>
                <w:bCs/>
                <w:smallCaps/>
                <w:sz w:val="32"/>
                <w:szCs w:val="32"/>
                <w:lang w:val="fr-FR"/>
              </w:rPr>
              <w:t>présenter une demande de participation</w:t>
            </w:r>
          </w:p>
          <w:p w:rsidR="00A02371" w:rsidRPr="0092716F" w:rsidRDefault="00A02371" w:rsidP="0092716F">
            <w:pPr>
              <w:jc w:val="center"/>
              <w:rPr>
                <w:b/>
                <w:bCs/>
                <w:smallCaps/>
                <w:lang w:val="fr-FR"/>
              </w:rPr>
            </w:pPr>
          </w:p>
          <w:p w:rsidR="00A02371" w:rsidRPr="0092716F" w:rsidRDefault="00A02371" w:rsidP="0092716F">
            <w:pPr>
              <w:jc w:val="center"/>
              <w:rPr>
                <w:b/>
                <w:bCs/>
                <w:smallCaps/>
                <w:lang w:val="fr-FR"/>
              </w:rPr>
            </w:pPr>
            <w:r w:rsidRPr="0092716F">
              <w:rPr>
                <w:b/>
                <w:bCs/>
                <w:smallCaps/>
                <w:lang w:val="fr-FR"/>
              </w:rPr>
              <w:t xml:space="preserve">Partie </w:t>
            </w:r>
            <w:r w:rsidR="00DD4533">
              <w:rPr>
                <w:b/>
                <w:bCs/>
                <w:smallCaps/>
                <w:lang w:val="fr-FR"/>
              </w:rPr>
              <w:t>I</w:t>
            </w:r>
          </w:p>
          <w:p w:rsidR="00A02371" w:rsidRPr="0092716F" w:rsidRDefault="00C87191" w:rsidP="0092716F">
            <w:pPr>
              <w:jc w:val="right"/>
              <w:rPr>
                <w:sz w:val="16"/>
                <w:szCs w:val="16"/>
              </w:rPr>
            </w:pPr>
            <w:r>
              <w:rPr>
                <w:noProof/>
                <w:lang w:val="fr-BE" w:eastAsia="fr-BE"/>
              </w:rPr>
              <w:drawing>
                <wp:inline distT="0" distB="0" distL="0" distR="0">
                  <wp:extent cx="810895" cy="940435"/>
                  <wp:effectExtent l="0" t="0" r="8255" b="0"/>
                  <wp:docPr id="1" name="Picture 1" descr="Cur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i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940435"/>
                          </a:xfrm>
                          <a:prstGeom prst="rect">
                            <a:avLst/>
                          </a:prstGeom>
                          <a:noFill/>
                          <a:ln>
                            <a:noFill/>
                          </a:ln>
                        </pic:spPr>
                      </pic:pic>
                    </a:graphicData>
                  </a:graphic>
                </wp:inline>
              </w:drawing>
            </w:r>
          </w:p>
          <w:p w:rsidR="00A02371" w:rsidRPr="0092716F" w:rsidRDefault="00A02371" w:rsidP="0092716F">
            <w:pPr>
              <w:jc w:val="right"/>
              <w:rPr>
                <w:b/>
                <w:bCs/>
                <w:smallCaps/>
                <w:sz w:val="28"/>
                <w:szCs w:val="28"/>
                <w:lang w:val="fr-FR"/>
              </w:rPr>
            </w:pPr>
          </w:p>
        </w:tc>
      </w:tr>
    </w:tbl>
    <w:p w:rsidR="00A02371" w:rsidRPr="00917BFC" w:rsidRDefault="00A02371" w:rsidP="00A02371">
      <w:pPr>
        <w:rPr>
          <w:rFonts w:ascii="Garamond" w:hAnsi="Garamond"/>
          <w:lang w:val="fr-FR"/>
        </w:rPr>
      </w:pPr>
    </w:p>
    <w:p w:rsidR="00A02371" w:rsidRDefault="00A02371">
      <w:pPr>
        <w:jc w:val="both"/>
        <w:rPr>
          <w:rFonts w:ascii="Garamond" w:hAnsi="Garamond"/>
          <w:lang w:val="fr-FR"/>
        </w:rPr>
      </w:pPr>
    </w:p>
    <w:p w:rsidR="00EB0E83" w:rsidRPr="003F7870" w:rsidRDefault="00EB0E83">
      <w:pPr>
        <w:jc w:val="both"/>
        <w:rPr>
          <w:rFonts w:ascii="Garamond" w:hAnsi="Garamond"/>
          <w:lang w:val="fr-FR"/>
        </w:rPr>
      </w:pPr>
      <w:r w:rsidRPr="00DD4533">
        <w:rPr>
          <w:rFonts w:ascii="Garamond" w:hAnsi="Garamond"/>
          <w:b/>
          <w:sz w:val="32"/>
          <w:szCs w:val="32"/>
          <w:lang w:val="fr-FR"/>
        </w:rPr>
        <w:t>1.</w:t>
      </w:r>
      <w:r w:rsidR="00646C31">
        <w:rPr>
          <w:rFonts w:ascii="Garamond" w:hAnsi="Garamond"/>
          <w:b/>
          <w:sz w:val="32"/>
          <w:szCs w:val="32"/>
          <w:lang w:val="fr-FR"/>
        </w:rPr>
        <w:tab/>
      </w:r>
      <w:r w:rsidR="00385A1D" w:rsidRPr="002E5CC2">
        <w:rPr>
          <w:rFonts w:ascii="Garamond" w:hAnsi="Garamond"/>
          <w:lang w:val="fr-FR"/>
        </w:rPr>
        <w:t xml:space="preserve">La Cour de justice de </w:t>
      </w:r>
      <w:r w:rsidR="00385A1D">
        <w:rPr>
          <w:rFonts w:ascii="Garamond" w:hAnsi="Garamond"/>
          <w:lang w:val="fr-FR"/>
        </w:rPr>
        <w:t>l’Union européenne</w:t>
      </w:r>
      <w:r w:rsidR="00385A1D" w:rsidRPr="002E5CC2">
        <w:rPr>
          <w:rFonts w:ascii="Garamond" w:hAnsi="Garamond"/>
          <w:lang w:val="fr-FR"/>
        </w:rPr>
        <w:t>, la Cour des comptes européenne, la</w:t>
      </w:r>
      <w:r w:rsidR="00385A1D">
        <w:rPr>
          <w:rFonts w:ascii="Garamond" w:hAnsi="Garamond"/>
          <w:lang w:val="fr-FR"/>
        </w:rPr>
        <w:t xml:space="preserve"> Commission européenne, le Centre de traduction des organes de l'Union européenne, la Banque européenne d'investissement, le Conseil de l'Union européenne, le Comité des régions ainsi que le Comité économique et social européen </w:t>
      </w:r>
      <w:r w:rsidR="000A0FEF">
        <w:rPr>
          <w:rFonts w:ascii="Garamond" w:hAnsi="Garamond"/>
          <w:lang w:val="fr-FR"/>
        </w:rPr>
        <w:t>ci-après dénommés "les Institutions"</w:t>
      </w:r>
      <w:r w:rsidRPr="003F7870">
        <w:rPr>
          <w:rFonts w:ascii="Garamond" w:hAnsi="Garamond"/>
          <w:lang w:val="fr-FR"/>
        </w:rPr>
        <w:t xml:space="preserve">, envisagent </w:t>
      </w:r>
      <w:r w:rsidR="003E1DC1" w:rsidRPr="003E1DC1">
        <w:rPr>
          <w:rFonts w:ascii="Garamond" w:hAnsi="Garamond"/>
          <w:lang w:val="fr-FR"/>
        </w:rPr>
        <w:t>la passation du m</w:t>
      </w:r>
      <w:r w:rsidR="003E1DC1">
        <w:rPr>
          <w:rFonts w:ascii="Garamond" w:hAnsi="Garamond"/>
          <w:lang w:val="fr-FR"/>
        </w:rPr>
        <w:t xml:space="preserve">arché décrit ci-dessus, visant </w:t>
      </w:r>
      <w:r w:rsidRPr="003F7870">
        <w:rPr>
          <w:rFonts w:ascii="Garamond" w:hAnsi="Garamond"/>
          <w:lang w:val="fr-FR"/>
        </w:rPr>
        <w:t>la conclusion de deux contrats</w:t>
      </w:r>
      <w:r w:rsidR="00E3545B">
        <w:rPr>
          <w:rFonts w:ascii="Garamond" w:hAnsi="Garamond"/>
          <w:lang w:val="fr-FR"/>
        </w:rPr>
        <w:noBreakHyphen/>
      </w:r>
      <w:r w:rsidRPr="003F7870">
        <w:rPr>
          <w:rFonts w:ascii="Garamond" w:hAnsi="Garamond"/>
          <w:lang w:val="fr-FR"/>
        </w:rPr>
        <w:t xml:space="preserve">cadres pour la location à long terme de berlines de représentation et/ou de </w:t>
      </w:r>
      <w:r w:rsidR="00E3545B">
        <w:rPr>
          <w:rFonts w:ascii="Garamond" w:hAnsi="Garamond"/>
          <w:lang w:val="fr-FR"/>
        </w:rPr>
        <w:t>voitures utilitaires</w:t>
      </w:r>
      <w:r w:rsidR="00000763">
        <w:rPr>
          <w:rFonts w:ascii="Garamond" w:hAnsi="Garamond"/>
          <w:lang w:val="fr-FR"/>
        </w:rPr>
        <w:t>, breaks</w:t>
      </w:r>
      <w:r w:rsidR="00E3545B">
        <w:rPr>
          <w:rFonts w:ascii="Garamond" w:hAnsi="Garamond"/>
          <w:lang w:val="fr-FR"/>
        </w:rPr>
        <w:t xml:space="preserve"> et/ou monospaces</w:t>
      </w:r>
      <w:r w:rsidRPr="003F7870">
        <w:rPr>
          <w:rFonts w:ascii="Garamond" w:hAnsi="Garamond"/>
          <w:lang w:val="fr-FR"/>
        </w:rPr>
        <w:t xml:space="preserve">. À l'intérieur de ces contrats-cadres, chaque véhicule fera l'objet d'un </w:t>
      </w:r>
      <w:r w:rsidR="00E3545B">
        <w:rPr>
          <w:rFonts w:ascii="Garamond" w:hAnsi="Garamond"/>
          <w:lang w:val="fr-FR"/>
        </w:rPr>
        <w:t>bon de commande ou d'un contrat</w:t>
      </w:r>
      <w:r w:rsidRPr="003F7870">
        <w:rPr>
          <w:rFonts w:ascii="Garamond" w:hAnsi="Garamond"/>
          <w:lang w:val="fr-FR"/>
        </w:rPr>
        <w:t xml:space="preserve"> spécifique.</w:t>
      </w:r>
    </w:p>
    <w:p w:rsidR="00EB0E83" w:rsidRPr="003F7870" w:rsidRDefault="00EB0E83">
      <w:pPr>
        <w:jc w:val="both"/>
        <w:rPr>
          <w:rFonts w:ascii="Garamond" w:hAnsi="Garamond"/>
          <w:lang w:val="fr-FR"/>
        </w:rPr>
      </w:pPr>
    </w:p>
    <w:p w:rsidR="00DD4533" w:rsidRPr="00DD4533" w:rsidRDefault="00DD4533" w:rsidP="00DD4533">
      <w:pPr>
        <w:tabs>
          <w:tab w:val="left" w:pos="993"/>
        </w:tabs>
        <w:jc w:val="both"/>
        <w:rPr>
          <w:rFonts w:ascii="Garamond" w:hAnsi="Garamond"/>
          <w:lang w:val="fr-FR"/>
        </w:rPr>
      </w:pPr>
      <w:r w:rsidRPr="00DD4533">
        <w:rPr>
          <w:rFonts w:ascii="Garamond" w:hAnsi="Garamond"/>
          <w:lang w:val="fr-FR"/>
        </w:rPr>
        <w:t>Les documents de marché comprennent: l'avis de marché</w:t>
      </w:r>
      <w:r>
        <w:rPr>
          <w:rFonts w:ascii="Garamond" w:hAnsi="Garamond"/>
          <w:lang w:val="fr-FR"/>
        </w:rPr>
        <w:t xml:space="preserve"> mentionné ci-dessus, </w:t>
      </w:r>
      <w:r w:rsidRPr="00DD4533">
        <w:rPr>
          <w:rFonts w:ascii="Garamond" w:hAnsi="Garamond"/>
          <w:lang w:val="fr-FR"/>
        </w:rPr>
        <w:t xml:space="preserve">la </w:t>
      </w:r>
      <w:r>
        <w:rPr>
          <w:rFonts w:ascii="Garamond" w:hAnsi="Garamond"/>
          <w:lang w:val="fr-FR"/>
        </w:rPr>
        <w:t>présente lettre</w:t>
      </w:r>
      <w:r w:rsidRPr="00DD4533">
        <w:rPr>
          <w:rFonts w:ascii="Garamond" w:hAnsi="Garamond"/>
          <w:lang w:val="fr-FR"/>
        </w:rPr>
        <w:t xml:space="preserve"> d'invitation, le cahier des charges accompagné de ses annexes</w:t>
      </w:r>
      <w:r w:rsidR="003E1DC1">
        <w:rPr>
          <w:rFonts w:ascii="Garamond" w:hAnsi="Garamond"/>
          <w:lang w:val="fr-FR"/>
        </w:rPr>
        <w:t xml:space="preserve"> ainsi que</w:t>
      </w:r>
      <w:r w:rsidRPr="00DD4533">
        <w:rPr>
          <w:rFonts w:ascii="Garamond" w:hAnsi="Garamond"/>
          <w:lang w:val="fr-FR"/>
        </w:rPr>
        <w:t xml:space="preserve"> le projet de contrat.</w:t>
      </w:r>
    </w:p>
    <w:p w:rsidR="00DD4533" w:rsidRPr="00DD4533" w:rsidRDefault="00DD4533" w:rsidP="00DD4533">
      <w:pPr>
        <w:tabs>
          <w:tab w:val="left" w:pos="993"/>
        </w:tabs>
        <w:rPr>
          <w:rFonts w:ascii="Garamond" w:hAnsi="Garamond"/>
          <w:lang w:val="fr-FR"/>
        </w:rPr>
      </w:pPr>
    </w:p>
    <w:p w:rsidR="00DD4533" w:rsidRPr="003F7870" w:rsidRDefault="00DD4533" w:rsidP="00DD4533">
      <w:pPr>
        <w:tabs>
          <w:tab w:val="left" w:pos="993"/>
        </w:tabs>
        <w:jc w:val="both"/>
        <w:rPr>
          <w:rFonts w:ascii="Garamond" w:hAnsi="Garamond"/>
          <w:lang w:val="fr-FR"/>
        </w:rPr>
      </w:pPr>
      <w:r w:rsidRPr="003F7870">
        <w:rPr>
          <w:rFonts w:ascii="Garamond" w:hAnsi="Garamond"/>
          <w:lang w:val="fr-FR"/>
        </w:rPr>
        <w:t>Ce marché est composé de deux lots</w:t>
      </w:r>
      <w:r>
        <w:rPr>
          <w:rFonts w:ascii="Garamond" w:hAnsi="Garamond"/>
          <w:lang w:val="fr-FR"/>
        </w:rPr>
        <w:t xml:space="preserve"> séparés, constitués de deux sous lots chacun</w:t>
      </w:r>
      <w:r w:rsidRPr="003F7870">
        <w:rPr>
          <w:rFonts w:ascii="Garamond" w:hAnsi="Garamond"/>
          <w:lang w:val="fr-FR"/>
        </w:rPr>
        <w:t>:</w:t>
      </w:r>
    </w:p>
    <w:p w:rsidR="00EB0E83" w:rsidRPr="003F7870" w:rsidRDefault="00EB0E83">
      <w:pPr>
        <w:rPr>
          <w:rFonts w:ascii="Garamond" w:hAnsi="Garamond"/>
          <w:lang w:val="fr-FR"/>
        </w:rPr>
      </w:pPr>
    </w:p>
    <w:p w:rsidR="00EB0E83" w:rsidRDefault="00EB0E83">
      <w:pPr>
        <w:pStyle w:val="TemplateBase"/>
        <w:spacing w:after="0" w:line="240" w:lineRule="auto"/>
        <w:jc w:val="both"/>
        <w:rPr>
          <w:noProof w:val="0"/>
          <w:lang w:val="fr-FR"/>
        </w:rPr>
      </w:pPr>
      <w:r>
        <w:rPr>
          <w:noProof w:val="0"/>
          <w:lang w:val="fr-FR"/>
        </w:rPr>
        <w:t xml:space="preserve">Les soumissionnaires peuvent </w:t>
      </w:r>
      <w:r w:rsidR="004B6EDB">
        <w:rPr>
          <w:noProof w:val="0"/>
          <w:lang w:val="fr-FR"/>
        </w:rPr>
        <w:t>introduire leurs demandes</w:t>
      </w:r>
      <w:r>
        <w:rPr>
          <w:noProof w:val="0"/>
          <w:lang w:val="fr-FR"/>
        </w:rPr>
        <w:t xml:space="preserve"> pour un seul lot ou pour les deux lots.</w:t>
      </w:r>
    </w:p>
    <w:p w:rsidR="007108D4" w:rsidRDefault="007108D4">
      <w:pPr>
        <w:pStyle w:val="TemplateBase"/>
        <w:spacing w:after="0" w:line="240" w:lineRule="auto"/>
        <w:jc w:val="both"/>
        <w:rPr>
          <w:noProof w:val="0"/>
          <w:lang w:val="fr-FR"/>
        </w:rPr>
      </w:pPr>
    </w:p>
    <w:p w:rsidR="0092435A" w:rsidRDefault="0092435A">
      <w:pPr>
        <w:pStyle w:val="TemplateBase"/>
        <w:spacing w:after="0" w:line="240" w:lineRule="auto"/>
        <w:jc w:val="both"/>
        <w:rPr>
          <w:noProof w:val="0"/>
          <w:lang w:val="fr-FR"/>
        </w:rPr>
      </w:pPr>
    </w:p>
    <w:p w:rsidR="00DD4533" w:rsidRPr="00DD4533" w:rsidRDefault="00DD4533">
      <w:pPr>
        <w:pStyle w:val="TemplateBase"/>
        <w:spacing w:after="0" w:line="240" w:lineRule="auto"/>
        <w:jc w:val="both"/>
        <w:rPr>
          <w:b/>
          <w:noProof w:val="0"/>
          <w:szCs w:val="24"/>
          <w:lang w:val="fr-FR"/>
        </w:rPr>
      </w:pPr>
      <w:r w:rsidRPr="00DD4533">
        <w:rPr>
          <w:b/>
          <w:noProof w:val="0"/>
          <w:sz w:val="32"/>
          <w:szCs w:val="32"/>
          <w:lang w:val="fr-FR"/>
        </w:rPr>
        <w:t>2.</w:t>
      </w:r>
      <w:r w:rsidR="00646C31">
        <w:rPr>
          <w:b/>
          <w:noProof w:val="0"/>
          <w:sz w:val="32"/>
          <w:szCs w:val="32"/>
          <w:lang w:val="fr-FR"/>
        </w:rPr>
        <w:tab/>
      </w:r>
      <w:r w:rsidRPr="00DD4533">
        <w:rPr>
          <w:noProof w:val="0"/>
          <w:szCs w:val="24"/>
          <w:lang w:val="fr-FR"/>
        </w:rPr>
        <w:t>La présente passation de marché comporte</w:t>
      </w:r>
      <w:r>
        <w:rPr>
          <w:noProof w:val="0"/>
          <w:szCs w:val="24"/>
          <w:lang w:val="fr-FR"/>
        </w:rPr>
        <w:t xml:space="preserve"> </w:t>
      </w:r>
      <w:r w:rsidRPr="00DD4533">
        <w:rPr>
          <w:b/>
          <w:noProof w:val="0"/>
          <w:szCs w:val="24"/>
          <w:u w:val="single"/>
          <w:lang w:val="fr-FR"/>
        </w:rPr>
        <w:t>deux étapes</w:t>
      </w:r>
      <w:r>
        <w:rPr>
          <w:noProof w:val="0"/>
          <w:szCs w:val="24"/>
          <w:lang w:val="fr-FR"/>
        </w:rPr>
        <w:t> :</w:t>
      </w:r>
    </w:p>
    <w:p w:rsidR="00DD4533" w:rsidRDefault="00DD4533">
      <w:pPr>
        <w:pStyle w:val="TemplateBase"/>
        <w:spacing w:after="0" w:line="240" w:lineRule="auto"/>
        <w:jc w:val="both"/>
        <w:rPr>
          <w:noProof w:val="0"/>
          <w:lang w:val="fr-FR"/>
        </w:rPr>
      </w:pPr>
    </w:p>
    <w:p w:rsidR="00DD4533" w:rsidRPr="00DD4533" w:rsidRDefault="00DD4533" w:rsidP="004B6EDB">
      <w:pPr>
        <w:pStyle w:val="TemplateBase"/>
        <w:spacing w:after="0" w:line="240" w:lineRule="auto"/>
        <w:ind w:left="1361" w:hanging="1361"/>
        <w:jc w:val="both"/>
        <w:rPr>
          <w:b/>
          <w:noProof w:val="0"/>
          <w:u w:val="single"/>
          <w:lang w:val="fr-FR"/>
        </w:rPr>
      </w:pPr>
      <w:r w:rsidRPr="00DD4533">
        <w:rPr>
          <w:b/>
          <w:noProof w:val="0"/>
          <w:u w:val="single"/>
          <w:lang w:val="fr-FR"/>
        </w:rPr>
        <w:t>1</w:t>
      </w:r>
      <w:r w:rsidRPr="004B6EDB">
        <w:rPr>
          <w:b/>
          <w:noProof w:val="0"/>
          <w:u w:val="single"/>
          <w:lang w:val="fr-FR"/>
        </w:rPr>
        <w:t>ère</w:t>
      </w:r>
      <w:r w:rsidRPr="00DD4533">
        <w:rPr>
          <w:b/>
          <w:noProof w:val="0"/>
          <w:u w:val="single"/>
          <w:lang w:val="fr-FR"/>
        </w:rPr>
        <w:t xml:space="preserve"> étape : </w:t>
      </w:r>
      <w:r w:rsidR="004B6EDB">
        <w:rPr>
          <w:b/>
          <w:noProof w:val="0"/>
          <w:u w:val="single"/>
          <w:lang w:val="fr-FR"/>
        </w:rPr>
        <w:tab/>
      </w:r>
      <w:r w:rsidRPr="00DD4533">
        <w:rPr>
          <w:b/>
          <w:noProof w:val="0"/>
          <w:u w:val="single"/>
          <w:lang w:val="fr-FR"/>
        </w:rPr>
        <w:t>Vérification des critères d’exclusion et de sélection</w:t>
      </w:r>
      <w:r w:rsidR="00C35372">
        <w:rPr>
          <w:b/>
          <w:noProof w:val="0"/>
          <w:u w:val="single"/>
          <w:lang w:val="fr-FR"/>
        </w:rPr>
        <w:t xml:space="preserve"> (voir Annexe à la fin)</w:t>
      </w:r>
    </w:p>
    <w:p w:rsidR="00DD4533" w:rsidRDefault="00DD4533">
      <w:pPr>
        <w:pStyle w:val="TemplateBase"/>
        <w:spacing w:after="0" w:line="240" w:lineRule="auto"/>
        <w:jc w:val="both"/>
        <w:rPr>
          <w:noProof w:val="0"/>
          <w:lang w:val="fr-FR"/>
        </w:rPr>
      </w:pPr>
    </w:p>
    <w:p w:rsidR="00DD4533" w:rsidRDefault="004B6EDB" w:rsidP="00F7250D">
      <w:pPr>
        <w:pStyle w:val="TemplateBase"/>
        <w:numPr>
          <w:ilvl w:val="0"/>
          <w:numId w:val="12"/>
        </w:numPr>
        <w:spacing w:after="0" w:line="240" w:lineRule="auto"/>
        <w:jc w:val="both"/>
        <w:rPr>
          <w:noProof w:val="0"/>
          <w:lang w:val="fr-FR"/>
        </w:rPr>
      </w:pPr>
      <w:r>
        <w:rPr>
          <w:noProof w:val="0"/>
          <w:lang w:val="fr-FR"/>
        </w:rPr>
        <w:t>dans un premier temps, si vous êtes intéressé par ce marché, vous devez soumettre une demande de participation dans une des langues officielles de l’Union européenne, accompagnée des documents nécessaires pour la vérification des critères d’exclusion et de sélection</w:t>
      </w:r>
      <w:r w:rsidR="00AC26B0">
        <w:rPr>
          <w:rStyle w:val="FootnoteReference"/>
          <w:noProof w:val="0"/>
          <w:lang w:val="fr-FR"/>
        </w:rPr>
        <w:footnoteReference w:id="1"/>
      </w:r>
      <w:r w:rsidR="0038272F">
        <w:rPr>
          <w:noProof w:val="0"/>
          <w:lang w:val="fr-FR"/>
        </w:rPr>
        <w:t>, notamment la déclaration sur l’honneur en annexe (PARTIE I.1)</w:t>
      </w:r>
      <w:r>
        <w:rPr>
          <w:noProof w:val="0"/>
          <w:lang w:val="fr-FR"/>
        </w:rPr>
        <w:t>.</w:t>
      </w:r>
      <w:r w:rsidR="0038272F">
        <w:rPr>
          <w:noProof w:val="0"/>
          <w:lang w:val="fr-FR"/>
        </w:rPr>
        <w:t xml:space="preserve"> La </w:t>
      </w:r>
      <w:r w:rsidR="0038272F">
        <w:rPr>
          <w:noProof w:val="0"/>
          <w:lang w:val="fr-FR"/>
        </w:rPr>
        <w:lastRenderedPageBreak/>
        <w:t>déclaration sur l’honneur signée doit reproduire ce modèle in extenso. Le soumissionnaire à qui le marché sera attribué fournira, sous peine d’exclusion, dans le délai défini par écrit par le pouvoir adjudicateur et avant la signature du contrat, les preuves confirmant sa déclaration sur l’honneur.</w:t>
      </w:r>
      <w:r w:rsidR="00F7250D">
        <w:rPr>
          <w:noProof w:val="0"/>
          <w:lang w:val="fr-FR"/>
        </w:rPr>
        <w:t xml:space="preserve"> </w:t>
      </w:r>
      <w:r w:rsidR="00F7250D" w:rsidRPr="00F7250D">
        <w:rPr>
          <w:noProof w:val="0"/>
          <w:lang w:val="fr-FR"/>
        </w:rPr>
        <w:t>Le pouvoir adjudicateur se réserve le droit de demander tout autre document lui permettant de vérifier la capacité économique et financière du soumissionnaire.</w:t>
      </w:r>
    </w:p>
    <w:p w:rsidR="00DD4533" w:rsidRDefault="00DD4533">
      <w:pPr>
        <w:pStyle w:val="TemplateBase"/>
        <w:spacing w:after="0" w:line="240" w:lineRule="auto"/>
        <w:jc w:val="both"/>
        <w:rPr>
          <w:noProof w:val="0"/>
          <w:lang w:val="fr-FR"/>
        </w:rPr>
      </w:pPr>
    </w:p>
    <w:p w:rsidR="00DD4533" w:rsidRPr="00DD4533" w:rsidRDefault="00DD4533" w:rsidP="004B6EDB">
      <w:pPr>
        <w:pStyle w:val="TemplateBase"/>
        <w:spacing w:after="0" w:line="240" w:lineRule="auto"/>
        <w:ind w:left="1361" w:hanging="1361"/>
        <w:jc w:val="both"/>
        <w:rPr>
          <w:b/>
          <w:noProof w:val="0"/>
          <w:u w:val="single"/>
          <w:lang w:val="fr-FR"/>
        </w:rPr>
      </w:pPr>
      <w:r>
        <w:rPr>
          <w:b/>
          <w:noProof w:val="0"/>
          <w:u w:val="single"/>
          <w:lang w:val="fr-FR"/>
        </w:rPr>
        <w:t>2</w:t>
      </w:r>
      <w:r w:rsidRPr="00DD4533">
        <w:rPr>
          <w:b/>
          <w:noProof w:val="0"/>
          <w:u w:val="single"/>
          <w:vertAlign w:val="superscript"/>
          <w:lang w:val="fr-FR"/>
        </w:rPr>
        <w:t>ème</w:t>
      </w:r>
      <w:r>
        <w:rPr>
          <w:b/>
          <w:noProof w:val="0"/>
          <w:u w:val="single"/>
          <w:lang w:val="fr-FR"/>
        </w:rPr>
        <w:t xml:space="preserve"> </w:t>
      </w:r>
      <w:r w:rsidRPr="00DD4533">
        <w:rPr>
          <w:b/>
          <w:noProof w:val="0"/>
          <w:u w:val="single"/>
          <w:lang w:val="fr-FR"/>
        </w:rPr>
        <w:t xml:space="preserve">étape : </w:t>
      </w:r>
      <w:r w:rsidR="004B6EDB">
        <w:rPr>
          <w:b/>
          <w:noProof w:val="0"/>
          <w:u w:val="single"/>
          <w:lang w:val="fr-FR"/>
        </w:rPr>
        <w:tab/>
      </w:r>
      <w:r w:rsidRPr="00DD4533">
        <w:rPr>
          <w:b/>
          <w:noProof w:val="0"/>
          <w:u w:val="single"/>
          <w:lang w:val="fr-FR"/>
        </w:rPr>
        <w:t>Vérification de</w:t>
      </w:r>
      <w:r>
        <w:rPr>
          <w:b/>
          <w:noProof w:val="0"/>
          <w:u w:val="single"/>
          <w:lang w:val="fr-FR"/>
        </w:rPr>
        <w:t xml:space="preserve"> la conformité de l’offre aux </w:t>
      </w:r>
      <w:r w:rsidR="00C35372">
        <w:rPr>
          <w:b/>
          <w:noProof w:val="0"/>
          <w:u w:val="single"/>
          <w:lang w:val="fr-FR"/>
        </w:rPr>
        <w:t>exigences</w:t>
      </w:r>
      <w:r>
        <w:rPr>
          <w:b/>
          <w:noProof w:val="0"/>
          <w:u w:val="single"/>
          <w:lang w:val="fr-FR"/>
        </w:rPr>
        <w:t xml:space="preserve"> minimales fixées dans le cahier des charges et comparaison des offre</w:t>
      </w:r>
      <w:r w:rsidR="004B6EDB">
        <w:rPr>
          <w:b/>
          <w:noProof w:val="0"/>
          <w:u w:val="single"/>
          <w:lang w:val="fr-FR"/>
        </w:rPr>
        <w:t>s eu égard des critères d’attribution</w:t>
      </w:r>
    </w:p>
    <w:p w:rsidR="00DD4533" w:rsidRDefault="00DD4533">
      <w:pPr>
        <w:pStyle w:val="TemplateBase"/>
        <w:spacing w:after="0" w:line="240" w:lineRule="auto"/>
        <w:jc w:val="both"/>
        <w:rPr>
          <w:noProof w:val="0"/>
          <w:lang w:val="fr-FR"/>
        </w:rPr>
      </w:pPr>
    </w:p>
    <w:p w:rsidR="004B6EDB" w:rsidRDefault="004B6EDB" w:rsidP="004B6EDB">
      <w:pPr>
        <w:pStyle w:val="TemplateBase"/>
        <w:numPr>
          <w:ilvl w:val="0"/>
          <w:numId w:val="12"/>
        </w:numPr>
        <w:spacing w:after="0" w:line="240" w:lineRule="auto"/>
        <w:jc w:val="both"/>
        <w:rPr>
          <w:noProof w:val="0"/>
          <w:lang w:val="fr-FR"/>
        </w:rPr>
      </w:pPr>
      <w:r>
        <w:rPr>
          <w:noProof w:val="0"/>
          <w:lang w:val="fr-FR"/>
        </w:rPr>
        <w:t>dans un deuxième temps, seuls les candidats retenus lors de la 1</w:t>
      </w:r>
      <w:r w:rsidRPr="004B6EDB">
        <w:rPr>
          <w:noProof w:val="0"/>
          <w:vertAlign w:val="superscript"/>
          <w:lang w:val="fr-FR"/>
        </w:rPr>
        <w:t>ère</w:t>
      </w:r>
      <w:r>
        <w:rPr>
          <w:noProof w:val="0"/>
          <w:lang w:val="fr-FR"/>
        </w:rPr>
        <w:t xml:space="preserve"> étape seront invités à soumettre une offre</w:t>
      </w:r>
      <w:r w:rsidR="00C35372">
        <w:rPr>
          <w:noProof w:val="0"/>
          <w:lang w:val="fr-FR"/>
        </w:rPr>
        <w:t xml:space="preserve"> dans un délai d’au moins </w:t>
      </w:r>
      <w:r w:rsidR="00C35372" w:rsidRPr="00FD262A">
        <w:rPr>
          <w:b/>
          <w:noProof w:val="0"/>
          <w:lang w:val="fr-FR"/>
        </w:rPr>
        <w:t>30 jours</w:t>
      </w:r>
      <w:r w:rsidR="00C35372">
        <w:rPr>
          <w:noProof w:val="0"/>
          <w:lang w:val="fr-FR"/>
        </w:rPr>
        <w:t xml:space="preserve"> calendrier à partir de la date d’envoi de l’invitation à soumissionner. </w:t>
      </w:r>
      <w:r>
        <w:rPr>
          <w:noProof w:val="0"/>
          <w:lang w:val="fr-FR"/>
        </w:rPr>
        <w:t>Toute offre reçue d’une personne physique ou morale n’ayant pas été invitée à soumissionner sera rejetée.</w:t>
      </w:r>
    </w:p>
    <w:p w:rsidR="00DD4533" w:rsidRDefault="00DD4533">
      <w:pPr>
        <w:pStyle w:val="TemplateBase"/>
        <w:spacing w:after="0" w:line="240" w:lineRule="auto"/>
        <w:jc w:val="both"/>
        <w:rPr>
          <w:noProof w:val="0"/>
          <w:lang w:val="fr-FR"/>
        </w:rPr>
      </w:pPr>
    </w:p>
    <w:p w:rsidR="00DD4533" w:rsidRDefault="00DD4533">
      <w:pPr>
        <w:pStyle w:val="TemplateBase"/>
        <w:spacing w:after="0" w:line="240" w:lineRule="auto"/>
        <w:jc w:val="both"/>
        <w:rPr>
          <w:noProof w:val="0"/>
          <w:lang w:val="fr-FR"/>
        </w:rPr>
      </w:pPr>
    </w:p>
    <w:p w:rsidR="0092435A" w:rsidRPr="00DD4533" w:rsidRDefault="0092435A" w:rsidP="00646C31">
      <w:pPr>
        <w:pStyle w:val="TemplateBase"/>
        <w:spacing w:after="0" w:line="240" w:lineRule="auto"/>
        <w:ind w:left="720" w:hanging="720"/>
        <w:jc w:val="both"/>
        <w:rPr>
          <w:b/>
          <w:noProof w:val="0"/>
          <w:szCs w:val="24"/>
          <w:lang w:val="fr-FR"/>
        </w:rPr>
      </w:pPr>
      <w:r>
        <w:rPr>
          <w:b/>
          <w:noProof w:val="0"/>
          <w:sz w:val="32"/>
          <w:szCs w:val="32"/>
          <w:lang w:val="fr-FR"/>
        </w:rPr>
        <w:t>3</w:t>
      </w:r>
      <w:r w:rsidRPr="00DD4533">
        <w:rPr>
          <w:b/>
          <w:noProof w:val="0"/>
          <w:sz w:val="32"/>
          <w:szCs w:val="32"/>
          <w:lang w:val="fr-FR"/>
        </w:rPr>
        <w:t xml:space="preserve">. </w:t>
      </w:r>
      <w:r w:rsidR="00646C31">
        <w:rPr>
          <w:b/>
          <w:noProof w:val="0"/>
          <w:sz w:val="32"/>
          <w:szCs w:val="32"/>
          <w:lang w:val="fr-FR"/>
        </w:rPr>
        <w:tab/>
      </w:r>
      <w:r w:rsidRPr="00DD4533">
        <w:rPr>
          <w:noProof w:val="0"/>
          <w:szCs w:val="24"/>
          <w:lang w:val="fr-FR"/>
        </w:rPr>
        <w:t xml:space="preserve">La </w:t>
      </w:r>
      <w:r>
        <w:rPr>
          <w:noProof w:val="0"/>
          <w:szCs w:val="24"/>
          <w:lang w:val="fr-FR"/>
        </w:rPr>
        <w:t>demande de participation pour la 1</w:t>
      </w:r>
      <w:r w:rsidRPr="0092435A">
        <w:rPr>
          <w:noProof w:val="0"/>
          <w:szCs w:val="24"/>
          <w:vertAlign w:val="superscript"/>
          <w:lang w:val="fr-FR"/>
        </w:rPr>
        <w:t>ère</w:t>
      </w:r>
      <w:r>
        <w:rPr>
          <w:noProof w:val="0"/>
          <w:szCs w:val="24"/>
          <w:lang w:val="fr-FR"/>
        </w:rPr>
        <w:t xml:space="preserve"> étape doit parvenir au plus tard le </w:t>
      </w:r>
      <w:r w:rsidR="00705267">
        <w:rPr>
          <w:b/>
          <w:noProof w:val="0"/>
          <w:szCs w:val="24"/>
          <w:lang w:val="fr-FR"/>
        </w:rPr>
        <w:t>14</w:t>
      </w:r>
      <w:r w:rsidRPr="0092435A">
        <w:rPr>
          <w:b/>
          <w:noProof w:val="0"/>
          <w:szCs w:val="24"/>
          <w:lang w:val="fr-FR"/>
        </w:rPr>
        <w:t>/</w:t>
      </w:r>
      <w:r w:rsidR="00705267">
        <w:rPr>
          <w:b/>
          <w:noProof w:val="0"/>
          <w:szCs w:val="24"/>
          <w:lang w:val="fr-FR"/>
        </w:rPr>
        <w:t>12</w:t>
      </w:r>
      <w:r w:rsidRPr="0092435A">
        <w:rPr>
          <w:b/>
          <w:noProof w:val="0"/>
          <w:szCs w:val="24"/>
          <w:lang w:val="fr-FR"/>
        </w:rPr>
        <w:t>/2016</w:t>
      </w:r>
      <w:r>
        <w:rPr>
          <w:noProof w:val="0"/>
          <w:szCs w:val="24"/>
          <w:lang w:val="fr-FR"/>
        </w:rPr>
        <w:t>.</w:t>
      </w:r>
    </w:p>
    <w:p w:rsidR="00DD4533" w:rsidRDefault="00DD4533">
      <w:pPr>
        <w:pStyle w:val="TemplateBase"/>
        <w:spacing w:after="0" w:line="240" w:lineRule="auto"/>
        <w:jc w:val="both"/>
        <w:rPr>
          <w:noProof w:val="0"/>
          <w:lang w:val="fr-FR"/>
        </w:rPr>
      </w:pPr>
    </w:p>
    <w:p w:rsidR="006D6622" w:rsidRDefault="006D6622" w:rsidP="006D6622">
      <w:pPr>
        <w:pStyle w:val="TemplateBase"/>
        <w:spacing w:after="0" w:line="240" w:lineRule="auto"/>
        <w:jc w:val="both"/>
        <w:rPr>
          <w:noProof w:val="0"/>
          <w:lang w:val="fr-FR"/>
        </w:rPr>
      </w:pPr>
      <w:r>
        <w:rPr>
          <w:noProof w:val="0"/>
          <w:lang w:val="fr-FR"/>
        </w:rPr>
        <w:t>Les documents doivent être transmis exclusivement sur papier, à raison d’un dossier original accompagné d’une copie.</w:t>
      </w:r>
    </w:p>
    <w:p w:rsidR="006D6622" w:rsidRDefault="006D6622" w:rsidP="006D6622">
      <w:pPr>
        <w:pStyle w:val="TemplateBase"/>
        <w:spacing w:after="0" w:line="240" w:lineRule="auto"/>
        <w:jc w:val="both"/>
        <w:rPr>
          <w:noProof w:val="0"/>
          <w:lang w:val="fr-FR"/>
        </w:rPr>
      </w:pPr>
    </w:p>
    <w:p w:rsidR="006D6622" w:rsidRDefault="006D6622" w:rsidP="006D6622">
      <w:pPr>
        <w:pStyle w:val="TemplateBase"/>
        <w:spacing w:after="0" w:line="240" w:lineRule="auto"/>
        <w:jc w:val="both"/>
        <w:rPr>
          <w:noProof w:val="0"/>
          <w:lang w:val="fr-FR"/>
        </w:rPr>
      </w:pPr>
      <w:r w:rsidRPr="006D6622">
        <w:rPr>
          <w:noProof w:val="0"/>
          <w:lang w:val="fr-FR"/>
        </w:rPr>
        <w:t xml:space="preserve">L'envoi doit être fait sous double enveloppe. Les deux enveloppes seront fermées et porteront l'adresse indiquée ci-dessous. </w:t>
      </w:r>
    </w:p>
    <w:p w:rsidR="006D6622" w:rsidRPr="006D6622" w:rsidRDefault="006D6622" w:rsidP="006D6622">
      <w:pPr>
        <w:pStyle w:val="TemplateBase"/>
        <w:spacing w:after="0" w:line="240" w:lineRule="auto"/>
        <w:jc w:val="both"/>
        <w:rPr>
          <w:noProof w:val="0"/>
          <w:lang w:val="fr-FR"/>
        </w:rPr>
      </w:pPr>
    </w:p>
    <w:p w:rsidR="006D6622" w:rsidRDefault="006D6622" w:rsidP="006D6622">
      <w:pPr>
        <w:pStyle w:val="TemplateBase"/>
        <w:spacing w:after="0" w:line="240" w:lineRule="auto"/>
        <w:jc w:val="both"/>
        <w:rPr>
          <w:noProof w:val="0"/>
          <w:lang w:val="fr-FR"/>
        </w:rPr>
      </w:pPr>
      <w:r w:rsidRPr="006D6622">
        <w:rPr>
          <w:noProof w:val="0"/>
          <w:lang w:val="fr-FR"/>
        </w:rPr>
        <w:t>L'enveloppe extérieure devra porter la mention suivante :</w:t>
      </w:r>
    </w:p>
    <w:p w:rsidR="006D6622" w:rsidRPr="006D6622" w:rsidRDefault="006D6622" w:rsidP="006D6622">
      <w:pPr>
        <w:pStyle w:val="TemplateBase"/>
        <w:spacing w:after="0" w:line="240" w:lineRule="auto"/>
        <w:jc w:val="both"/>
        <w:rPr>
          <w:noProof w:val="0"/>
          <w:lang w:val="fr-FR"/>
        </w:rPr>
      </w:pPr>
    </w:p>
    <w:p w:rsidR="006D6622" w:rsidRPr="006D6622" w:rsidRDefault="006D6622" w:rsidP="006D6622">
      <w:pPr>
        <w:pStyle w:val="TemplateBase"/>
        <w:spacing w:after="0" w:line="240" w:lineRule="auto"/>
        <w:jc w:val="both"/>
        <w:rPr>
          <w:b/>
          <w:noProof w:val="0"/>
          <w:lang w:val="fr-FR"/>
        </w:rPr>
      </w:pPr>
      <w:r w:rsidRPr="006D6622">
        <w:rPr>
          <w:b/>
          <w:noProof w:val="0"/>
          <w:lang w:val="fr-FR"/>
        </w:rPr>
        <w:t>« Cour de justice de l’Union européenne</w:t>
      </w:r>
    </w:p>
    <w:p w:rsidR="006D6622" w:rsidRPr="006D6622" w:rsidRDefault="006D6622" w:rsidP="006D6622">
      <w:pPr>
        <w:pStyle w:val="TemplateBase"/>
        <w:spacing w:after="0" w:line="240" w:lineRule="auto"/>
        <w:jc w:val="both"/>
        <w:rPr>
          <w:b/>
          <w:noProof w:val="0"/>
          <w:lang w:val="fr-FR"/>
        </w:rPr>
      </w:pPr>
      <w:r w:rsidRPr="006D6622">
        <w:rPr>
          <w:b/>
          <w:noProof w:val="0"/>
          <w:lang w:val="fr-FR"/>
        </w:rPr>
        <w:t>Appel d’offres CJ-PROC- 16/022</w:t>
      </w:r>
    </w:p>
    <w:p w:rsidR="006D6622" w:rsidRPr="006D6622" w:rsidRDefault="006D6622" w:rsidP="006D6622">
      <w:pPr>
        <w:pStyle w:val="TemplateBase"/>
        <w:spacing w:after="0" w:line="240" w:lineRule="auto"/>
        <w:jc w:val="both"/>
        <w:rPr>
          <w:b/>
          <w:noProof w:val="0"/>
          <w:lang w:val="fr-FR"/>
        </w:rPr>
      </w:pPr>
      <w:r w:rsidRPr="006D6622">
        <w:rPr>
          <w:b/>
          <w:noProof w:val="0"/>
          <w:lang w:val="fr-FR"/>
        </w:rPr>
        <w:t>M. Luis Moitinho</w:t>
      </w:r>
    </w:p>
    <w:p w:rsidR="006D6622" w:rsidRPr="006D6622" w:rsidRDefault="006D6622" w:rsidP="006D6622">
      <w:pPr>
        <w:pStyle w:val="TemplateBase"/>
        <w:spacing w:after="0" w:line="240" w:lineRule="auto"/>
        <w:jc w:val="both"/>
        <w:rPr>
          <w:b/>
          <w:noProof w:val="0"/>
          <w:lang w:val="fr-FR"/>
        </w:rPr>
      </w:pPr>
      <w:r w:rsidRPr="006D6622">
        <w:rPr>
          <w:b/>
          <w:noProof w:val="0"/>
          <w:lang w:val="fr-FR"/>
        </w:rPr>
        <w:t>L-2925 Luxembourg »</w:t>
      </w:r>
    </w:p>
    <w:p w:rsidR="006D6622" w:rsidRDefault="006D6622" w:rsidP="006D6622">
      <w:pPr>
        <w:pStyle w:val="TemplateBase"/>
        <w:spacing w:after="0" w:line="240" w:lineRule="auto"/>
        <w:jc w:val="both"/>
        <w:rPr>
          <w:noProof w:val="0"/>
          <w:lang w:val="fr-FR"/>
        </w:rPr>
      </w:pPr>
    </w:p>
    <w:p w:rsidR="006D6622" w:rsidRDefault="006D6622" w:rsidP="006D6622">
      <w:pPr>
        <w:pStyle w:val="TemplateBase"/>
        <w:spacing w:after="0" w:line="240" w:lineRule="auto"/>
        <w:jc w:val="both"/>
        <w:rPr>
          <w:noProof w:val="0"/>
          <w:lang w:val="fr-FR"/>
        </w:rPr>
      </w:pPr>
      <w:r w:rsidRPr="006D6622">
        <w:rPr>
          <w:noProof w:val="0"/>
          <w:lang w:val="fr-FR"/>
        </w:rPr>
        <w:t>L’enveloppe intérieure devra porter la mention suivante:</w:t>
      </w:r>
    </w:p>
    <w:p w:rsidR="006D6622" w:rsidRPr="006D6622" w:rsidRDefault="006D6622" w:rsidP="006D6622">
      <w:pPr>
        <w:pStyle w:val="TemplateBase"/>
        <w:spacing w:after="0" w:line="240" w:lineRule="auto"/>
        <w:jc w:val="both"/>
        <w:rPr>
          <w:noProof w:val="0"/>
          <w:lang w:val="fr-FR"/>
        </w:rPr>
      </w:pPr>
    </w:p>
    <w:p w:rsidR="006D6622" w:rsidRPr="006D6622" w:rsidRDefault="006D6622" w:rsidP="006D6622">
      <w:pPr>
        <w:pStyle w:val="TemplateBase"/>
        <w:spacing w:after="0" w:line="240" w:lineRule="auto"/>
        <w:jc w:val="both"/>
        <w:rPr>
          <w:b/>
          <w:noProof w:val="0"/>
          <w:lang w:val="fr-FR"/>
        </w:rPr>
      </w:pPr>
      <w:r w:rsidRPr="006D6622">
        <w:rPr>
          <w:b/>
          <w:noProof w:val="0"/>
          <w:lang w:val="fr-FR"/>
        </w:rPr>
        <w:t>«APPEL D’OFFRES CJ-PROC-16/022</w:t>
      </w:r>
    </w:p>
    <w:p w:rsidR="006D6622" w:rsidRPr="006D6622" w:rsidRDefault="006D6622" w:rsidP="006D6622">
      <w:pPr>
        <w:pStyle w:val="TemplateBase"/>
        <w:spacing w:after="0" w:line="240" w:lineRule="auto"/>
        <w:jc w:val="both"/>
        <w:rPr>
          <w:b/>
          <w:noProof w:val="0"/>
          <w:lang w:val="fr-FR"/>
        </w:rPr>
      </w:pPr>
      <w:r w:rsidRPr="006D6622">
        <w:rPr>
          <w:b/>
          <w:noProof w:val="0"/>
          <w:lang w:val="fr-FR"/>
        </w:rPr>
        <w:t>Offre de la firme …………………………………</w:t>
      </w:r>
      <w:r w:rsidRPr="006D6622">
        <w:rPr>
          <w:b/>
          <w:noProof w:val="0"/>
          <w:lang w:val="fr-FR"/>
        </w:rPr>
        <w:tab/>
      </w:r>
    </w:p>
    <w:p w:rsidR="006D6622" w:rsidRPr="006D6622" w:rsidRDefault="006D6622" w:rsidP="006D6622">
      <w:pPr>
        <w:pStyle w:val="TemplateBase"/>
        <w:spacing w:after="0" w:line="240" w:lineRule="auto"/>
        <w:jc w:val="both"/>
        <w:rPr>
          <w:b/>
          <w:noProof w:val="0"/>
          <w:lang w:val="fr-FR"/>
        </w:rPr>
      </w:pPr>
      <w:r w:rsidRPr="006D6622">
        <w:rPr>
          <w:b/>
          <w:noProof w:val="0"/>
          <w:lang w:val="fr-FR"/>
        </w:rPr>
        <w:t>À NE PAS OUVRIR PAR LE SERVICE COURRIER»</w:t>
      </w:r>
    </w:p>
    <w:p w:rsidR="006D6622" w:rsidRDefault="006D6622" w:rsidP="006D6622">
      <w:pPr>
        <w:pStyle w:val="TemplateBase"/>
        <w:spacing w:after="0" w:line="240" w:lineRule="auto"/>
        <w:jc w:val="both"/>
        <w:rPr>
          <w:noProof w:val="0"/>
          <w:lang w:val="fr-FR"/>
        </w:rPr>
      </w:pPr>
    </w:p>
    <w:p w:rsidR="006D6622" w:rsidRPr="006D6622" w:rsidRDefault="006D6622" w:rsidP="006D6622">
      <w:pPr>
        <w:pStyle w:val="TemplateBase"/>
        <w:spacing w:after="0" w:line="240" w:lineRule="auto"/>
        <w:jc w:val="both"/>
        <w:rPr>
          <w:noProof w:val="0"/>
          <w:lang w:val="fr-FR"/>
        </w:rPr>
      </w:pPr>
      <w:r w:rsidRPr="006D6622">
        <w:rPr>
          <w:noProof w:val="0"/>
          <w:lang w:val="fr-FR"/>
        </w:rPr>
        <w:t>Veuillez recourir à l’une des modalités de transmission suivantes:</w:t>
      </w:r>
    </w:p>
    <w:p w:rsidR="009F0A59" w:rsidRDefault="009F0A59">
      <w:pPr>
        <w:rPr>
          <w:rFonts w:ascii="Garamond" w:hAnsi="Garamond"/>
          <w:szCs w:val="20"/>
          <w:lang w:val="fr-FR"/>
        </w:rPr>
      </w:pPr>
      <w:r>
        <w:rPr>
          <w:lang w:val="fr-FR"/>
        </w:rPr>
        <w:br w:type="page"/>
      </w:r>
    </w:p>
    <w:p w:rsidR="006D6622" w:rsidRDefault="006D6622" w:rsidP="006D6622">
      <w:pPr>
        <w:pStyle w:val="TemplateBase"/>
        <w:spacing w:after="0" w:line="240" w:lineRule="auto"/>
        <w:jc w:val="both"/>
        <w:rPr>
          <w:noProof w:val="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559"/>
        <w:gridCol w:w="1808"/>
        <w:gridCol w:w="3725"/>
      </w:tblGrid>
      <w:tr w:rsidR="006D6622" w:rsidTr="006D6622">
        <w:tc>
          <w:tcPr>
            <w:tcW w:w="1430" w:type="dxa"/>
            <w:tcBorders>
              <w:bottom w:val="single" w:sz="2" w:space="0" w:color="auto"/>
            </w:tcBorders>
            <w:shd w:val="clear" w:color="auto" w:fill="auto"/>
          </w:tcPr>
          <w:p w:rsidR="006D6622" w:rsidRDefault="006D6622" w:rsidP="00CC1B86">
            <w:pPr>
              <w:spacing w:before="100" w:beforeAutospacing="1" w:after="100" w:afterAutospacing="1"/>
              <w:jc w:val="center"/>
            </w:pPr>
            <w:proofErr w:type="spellStart"/>
            <w:r>
              <w:t>Modalité</w:t>
            </w:r>
            <w:proofErr w:type="spellEnd"/>
            <w:r>
              <w:t xml:space="preserve"> de transmission</w:t>
            </w:r>
          </w:p>
        </w:tc>
        <w:tc>
          <w:tcPr>
            <w:tcW w:w="1559" w:type="dxa"/>
            <w:tcBorders>
              <w:bottom w:val="single" w:sz="2" w:space="0" w:color="auto"/>
            </w:tcBorders>
            <w:shd w:val="clear" w:color="auto" w:fill="auto"/>
          </w:tcPr>
          <w:p w:rsidR="006D6622" w:rsidRDefault="006D6622" w:rsidP="00CC1B86">
            <w:pPr>
              <w:spacing w:before="100" w:beforeAutospacing="1" w:after="100" w:afterAutospacing="1"/>
              <w:jc w:val="center"/>
            </w:pPr>
            <w:proofErr w:type="spellStart"/>
            <w:r>
              <w:t>Délai</w:t>
            </w:r>
            <w:proofErr w:type="spellEnd"/>
          </w:p>
        </w:tc>
        <w:tc>
          <w:tcPr>
            <w:tcW w:w="1808" w:type="dxa"/>
            <w:tcBorders>
              <w:bottom w:val="single" w:sz="2" w:space="0" w:color="auto"/>
            </w:tcBorders>
            <w:shd w:val="clear" w:color="auto" w:fill="auto"/>
          </w:tcPr>
          <w:p w:rsidR="006D6622" w:rsidRDefault="006D6622" w:rsidP="00CC1B86">
            <w:pPr>
              <w:spacing w:before="100" w:beforeAutospacing="1" w:after="100" w:afterAutospacing="1"/>
              <w:jc w:val="center"/>
            </w:pPr>
            <w:proofErr w:type="spellStart"/>
            <w:r>
              <w:t>Preuve</w:t>
            </w:r>
            <w:proofErr w:type="spellEnd"/>
            <w:r>
              <w:t xml:space="preserve"> de </w:t>
            </w:r>
            <w:proofErr w:type="spellStart"/>
            <w:r>
              <w:t>l’envoi</w:t>
            </w:r>
            <w:proofErr w:type="spellEnd"/>
          </w:p>
        </w:tc>
        <w:tc>
          <w:tcPr>
            <w:tcW w:w="3725" w:type="dxa"/>
            <w:tcBorders>
              <w:bottom w:val="single" w:sz="2" w:space="0" w:color="auto"/>
            </w:tcBorders>
            <w:shd w:val="clear" w:color="auto" w:fill="auto"/>
          </w:tcPr>
          <w:p w:rsidR="006D6622" w:rsidRDefault="006D6622" w:rsidP="00CC1B86">
            <w:pPr>
              <w:spacing w:before="100" w:beforeAutospacing="1" w:after="100" w:afterAutospacing="1"/>
              <w:jc w:val="center"/>
            </w:pPr>
            <w:proofErr w:type="spellStart"/>
            <w:r>
              <w:t>Adresse</w:t>
            </w:r>
            <w:proofErr w:type="spellEnd"/>
            <w:r>
              <w:t xml:space="preserve"> de </w:t>
            </w:r>
            <w:proofErr w:type="spellStart"/>
            <w:r>
              <w:t>livraison</w:t>
            </w:r>
            <w:proofErr w:type="spellEnd"/>
          </w:p>
        </w:tc>
      </w:tr>
      <w:tr w:rsidR="006D6622" w:rsidRPr="006D6622" w:rsidTr="006D6622">
        <w:tc>
          <w:tcPr>
            <w:tcW w:w="1430" w:type="dxa"/>
            <w:tcBorders>
              <w:top w:val="single" w:sz="2" w:space="0" w:color="auto"/>
              <w:left w:val="single" w:sz="2" w:space="0" w:color="auto"/>
              <w:bottom w:val="single" w:sz="18" w:space="0" w:color="auto"/>
              <w:right w:val="single" w:sz="2" w:space="0" w:color="auto"/>
            </w:tcBorders>
            <w:shd w:val="clear" w:color="auto" w:fill="auto"/>
            <w:vAlign w:val="center"/>
          </w:tcPr>
          <w:p w:rsidR="006D6622" w:rsidRDefault="006D6622" w:rsidP="00CC1B86">
            <w:pPr>
              <w:spacing w:before="100" w:beforeAutospacing="1" w:after="100" w:afterAutospacing="1"/>
              <w:jc w:val="both"/>
            </w:pPr>
            <w:r>
              <w:t>Poste</w:t>
            </w:r>
          </w:p>
        </w:tc>
        <w:tc>
          <w:tcPr>
            <w:tcW w:w="1559" w:type="dxa"/>
            <w:tcBorders>
              <w:top w:val="single" w:sz="2" w:space="0" w:color="auto"/>
              <w:left w:val="single" w:sz="2" w:space="0" w:color="auto"/>
              <w:bottom w:val="single" w:sz="18" w:space="0" w:color="auto"/>
              <w:right w:val="single" w:sz="2" w:space="0" w:color="auto"/>
            </w:tcBorders>
            <w:shd w:val="clear" w:color="auto" w:fill="auto"/>
            <w:vAlign w:val="center"/>
          </w:tcPr>
          <w:p w:rsidR="006D6622" w:rsidRPr="00F33BED" w:rsidRDefault="006D6622" w:rsidP="00CC1B86">
            <w:pPr>
              <w:spacing w:before="100" w:beforeAutospacing="1" w:after="100" w:afterAutospacing="1"/>
              <w:jc w:val="both"/>
              <w:rPr>
                <w:b/>
              </w:rPr>
            </w:pPr>
            <w:r>
              <w:rPr>
                <w:b/>
              </w:rPr>
              <w:t xml:space="preserve">24 h 00 </w:t>
            </w:r>
            <w:proofErr w:type="spellStart"/>
            <w:r>
              <w:rPr>
                <w:b/>
              </w:rPr>
              <w:t>Heure</w:t>
            </w:r>
            <w:proofErr w:type="spellEnd"/>
            <w:r>
              <w:rPr>
                <w:b/>
              </w:rPr>
              <w:t xml:space="preserve"> de Luxembourg</w:t>
            </w:r>
          </w:p>
        </w:tc>
        <w:tc>
          <w:tcPr>
            <w:tcW w:w="1808" w:type="dxa"/>
            <w:tcBorders>
              <w:top w:val="single" w:sz="2" w:space="0" w:color="auto"/>
              <w:left w:val="single" w:sz="2" w:space="0" w:color="auto"/>
              <w:bottom w:val="single" w:sz="18" w:space="0" w:color="auto"/>
              <w:right w:val="single" w:sz="2" w:space="0" w:color="auto"/>
            </w:tcBorders>
            <w:shd w:val="clear" w:color="auto" w:fill="auto"/>
            <w:vAlign w:val="center"/>
          </w:tcPr>
          <w:p w:rsidR="006D6622" w:rsidRDefault="006D6622" w:rsidP="00CC1B86">
            <w:pPr>
              <w:spacing w:before="100" w:beforeAutospacing="1" w:after="100" w:afterAutospacing="1"/>
              <w:jc w:val="both"/>
            </w:pPr>
            <w:r>
              <w:t xml:space="preserve">Cachet de la poste </w:t>
            </w:r>
          </w:p>
        </w:tc>
        <w:tc>
          <w:tcPr>
            <w:tcW w:w="3725" w:type="dxa"/>
            <w:vMerge w:val="restart"/>
            <w:tcBorders>
              <w:top w:val="single" w:sz="2" w:space="0" w:color="auto"/>
              <w:left w:val="single" w:sz="2" w:space="0" w:color="auto"/>
              <w:right w:val="single" w:sz="2" w:space="0" w:color="auto"/>
            </w:tcBorders>
            <w:shd w:val="clear" w:color="auto" w:fill="auto"/>
            <w:vAlign w:val="center"/>
          </w:tcPr>
          <w:p w:rsidR="006D6622" w:rsidRPr="006D6622" w:rsidRDefault="006D6622" w:rsidP="00CC1B86">
            <w:pPr>
              <w:spacing w:before="40"/>
              <w:rPr>
                <w:lang w:val="fr-BE"/>
              </w:rPr>
            </w:pPr>
            <w:r w:rsidRPr="006D6622">
              <w:rPr>
                <w:lang w:val="fr-BE"/>
              </w:rPr>
              <w:t>APPEL D'OFFRES</w:t>
            </w:r>
          </w:p>
          <w:p w:rsidR="006D6622" w:rsidRPr="006D6622" w:rsidRDefault="006D6622" w:rsidP="00CC1B86">
            <w:pPr>
              <w:spacing w:before="40"/>
              <w:rPr>
                <w:b/>
                <w:lang w:val="fr-BE"/>
              </w:rPr>
            </w:pPr>
            <w:r w:rsidRPr="006D6622">
              <w:rPr>
                <w:b/>
                <w:lang w:val="fr-BE"/>
              </w:rPr>
              <w:t xml:space="preserve">CJ-PROC- 16/022 </w:t>
            </w:r>
          </w:p>
          <w:p w:rsidR="006D6622" w:rsidRPr="006D6622" w:rsidRDefault="006D6622" w:rsidP="00CC1B86">
            <w:pPr>
              <w:spacing w:before="40"/>
              <w:rPr>
                <w:lang w:val="fr-BE"/>
              </w:rPr>
            </w:pPr>
            <w:r w:rsidRPr="006D6622">
              <w:rPr>
                <w:lang w:val="fr-BE"/>
              </w:rPr>
              <w:t>Cour de Justice de l’Union européenne</w:t>
            </w:r>
          </w:p>
          <w:p w:rsidR="006D6622" w:rsidRDefault="006D6622" w:rsidP="00CC1B86">
            <w:pPr>
              <w:spacing w:before="40"/>
              <w:rPr>
                <w:lang w:val="fr-BE"/>
              </w:rPr>
            </w:pPr>
            <w:r w:rsidRPr="006D6622">
              <w:rPr>
                <w:lang w:val="fr-BE"/>
              </w:rPr>
              <w:t xml:space="preserve">À l'attention de </w:t>
            </w:r>
          </w:p>
          <w:p w:rsidR="006D6622" w:rsidRPr="0038272F" w:rsidRDefault="006D6622" w:rsidP="00CC1B86">
            <w:pPr>
              <w:spacing w:before="40"/>
              <w:rPr>
                <w:lang w:val="fr-BE"/>
              </w:rPr>
            </w:pPr>
            <w:r w:rsidRPr="0038272F">
              <w:rPr>
                <w:lang w:val="fr-BE"/>
              </w:rPr>
              <w:t>M. Luis MOITINHO</w:t>
            </w:r>
          </w:p>
          <w:p w:rsidR="006D6622" w:rsidRPr="006D6622" w:rsidRDefault="006D6622" w:rsidP="00CC1B86">
            <w:pPr>
              <w:spacing w:before="40"/>
              <w:rPr>
                <w:lang w:val="pt-PT"/>
              </w:rPr>
            </w:pPr>
            <w:r w:rsidRPr="006D6622">
              <w:rPr>
                <w:lang w:val="pt-PT"/>
              </w:rPr>
              <w:t xml:space="preserve">L-2925 </w:t>
            </w:r>
            <w:proofErr w:type="spellStart"/>
            <w:r w:rsidRPr="006D6622">
              <w:rPr>
                <w:lang w:val="pt-PT"/>
              </w:rPr>
              <w:t>Luxembourg</w:t>
            </w:r>
            <w:proofErr w:type="spellEnd"/>
          </w:p>
        </w:tc>
      </w:tr>
      <w:tr w:rsidR="006D6622" w:rsidRPr="001635D4" w:rsidTr="006D6622">
        <w:trPr>
          <w:trHeight w:val="1032"/>
        </w:trPr>
        <w:tc>
          <w:tcPr>
            <w:tcW w:w="1430" w:type="dxa"/>
            <w:tcBorders>
              <w:top w:val="single" w:sz="18" w:space="0" w:color="auto"/>
            </w:tcBorders>
            <w:shd w:val="clear" w:color="auto" w:fill="auto"/>
            <w:vAlign w:val="center"/>
          </w:tcPr>
          <w:p w:rsidR="006D6622" w:rsidRPr="006D6622" w:rsidRDefault="006D6622" w:rsidP="00CC1B86">
            <w:pPr>
              <w:spacing w:before="100" w:beforeAutospacing="1" w:after="100" w:afterAutospacing="1"/>
              <w:jc w:val="both"/>
              <w:rPr>
                <w:lang w:val="fr-BE"/>
              </w:rPr>
            </w:pPr>
            <w:r w:rsidRPr="006D6622">
              <w:rPr>
                <w:lang w:val="fr-BE"/>
              </w:rPr>
              <w:t>Service de messagerie</w:t>
            </w:r>
          </w:p>
        </w:tc>
        <w:tc>
          <w:tcPr>
            <w:tcW w:w="1559" w:type="dxa"/>
            <w:tcBorders>
              <w:top w:val="single" w:sz="18" w:space="0" w:color="auto"/>
            </w:tcBorders>
            <w:shd w:val="clear" w:color="auto" w:fill="auto"/>
            <w:vAlign w:val="center"/>
          </w:tcPr>
          <w:p w:rsidR="006D6622" w:rsidRPr="006D6622" w:rsidRDefault="006D6622" w:rsidP="00CC1B86">
            <w:pPr>
              <w:spacing w:before="100" w:beforeAutospacing="1" w:after="100" w:afterAutospacing="1"/>
              <w:jc w:val="both"/>
              <w:rPr>
                <w:b/>
                <w:lang w:val="fr-BE"/>
              </w:rPr>
            </w:pPr>
            <w:r w:rsidRPr="006D6622">
              <w:rPr>
                <w:b/>
                <w:lang w:val="fr-BE"/>
              </w:rPr>
              <w:t>24 h 00 Heure de Luxembourg</w:t>
            </w:r>
          </w:p>
        </w:tc>
        <w:tc>
          <w:tcPr>
            <w:tcW w:w="1808" w:type="dxa"/>
            <w:tcBorders>
              <w:top w:val="single" w:sz="18" w:space="0" w:color="auto"/>
              <w:right w:val="single" w:sz="2" w:space="0" w:color="auto"/>
            </w:tcBorders>
            <w:shd w:val="clear" w:color="auto" w:fill="auto"/>
            <w:vAlign w:val="center"/>
          </w:tcPr>
          <w:p w:rsidR="006D6622" w:rsidRPr="006D6622" w:rsidRDefault="006D6622" w:rsidP="00CC1B86">
            <w:pPr>
              <w:spacing w:before="100" w:beforeAutospacing="1" w:after="100" w:afterAutospacing="1"/>
              <w:jc w:val="both"/>
              <w:rPr>
                <w:lang w:val="fr-BE"/>
              </w:rPr>
            </w:pPr>
            <w:r w:rsidRPr="006D6622">
              <w:rPr>
                <w:lang w:val="fr-BE"/>
              </w:rPr>
              <w:t>Récépissé de dépôt du service de messagerie</w:t>
            </w:r>
          </w:p>
        </w:tc>
        <w:tc>
          <w:tcPr>
            <w:tcW w:w="3725" w:type="dxa"/>
            <w:vMerge/>
            <w:tcBorders>
              <w:left w:val="single" w:sz="2" w:space="0" w:color="auto"/>
              <w:right w:val="single" w:sz="2" w:space="0" w:color="auto"/>
            </w:tcBorders>
            <w:shd w:val="clear" w:color="auto" w:fill="auto"/>
            <w:vAlign w:val="center"/>
          </w:tcPr>
          <w:p w:rsidR="006D6622" w:rsidRPr="006D6622" w:rsidRDefault="006D6622" w:rsidP="00CC1B86">
            <w:pPr>
              <w:spacing w:before="100" w:beforeAutospacing="1"/>
              <w:rPr>
                <w:lang w:val="fr-BE"/>
              </w:rPr>
            </w:pPr>
          </w:p>
        </w:tc>
      </w:tr>
      <w:tr w:rsidR="006D6622" w:rsidRPr="001635D4" w:rsidTr="006D6622">
        <w:tc>
          <w:tcPr>
            <w:tcW w:w="1430" w:type="dxa"/>
            <w:shd w:val="clear" w:color="auto" w:fill="auto"/>
            <w:vAlign w:val="center"/>
          </w:tcPr>
          <w:p w:rsidR="006D6622" w:rsidRPr="006D6622" w:rsidRDefault="006D6622" w:rsidP="00CC1B86">
            <w:pPr>
              <w:spacing w:before="100" w:beforeAutospacing="1" w:after="100" w:afterAutospacing="1"/>
              <w:jc w:val="both"/>
              <w:rPr>
                <w:lang w:val="fr-BE"/>
              </w:rPr>
            </w:pPr>
            <w:r w:rsidRPr="006D6622">
              <w:rPr>
                <w:lang w:val="fr-BE"/>
              </w:rPr>
              <w:t>En personne (remise en main propre)</w:t>
            </w:r>
          </w:p>
        </w:tc>
        <w:tc>
          <w:tcPr>
            <w:tcW w:w="1559" w:type="dxa"/>
            <w:shd w:val="clear" w:color="auto" w:fill="auto"/>
            <w:vAlign w:val="center"/>
          </w:tcPr>
          <w:p w:rsidR="006D6622" w:rsidRPr="00F33BED" w:rsidRDefault="006D6622" w:rsidP="00CC1B86">
            <w:pPr>
              <w:spacing w:before="100" w:beforeAutospacing="1" w:after="100" w:afterAutospacing="1"/>
              <w:jc w:val="both"/>
              <w:rPr>
                <w:b/>
              </w:rPr>
            </w:pPr>
            <w:r>
              <w:rPr>
                <w:b/>
              </w:rPr>
              <w:t xml:space="preserve">17 h 00 </w:t>
            </w:r>
            <w:proofErr w:type="spellStart"/>
            <w:r>
              <w:rPr>
                <w:b/>
              </w:rPr>
              <w:t>Heure</w:t>
            </w:r>
            <w:proofErr w:type="spellEnd"/>
            <w:r>
              <w:rPr>
                <w:b/>
              </w:rPr>
              <w:t xml:space="preserve"> de Luxembourg</w:t>
            </w:r>
          </w:p>
        </w:tc>
        <w:tc>
          <w:tcPr>
            <w:tcW w:w="1808" w:type="dxa"/>
            <w:tcBorders>
              <w:right w:val="single" w:sz="2" w:space="0" w:color="auto"/>
            </w:tcBorders>
            <w:shd w:val="clear" w:color="auto" w:fill="auto"/>
            <w:vAlign w:val="center"/>
          </w:tcPr>
          <w:p w:rsidR="006D6622" w:rsidRPr="006D6622" w:rsidRDefault="006D6622" w:rsidP="00CC1B86">
            <w:pPr>
              <w:spacing w:before="100" w:beforeAutospacing="1" w:after="100" w:afterAutospacing="1"/>
              <w:rPr>
                <w:lang w:val="fr-BE"/>
              </w:rPr>
            </w:pPr>
            <w:r w:rsidRPr="006D6622">
              <w:rPr>
                <w:lang w:val="fr-BE"/>
              </w:rPr>
              <w:t>Preuve du dépôt, datée et signée par le fonctionnaire du service central de réception du courrier à qui les documents sont remis.</w:t>
            </w:r>
          </w:p>
        </w:tc>
        <w:tc>
          <w:tcPr>
            <w:tcW w:w="3725" w:type="dxa"/>
            <w:vMerge/>
            <w:tcBorders>
              <w:left w:val="single" w:sz="2" w:space="0" w:color="auto"/>
              <w:right w:val="single" w:sz="2" w:space="0" w:color="auto"/>
            </w:tcBorders>
            <w:shd w:val="clear" w:color="auto" w:fill="auto"/>
          </w:tcPr>
          <w:p w:rsidR="006D6622" w:rsidRPr="006D6622" w:rsidRDefault="006D6622" w:rsidP="00CC1B86">
            <w:pPr>
              <w:spacing w:before="100" w:beforeAutospacing="1" w:after="100" w:afterAutospacing="1"/>
              <w:jc w:val="both"/>
              <w:rPr>
                <w:lang w:val="fr-BE"/>
              </w:rPr>
            </w:pPr>
          </w:p>
        </w:tc>
      </w:tr>
    </w:tbl>
    <w:p w:rsidR="006D6622" w:rsidRPr="006D6622" w:rsidRDefault="006D6622" w:rsidP="006D6622">
      <w:pPr>
        <w:pStyle w:val="TemplateBase"/>
        <w:spacing w:after="0" w:line="240" w:lineRule="auto"/>
        <w:jc w:val="both"/>
        <w:rPr>
          <w:noProof w:val="0"/>
          <w:lang w:val="fr-BE"/>
        </w:rPr>
      </w:pPr>
      <w:r w:rsidRPr="006D6622">
        <w:rPr>
          <w:noProof w:val="0"/>
          <w:lang w:val="fr-FR"/>
        </w:rPr>
        <w:t>Ce service est ouvert de 9 h à 17 h du lundi au vendredi; il est fermé les samedis, dimanches et jours fériés de la Cour de justice.</w:t>
      </w:r>
    </w:p>
    <w:p w:rsidR="006D6622" w:rsidRDefault="006D6622" w:rsidP="006D6622">
      <w:pPr>
        <w:pStyle w:val="TemplateBase"/>
        <w:spacing w:after="0" w:line="240" w:lineRule="auto"/>
        <w:jc w:val="both"/>
        <w:rPr>
          <w:noProof w:val="0"/>
          <w:lang w:val="fr-FR"/>
        </w:rPr>
      </w:pPr>
    </w:p>
    <w:p w:rsidR="006D6622" w:rsidRDefault="006D6622" w:rsidP="006D6622">
      <w:pPr>
        <w:pStyle w:val="TemplateBase"/>
        <w:spacing w:after="0" w:line="240" w:lineRule="auto"/>
        <w:jc w:val="both"/>
        <w:rPr>
          <w:noProof w:val="0"/>
          <w:lang w:val="fr-FR"/>
        </w:rPr>
      </w:pPr>
    </w:p>
    <w:p w:rsidR="006D6622" w:rsidRPr="006D6622" w:rsidRDefault="006D6622" w:rsidP="006D6622">
      <w:pPr>
        <w:pStyle w:val="TemplateBase"/>
        <w:spacing w:after="0" w:line="240" w:lineRule="auto"/>
        <w:jc w:val="both"/>
        <w:rPr>
          <w:noProof w:val="0"/>
          <w:lang w:val="fr-FR"/>
        </w:rPr>
      </w:pPr>
      <w:r w:rsidRPr="00646C31">
        <w:rPr>
          <w:b/>
          <w:noProof w:val="0"/>
          <w:sz w:val="32"/>
          <w:szCs w:val="32"/>
          <w:lang w:val="fr-FR"/>
        </w:rPr>
        <w:t>4.</w:t>
      </w:r>
      <w:r w:rsidRPr="006D6622">
        <w:rPr>
          <w:noProof w:val="0"/>
          <w:lang w:val="fr-FR"/>
        </w:rPr>
        <w:tab/>
        <w:t xml:space="preserve">Toute </w:t>
      </w:r>
      <w:r w:rsidR="00646C31">
        <w:rPr>
          <w:noProof w:val="0"/>
          <w:lang w:val="fr-FR"/>
        </w:rPr>
        <w:t>demande de participation</w:t>
      </w:r>
      <w:r w:rsidRPr="006D6622">
        <w:rPr>
          <w:noProof w:val="0"/>
          <w:lang w:val="fr-FR"/>
        </w:rPr>
        <w:t xml:space="preserve"> doit:</w:t>
      </w:r>
    </w:p>
    <w:p w:rsidR="006D6622" w:rsidRPr="006D6622" w:rsidRDefault="006D6622" w:rsidP="00646C31">
      <w:pPr>
        <w:pStyle w:val="TemplateBase"/>
        <w:numPr>
          <w:ilvl w:val="0"/>
          <w:numId w:val="15"/>
        </w:numPr>
        <w:spacing w:after="0" w:line="240" w:lineRule="auto"/>
        <w:jc w:val="both"/>
        <w:rPr>
          <w:noProof w:val="0"/>
          <w:lang w:val="fr-FR"/>
        </w:rPr>
      </w:pPr>
      <w:r w:rsidRPr="006D6622">
        <w:rPr>
          <w:noProof w:val="0"/>
          <w:lang w:val="fr-FR"/>
        </w:rPr>
        <w:t>être parfaitement lisible afin d'éliminer le moindre doute sur les termes et les chiffres;</w:t>
      </w:r>
    </w:p>
    <w:p w:rsidR="006D6622" w:rsidRPr="006D6622" w:rsidRDefault="006D6622" w:rsidP="00646C31">
      <w:pPr>
        <w:pStyle w:val="TemplateBase"/>
        <w:numPr>
          <w:ilvl w:val="0"/>
          <w:numId w:val="15"/>
        </w:numPr>
        <w:spacing w:after="0" w:line="240" w:lineRule="auto"/>
        <w:jc w:val="both"/>
        <w:rPr>
          <w:noProof w:val="0"/>
          <w:lang w:val="fr-FR"/>
        </w:rPr>
      </w:pPr>
      <w:r w:rsidRPr="006D6622">
        <w:rPr>
          <w:noProof w:val="0"/>
          <w:lang w:val="fr-FR"/>
        </w:rPr>
        <w:t>être établie suivant les formulaires-types de réponse figurant dans le cahier des charges.</w:t>
      </w:r>
    </w:p>
    <w:p w:rsidR="00646C31" w:rsidRDefault="00646C31" w:rsidP="006D6622">
      <w:pPr>
        <w:pStyle w:val="TemplateBase"/>
        <w:spacing w:after="0" w:line="240" w:lineRule="auto"/>
        <w:jc w:val="both"/>
        <w:rPr>
          <w:noProof w:val="0"/>
          <w:lang w:val="fr-FR"/>
        </w:rPr>
      </w:pPr>
    </w:p>
    <w:p w:rsidR="00646C31" w:rsidRDefault="00646C31" w:rsidP="006D6622">
      <w:pPr>
        <w:pStyle w:val="TemplateBase"/>
        <w:spacing w:after="0" w:line="240" w:lineRule="auto"/>
        <w:jc w:val="both"/>
        <w:rPr>
          <w:noProof w:val="0"/>
          <w:lang w:val="fr-FR"/>
        </w:rPr>
      </w:pPr>
    </w:p>
    <w:p w:rsidR="006D6622" w:rsidRPr="006D6622" w:rsidRDefault="00646C31" w:rsidP="006D6622">
      <w:pPr>
        <w:pStyle w:val="TemplateBase"/>
        <w:spacing w:after="0" w:line="240" w:lineRule="auto"/>
        <w:jc w:val="both"/>
        <w:rPr>
          <w:noProof w:val="0"/>
          <w:lang w:val="fr-FR"/>
        </w:rPr>
      </w:pPr>
      <w:r>
        <w:rPr>
          <w:b/>
          <w:noProof w:val="0"/>
          <w:sz w:val="32"/>
          <w:szCs w:val="32"/>
          <w:lang w:val="fr-FR"/>
        </w:rPr>
        <w:t>5</w:t>
      </w:r>
      <w:r w:rsidR="006D6622" w:rsidRPr="00646C31">
        <w:rPr>
          <w:b/>
          <w:noProof w:val="0"/>
          <w:sz w:val="32"/>
          <w:szCs w:val="32"/>
          <w:lang w:val="fr-FR"/>
        </w:rPr>
        <w:t>.</w:t>
      </w:r>
      <w:r w:rsidR="006D6622" w:rsidRPr="006D6622">
        <w:rPr>
          <w:noProof w:val="0"/>
          <w:lang w:val="fr-FR"/>
        </w:rPr>
        <w:tab/>
        <w:t xml:space="preserve">La </w:t>
      </w:r>
      <w:r w:rsidR="00061A69">
        <w:rPr>
          <w:noProof w:val="0"/>
          <w:lang w:val="fr-FR"/>
        </w:rPr>
        <w:t>présentation d’une demande de participation</w:t>
      </w:r>
      <w:r w:rsidR="006D6622" w:rsidRPr="006D6622">
        <w:rPr>
          <w:noProof w:val="0"/>
          <w:lang w:val="fr-FR"/>
        </w:rPr>
        <w:t xml:space="preserve"> vaut acceptation des conditions contenues dans les documents de marché et, le cas échéant, renonciation du </w:t>
      </w:r>
      <w:r w:rsidR="00061A69">
        <w:rPr>
          <w:noProof w:val="0"/>
          <w:lang w:val="fr-FR"/>
        </w:rPr>
        <w:t>candidat</w:t>
      </w:r>
      <w:r w:rsidR="006D6622" w:rsidRPr="006D6622">
        <w:rPr>
          <w:noProof w:val="0"/>
          <w:lang w:val="fr-FR"/>
        </w:rPr>
        <w:t xml:space="preserve"> à ses propres conditions générales ou particulières. </w:t>
      </w:r>
    </w:p>
    <w:p w:rsidR="00646C31" w:rsidRDefault="00646C31" w:rsidP="006D6622">
      <w:pPr>
        <w:pStyle w:val="TemplateBase"/>
        <w:spacing w:after="0" w:line="240" w:lineRule="auto"/>
        <w:jc w:val="both"/>
        <w:rPr>
          <w:noProof w:val="0"/>
          <w:lang w:val="fr-FR"/>
        </w:rPr>
      </w:pPr>
    </w:p>
    <w:p w:rsidR="00646C31" w:rsidRDefault="00646C31" w:rsidP="006D6622">
      <w:pPr>
        <w:pStyle w:val="TemplateBase"/>
        <w:spacing w:after="0" w:line="240" w:lineRule="auto"/>
        <w:jc w:val="both"/>
        <w:rPr>
          <w:noProof w:val="0"/>
          <w:lang w:val="fr-FR"/>
        </w:rPr>
      </w:pPr>
    </w:p>
    <w:p w:rsidR="006D6622" w:rsidRPr="006D6622" w:rsidRDefault="00061A69" w:rsidP="006D6622">
      <w:pPr>
        <w:pStyle w:val="TemplateBase"/>
        <w:spacing w:after="0" w:line="240" w:lineRule="auto"/>
        <w:jc w:val="both"/>
        <w:rPr>
          <w:noProof w:val="0"/>
          <w:lang w:val="fr-FR"/>
        </w:rPr>
      </w:pPr>
      <w:r w:rsidRPr="00061A69">
        <w:rPr>
          <w:b/>
          <w:noProof w:val="0"/>
          <w:sz w:val="32"/>
          <w:szCs w:val="32"/>
          <w:lang w:val="fr-FR"/>
        </w:rPr>
        <w:t>6</w:t>
      </w:r>
      <w:r w:rsidR="006D6622" w:rsidRPr="00061A69">
        <w:rPr>
          <w:b/>
          <w:noProof w:val="0"/>
          <w:sz w:val="32"/>
          <w:szCs w:val="32"/>
          <w:lang w:val="fr-FR"/>
        </w:rPr>
        <w:t>.</w:t>
      </w:r>
      <w:r w:rsidR="006D6622" w:rsidRPr="006D6622">
        <w:rPr>
          <w:noProof w:val="0"/>
          <w:lang w:val="fr-FR"/>
        </w:rPr>
        <w:tab/>
        <w:t xml:space="preserve">Les frais occasionnés pour la préparation et la soumission des offres sont intégralement à la charge du </w:t>
      </w:r>
      <w:r>
        <w:rPr>
          <w:noProof w:val="0"/>
          <w:lang w:val="fr-FR"/>
        </w:rPr>
        <w:t>candidat</w:t>
      </w:r>
      <w:r w:rsidR="006D6622" w:rsidRPr="006D6622">
        <w:rPr>
          <w:noProof w:val="0"/>
          <w:lang w:val="fr-FR"/>
        </w:rPr>
        <w:t xml:space="preserve"> et ne seront pas remboursés. </w:t>
      </w:r>
    </w:p>
    <w:p w:rsidR="00061A69" w:rsidRDefault="00061A69" w:rsidP="006D6622">
      <w:pPr>
        <w:pStyle w:val="TemplateBase"/>
        <w:spacing w:after="0" w:line="240" w:lineRule="auto"/>
        <w:jc w:val="both"/>
        <w:rPr>
          <w:noProof w:val="0"/>
          <w:lang w:val="fr-FR"/>
        </w:rPr>
      </w:pPr>
    </w:p>
    <w:p w:rsidR="00061A69" w:rsidRDefault="00061A69" w:rsidP="006D6622">
      <w:pPr>
        <w:pStyle w:val="TemplateBase"/>
        <w:spacing w:after="0" w:line="240" w:lineRule="auto"/>
        <w:jc w:val="both"/>
        <w:rPr>
          <w:noProof w:val="0"/>
          <w:lang w:val="fr-FR"/>
        </w:rPr>
      </w:pPr>
    </w:p>
    <w:p w:rsidR="00061A69" w:rsidRDefault="00061A69" w:rsidP="006D6622">
      <w:pPr>
        <w:pStyle w:val="TemplateBase"/>
        <w:spacing w:after="0" w:line="240" w:lineRule="auto"/>
        <w:jc w:val="both"/>
        <w:rPr>
          <w:noProof w:val="0"/>
          <w:lang w:val="fr-FR"/>
        </w:rPr>
      </w:pPr>
      <w:r w:rsidRPr="00061A69">
        <w:rPr>
          <w:b/>
          <w:noProof w:val="0"/>
          <w:sz w:val="32"/>
          <w:szCs w:val="32"/>
          <w:lang w:val="fr-FR"/>
        </w:rPr>
        <w:t>7</w:t>
      </w:r>
      <w:r w:rsidR="006D6622" w:rsidRPr="00061A69">
        <w:rPr>
          <w:b/>
          <w:noProof w:val="0"/>
          <w:sz w:val="32"/>
          <w:szCs w:val="32"/>
          <w:lang w:val="fr-FR"/>
        </w:rPr>
        <w:t>.</w:t>
      </w:r>
      <w:r w:rsidR="006D6622" w:rsidRPr="006D6622">
        <w:rPr>
          <w:noProof w:val="0"/>
          <w:lang w:val="fr-FR"/>
        </w:rPr>
        <w:tab/>
        <w:t xml:space="preserve">Pendant toute la procédure, les contacts entre le pouvoir adjudicateur et les candidats ou soumissionnaires ne sont autorisés qu'à titre exceptionnel. </w:t>
      </w:r>
    </w:p>
    <w:p w:rsidR="00061A69" w:rsidRDefault="00061A69" w:rsidP="006D6622">
      <w:pPr>
        <w:pStyle w:val="TemplateBase"/>
        <w:spacing w:after="0" w:line="240" w:lineRule="auto"/>
        <w:jc w:val="both"/>
        <w:rPr>
          <w:noProof w:val="0"/>
          <w:lang w:val="fr-FR"/>
        </w:rPr>
      </w:pPr>
    </w:p>
    <w:p w:rsidR="006D6622" w:rsidRDefault="00061A69" w:rsidP="006D6622">
      <w:pPr>
        <w:pStyle w:val="TemplateBase"/>
        <w:spacing w:after="0" w:line="240" w:lineRule="auto"/>
        <w:jc w:val="both"/>
        <w:rPr>
          <w:noProof w:val="0"/>
          <w:lang w:val="fr-FR"/>
        </w:rPr>
      </w:pPr>
      <w:r>
        <w:rPr>
          <w:noProof w:val="0"/>
          <w:lang w:val="fr-FR"/>
        </w:rPr>
        <w:t>Pendant la 1</w:t>
      </w:r>
      <w:r w:rsidRPr="00061A69">
        <w:rPr>
          <w:noProof w:val="0"/>
          <w:vertAlign w:val="superscript"/>
          <w:lang w:val="fr-FR"/>
        </w:rPr>
        <w:t>ère</w:t>
      </w:r>
      <w:r>
        <w:rPr>
          <w:noProof w:val="0"/>
          <w:lang w:val="fr-FR"/>
        </w:rPr>
        <w:t xml:space="preserve"> phase de la procédure, i</w:t>
      </w:r>
      <w:r w:rsidR="006D6622" w:rsidRPr="006D6622">
        <w:rPr>
          <w:noProof w:val="0"/>
          <w:lang w:val="fr-FR"/>
        </w:rPr>
        <w:t>ls ne peuvent intervenir que dans les conditions suivantes:</w:t>
      </w:r>
    </w:p>
    <w:p w:rsidR="00061A69" w:rsidRPr="006D6622" w:rsidRDefault="00061A69" w:rsidP="006D6622">
      <w:pPr>
        <w:pStyle w:val="TemplateBase"/>
        <w:spacing w:after="0" w:line="240" w:lineRule="auto"/>
        <w:jc w:val="both"/>
        <w:rPr>
          <w:noProof w:val="0"/>
          <w:lang w:val="fr-FR"/>
        </w:rPr>
      </w:pPr>
    </w:p>
    <w:p w:rsidR="006D6622" w:rsidRPr="00061A69" w:rsidRDefault="006D6622" w:rsidP="006D6622">
      <w:pPr>
        <w:pStyle w:val="TemplateBase"/>
        <w:spacing w:after="0" w:line="240" w:lineRule="auto"/>
        <w:jc w:val="both"/>
        <w:rPr>
          <w:noProof w:val="0"/>
          <w:u w:val="single"/>
          <w:lang w:val="fr-FR"/>
        </w:rPr>
      </w:pPr>
      <w:r w:rsidRPr="00061A69">
        <w:rPr>
          <w:noProof w:val="0"/>
          <w:u w:val="single"/>
          <w:lang w:val="fr-FR"/>
        </w:rPr>
        <w:t>Avant la date de réception indiquée au point 3:</w:t>
      </w:r>
    </w:p>
    <w:p w:rsidR="00061A69" w:rsidRDefault="00061A69" w:rsidP="006D6622">
      <w:pPr>
        <w:pStyle w:val="TemplateBase"/>
        <w:spacing w:after="0" w:line="240" w:lineRule="auto"/>
        <w:jc w:val="both"/>
        <w:rPr>
          <w:noProof w:val="0"/>
          <w:lang w:val="fr-FR"/>
        </w:rPr>
      </w:pPr>
    </w:p>
    <w:p w:rsidR="006D6622" w:rsidRPr="006D6622" w:rsidRDefault="006D6622" w:rsidP="00061A69">
      <w:pPr>
        <w:pStyle w:val="TemplateBase"/>
        <w:spacing w:after="0" w:line="240" w:lineRule="auto"/>
        <w:ind w:left="720"/>
        <w:jc w:val="both"/>
        <w:rPr>
          <w:noProof w:val="0"/>
          <w:lang w:val="fr-FR"/>
        </w:rPr>
      </w:pPr>
      <w:r w:rsidRPr="006D6622">
        <w:rPr>
          <w:noProof w:val="0"/>
          <w:lang w:val="fr-FR"/>
        </w:rPr>
        <w:t>Sur demande, le pouvoir adjudicateur peut fournir des renseignements supplémentaires ayant strictement pour but de clarifier les documents de marché.</w:t>
      </w:r>
    </w:p>
    <w:p w:rsidR="00061A69" w:rsidRDefault="00061A69" w:rsidP="00061A69">
      <w:pPr>
        <w:pStyle w:val="TemplateBase"/>
        <w:spacing w:after="0" w:line="240" w:lineRule="auto"/>
        <w:ind w:left="720"/>
        <w:jc w:val="both"/>
        <w:rPr>
          <w:noProof w:val="0"/>
          <w:lang w:val="fr-FR"/>
        </w:rPr>
      </w:pPr>
    </w:p>
    <w:p w:rsidR="006D6622" w:rsidRPr="006D6622" w:rsidRDefault="006D6622" w:rsidP="00061A69">
      <w:pPr>
        <w:pStyle w:val="TemplateBase"/>
        <w:spacing w:after="0" w:line="240" w:lineRule="auto"/>
        <w:ind w:left="720"/>
        <w:jc w:val="both"/>
        <w:rPr>
          <w:noProof w:val="0"/>
          <w:lang w:val="fr-FR"/>
        </w:rPr>
      </w:pPr>
      <w:r w:rsidRPr="006D6622">
        <w:rPr>
          <w:noProof w:val="0"/>
          <w:lang w:val="fr-FR"/>
        </w:rPr>
        <w:t xml:space="preserve">Toute demande de renseignements supplémentaires doit être adressée, par écrit uniquement, à </w:t>
      </w:r>
      <w:hyperlink r:id="rId10" w:history="1">
        <w:r w:rsidR="00DD034D" w:rsidRPr="006D511F">
          <w:rPr>
            <w:rStyle w:val="Hyperlink"/>
            <w:noProof w:val="0"/>
            <w:lang w:val="fr-FR"/>
          </w:rPr>
          <w:t>SGMR-Appels_doffres@curia.europa.eu</w:t>
        </w:r>
      </w:hyperlink>
      <w:r w:rsidR="00DD034D">
        <w:rPr>
          <w:noProof w:val="0"/>
          <w:lang w:val="fr-FR"/>
        </w:rPr>
        <w:t>.</w:t>
      </w:r>
    </w:p>
    <w:p w:rsidR="00061A69" w:rsidRDefault="00061A69" w:rsidP="00061A69">
      <w:pPr>
        <w:pStyle w:val="TemplateBase"/>
        <w:spacing w:after="0" w:line="240" w:lineRule="auto"/>
        <w:ind w:left="720"/>
        <w:jc w:val="both"/>
        <w:rPr>
          <w:noProof w:val="0"/>
          <w:lang w:val="fr-FR"/>
        </w:rPr>
      </w:pPr>
    </w:p>
    <w:p w:rsidR="006D6622" w:rsidRPr="006D6622" w:rsidRDefault="006D6622" w:rsidP="00061A69">
      <w:pPr>
        <w:pStyle w:val="TemplateBase"/>
        <w:spacing w:after="0" w:line="240" w:lineRule="auto"/>
        <w:ind w:left="720"/>
        <w:jc w:val="both"/>
        <w:rPr>
          <w:noProof w:val="0"/>
          <w:lang w:val="fr-FR"/>
        </w:rPr>
      </w:pPr>
      <w:r w:rsidRPr="006D6622">
        <w:rPr>
          <w:noProof w:val="0"/>
          <w:lang w:val="fr-FR"/>
        </w:rPr>
        <w:lastRenderedPageBreak/>
        <w:t>De sa propre initiative, le pouvoir adjudicateur peut informer les intéressés de toute erreur, imprécision, omission ou autre insuffisance matérielle dans la rédaction des documents de marché.</w:t>
      </w:r>
    </w:p>
    <w:p w:rsidR="00061A69" w:rsidRDefault="00061A69" w:rsidP="00061A69">
      <w:pPr>
        <w:pStyle w:val="TemplateBase"/>
        <w:spacing w:after="0" w:line="240" w:lineRule="auto"/>
        <w:ind w:left="720"/>
        <w:jc w:val="both"/>
        <w:rPr>
          <w:noProof w:val="0"/>
          <w:lang w:val="fr-FR"/>
        </w:rPr>
      </w:pPr>
    </w:p>
    <w:p w:rsidR="00DD034D" w:rsidRDefault="006D6622" w:rsidP="00061A69">
      <w:pPr>
        <w:pStyle w:val="TemplateBase"/>
        <w:spacing w:after="0" w:line="240" w:lineRule="auto"/>
        <w:ind w:left="720"/>
        <w:jc w:val="both"/>
        <w:rPr>
          <w:noProof w:val="0"/>
          <w:lang w:val="fr-FR"/>
        </w:rPr>
      </w:pPr>
      <w:r w:rsidRPr="006D6622">
        <w:rPr>
          <w:noProof w:val="0"/>
          <w:lang w:val="fr-FR"/>
        </w:rPr>
        <w:t xml:space="preserve">Tout renseignement supplémentaire, y compris les informations visées ci-dessus, sera publié sur </w:t>
      </w:r>
      <w:hyperlink r:id="rId11" w:anchor="appels_encours" w:history="1">
        <w:r w:rsidR="00DD034D" w:rsidRPr="006D511F">
          <w:rPr>
            <w:rStyle w:val="Hyperlink"/>
            <w:noProof w:val="0"/>
            <w:lang w:val="fr-FR"/>
          </w:rPr>
          <w:t>http://curia.europa.eu/jcms/jcms/Jo2_7009/#appels_encours</w:t>
        </w:r>
      </w:hyperlink>
      <w:r w:rsidRPr="006D6622">
        <w:rPr>
          <w:noProof w:val="0"/>
          <w:lang w:val="fr-FR"/>
        </w:rPr>
        <w:t xml:space="preserve">. Cette page web sera mise à jour régulièrement et les </w:t>
      </w:r>
      <w:r w:rsidR="00DD034D">
        <w:rPr>
          <w:noProof w:val="0"/>
          <w:lang w:val="fr-FR"/>
        </w:rPr>
        <w:t>candidats</w:t>
      </w:r>
      <w:r w:rsidRPr="006D6622">
        <w:rPr>
          <w:noProof w:val="0"/>
          <w:lang w:val="fr-FR"/>
        </w:rPr>
        <w:t xml:space="preserve"> ont la responsabilité de vérifier les mises à jour et modifications apportées pendant la période de </w:t>
      </w:r>
      <w:r w:rsidR="00DD034D">
        <w:rPr>
          <w:noProof w:val="0"/>
          <w:lang w:val="fr-FR"/>
        </w:rPr>
        <w:t>présentation des demandes de participation.</w:t>
      </w:r>
    </w:p>
    <w:p w:rsidR="00061A69" w:rsidRDefault="00061A69" w:rsidP="006D6622">
      <w:pPr>
        <w:pStyle w:val="TemplateBase"/>
        <w:spacing w:after="0" w:line="240" w:lineRule="auto"/>
        <w:jc w:val="both"/>
        <w:rPr>
          <w:noProof w:val="0"/>
          <w:lang w:val="fr-FR"/>
        </w:rPr>
      </w:pPr>
    </w:p>
    <w:p w:rsidR="006D6622" w:rsidRPr="00061A69" w:rsidRDefault="006D6622" w:rsidP="006D6622">
      <w:pPr>
        <w:pStyle w:val="TemplateBase"/>
        <w:spacing w:after="0" w:line="240" w:lineRule="auto"/>
        <w:jc w:val="both"/>
        <w:rPr>
          <w:noProof w:val="0"/>
          <w:u w:val="single"/>
          <w:lang w:val="fr-FR"/>
        </w:rPr>
      </w:pPr>
      <w:r w:rsidRPr="00061A69">
        <w:rPr>
          <w:noProof w:val="0"/>
          <w:u w:val="single"/>
          <w:lang w:val="fr-FR"/>
        </w:rPr>
        <w:t xml:space="preserve">Après l'ouverture des </w:t>
      </w:r>
      <w:r w:rsidR="00061A69" w:rsidRPr="00061A69">
        <w:rPr>
          <w:noProof w:val="0"/>
          <w:u w:val="single"/>
          <w:lang w:val="fr-FR"/>
        </w:rPr>
        <w:t>demandes de participation</w:t>
      </w:r>
      <w:r w:rsidRPr="00061A69">
        <w:rPr>
          <w:noProof w:val="0"/>
          <w:u w:val="single"/>
          <w:lang w:val="fr-FR"/>
        </w:rPr>
        <w:t>:</w:t>
      </w:r>
    </w:p>
    <w:p w:rsidR="00061A69" w:rsidRDefault="00061A69" w:rsidP="006D6622">
      <w:pPr>
        <w:pStyle w:val="TemplateBase"/>
        <w:spacing w:after="0" w:line="240" w:lineRule="auto"/>
        <w:jc w:val="both"/>
        <w:rPr>
          <w:noProof w:val="0"/>
          <w:lang w:val="fr-FR"/>
        </w:rPr>
      </w:pPr>
    </w:p>
    <w:p w:rsidR="006D6622" w:rsidRPr="006D6622" w:rsidRDefault="006D6622" w:rsidP="00DD034D">
      <w:pPr>
        <w:pStyle w:val="TemplateBase"/>
        <w:spacing w:after="0" w:line="240" w:lineRule="auto"/>
        <w:ind w:left="720"/>
        <w:jc w:val="both"/>
        <w:rPr>
          <w:noProof w:val="0"/>
          <w:lang w:val="fr-FR"/>
        </w:rPr>
      </w:pPr>
      <w:r w:rsidRPr="006D6622">
        <w:rPr>
          <w:noProof w:val="0"/>
          <w:lang w:val="fr-FR"/>
        </w:rPr>
        <w:t>S’il s’agit de corriger des erreurs matérielles manifestes dans la rédaction de l</w:t>
      </w:r>
      <w:r w:rsidR="00DD034D">
        <w:rPr>
          <w:noProof w:val="0"/>
          <w:lang w:val="fr-FR"/>
        </w:rPr>
        <w:t>a demande de participation</w:t>
      </w:r>
      <w:r w:rsidRPr="006D6622">
        <w:rPr>
          <w:noProof w:val="0"/>
          <w:lang w:val="fr-FR"/>
        </w:rPr>
        <w:t xml:space="preserve"> ou de demander confirmation d'un élément spécifique ou technique, le pouvoir adjudicateur prendra contact avec le </w:t>
      </w:r>
      <w:r w:rsidR="00DD034D">
        <w:rPr>
          <w:noProof w:val="0"/>
          <w:lang w:val="fr-FR"/>
        </w:rPr>
        <w:t>candidat</w:t>
      </w:r>
      <w:r w:rsidRPr="006D6622">
        <w:rPr>
          <w:noProof w:val="0"/>
          <w:lang w:val="fr-FR"/>
        </w:rPr>
        <w:t xml:space="preserve">, à condition que cela n'entraîne pas de modifications substantielles des conditions de </w:t>
      </w:r>
      <w:r w:rsidR="00DD034D">
        <w:rPr>
          <w:noProof w:val="0"/>
          <w:lang w:val="fr-FR"/>
        </w:rPr>
        <w:t>la demande de participation</w:t>
      </w:r>
      <w:r w:rsidRPr="006D6622">
        <w:rPr>
          <w:noProof w:val="0"/>
          <w:lang w:val="fr-FR"/>
        </w:rPr>
        <w:t xml:space="preserve"> soumise.</w:t>
      </w:r>
    </w:p>
    <w:p w:rsidR="00DD034D" w:rsidRDefault="00DD034D" w:rsidP="006D6622">
      <w:pPr>
        <w:pStyle w:val="TemplateBase"/>
        <w:spacing w:after="0" w:line="240" w:lineRule="auto"/>
        <w:jc w:val="both"/>
        <w:rPr>
          <w:noProof w:val="0"/>
          <w:lang w:val="fr-FR"/>
        </w:rPr>
      </w:pPr>
    </w:p>
    <w:p w:rsidR="005834E7" w:rsidRDefault="005834E7" w:rsidP="006D6622">
      <w:pPr>
        <w:pStyle w:val="TemplateBase"/>
        <w:spacing w:after="0" w:line="240" w:lineRule="auto"/>
        <w:jc w:val="both"/>
        <w:rPr>
          <w:noProof w:val="0"/>
          <w:lang w:val="fr-FR"/>
        </w:rPr>
      </w:pPr>
    </w:p>
    <w:p w:rsidR="006D6622" w:rsidRPr="006D6622" w:rsidRDefault="00A15320" w:rsidP="006D6622">
      <w:pPr>
        <w:pStyle w:val="TemplateBase"/>
        <w:spacing w:after="0" w:line="240" w:lineRule="auto"/>
        <w:jc w:val="both"/>
        <w:rPr>
          <w:noProof w:val="0"/>
          <w:lang w:val="fr-FR"/>
        </w:rPr>
      </w:pPr>
      <w:r w:rsidRPr="00A15320">
        <w:rPr>
          <w:b/>
          <w:noProof w:val="0"/>
          <w:sz w:val="32"/>
          <w:szCs w:val="32"/>
          <w:lang w:val="fr-FR"/>
        </w:rPr>
        <w:t>8</w:t>
      </w:r>
      <w:r w:rsidR="006D6622" w:rsidRPr="00A15320">
        <w:rPr>
          <w:b/>
          <w:noProof w:val="0"/>
          <w:sz w:val="32"/>
          <w:szCs w:val="32"/>
          <w:lang w:val="fr-FR"/>
        </w:rPr>
        <w:t>.</w:t>
      </w:r>
      <w:r w:rsidR="006D6622" w:rsidRPr="006D6622">
        <w:rPr>
          <w:noProof w:val="0"/>
          <w:lang w:val="fr-FR"/>
        </w:rPr>
        <w:tab/>
        <w:t>Le pouvoir adjudicateur peut, jusqu'à la signature du contrat, annuler la procédure de passation du marché, sans que les candidats ou les soumissionnaires puissent prétendre à une quelconque indemnisation. Le cas échéant, cette décision serait motivée et portée à la connaissance des candidats ou soumissionnaires.</w:t>
      </w:r>
    </w:p>
    <w:p w:rsidR="00A15320" w:rsidRDefault="00A15320" w:rsidP="006D6622">
      <w:pPr>
        <w:pStyle w:val="TemplateBase"/>
        <w:spacing w:after="0" w:line="240" w:lineRule="auto"/>
        <w:jc w:val="both"/>
        <w:rPr>
          <w:noProof w:val="0"/>
          <w:lang w:val="fr-FR"/>
        </w:rPr>
      </w:pPr>
    </w:p>
    <w:p w:rsidR="00A15320" w:rsidRDefault="00A15320" w:rsidP="006D6622">
      <w:pPr>
        <w:pStyle w:val="TemplateBase"/>
        <w:spacing w:after="0" w:line="240" w:lineRule="auto"/>
        <w:jc w:val="both"/>
        <w:rPr>
          <w:noProof w:val="0"/>
          <w:lang w:val="fr-FR"/>
        </w:rPr>
      </w:pPr>
    </w:p>
    <w:p w:rsidR="006D6622" w:rsidRDefault="00A15320" w:rsidP="006D6622">
      <w:pPr>
        <w:pStyle w:val="TemplateBase"/>
        <w:spacing w:after="0" w:line="240" w:lineRule="auto"/>
        <w:jc w:val="both"/>
        <w:rPr>
          <w:noProof w:val="0"/>
          <w:lang w:val="fr-FR"/>
        </w:rPr>
      </w:pPr>
      <w:r w:rsidRPr="00A15320">
        <w:rPr>
          <w:b/>
          <w:noProof w:val="0"/>
          <w:sz w:val="32"/>
          <w:szCs w:val="32"/>
          <w:lang w:val="fr-FR"/>
        </w:rPr>
        <w:t>9</w:t>
      </w:r>
      <w:r w:rsidR="006D6622" w:rsidRPr="00A15320">
        <w:rPr>
          <w:b/>
          <w:noProof w:val="0"/>
          <w:sz w:val="32"/>
          <w:szCs w:val="32"/>
          <w:lang w:val="fr-FR"/>
        </w:rPr>
        <w:t>.</w:t>
      </w:r>
      <w:r w:rsidR="006D6622" w:rsidRPr="006D6622">
        <w:rPr>
          <w:noProof w:val="0"/>
          <w:lang w:val="fr-FR"/>
        </w:rPr>
        <w:tab/>
        <w:t>Dès le moment où le pouvoir adjudicateur a ouvert l</w:t>
      </w:r>
      <w:r>
        <w:rPr>
          <w:noProof w:val="0"/>
          <w:lang w:val="fr-FR"/>
        </w:rPr>
        <w:t>a demande de participation</w:t>
      </w:r>
      <w:r w:rsidR="006D6622" w:rsidRPr="006D6622">
        <w:rPr>
          <w:noProof w:val="0"/>
          <w:lang w:val="fr-FR"/>
        </w:rPr>
        <w:t>, le document devient la propriété de celui-ci et est traité de façon confidentielle.</w:t>
      </w:r>
    </w:p>
    <w:p w:rsidR="00A15320" w:rsidRDefault="00A15320" w:rsidP="006D6622">
      <w:pPr>
        <w:pStyle w:val="TemplateBase"/>
        <w:spacing w:after="0" w:line="240" w:lineRule="auto"/>
        <w:jc w:val="both"/>
        <w:rPr>
          <w:noProof w:val="0"/>
          <w:lang w:val="fr-FR"/>
        </w:rPr>
      </w:pPr>
    </w:p>
    <w:p w:rsidR="00A15320" w:rsidRPr="006D6622" w:rsidRDefault="00A15320" w:rsidP="006D6622">
      <w:pPr>
        <w:pStyle w:val="TemplateBase"/>
        <w:spacing w:after="0" w:line="240" w:lineRule="auto"/>
        <w:jc w:val="both"/>
        <w:rPr>
          <w:noProof w:val="0"/>
          <w:lang w:val="fr-FR"/>
        </w:rPr>
      </w:pPr>
    </w:p>
    <w:p w:rsidR="006D6622" w:rsidRPr="006D6622" w:rsidRDefault="00A15320" w:rsidP="006D6622">
      <w:pPr>
        <w:pStyle w:val="TemplateBase"/>
        <w:spacing w:after="0" w:line="240" w:lineRule="auto"/>
        <w:jc w:val="both"/>
        <w:rPr>
          <w:noProof w:val="0"/>
          <w:lang w:val="fr-FR"/>
        </w:rPr>
      </w:pPr>
      <w:r w:rsidRPr="00A15320">
        <w:rPr>
          <w:b/>
          <w:noProof w:val="0"/>
          <w:sz w:val="32"/>
          <w:szCs w:val="32"/>
          <w:lang w:val="fr-FR"/>
        </w:rPr>
        <w:t>10</w:t>
      </w:r>
      <w:r w:rsidR="006D6622" w:rsidRPr="00A15320">
        <w:rPr>
          <w:b/>
          <w:noProof w:val="0"/>
          <w:sz w:val="32"/>
          <w:szCs w:val="32"/>
          <w:lang w:val="fr-FR"/>
        </w:rPr>
        <w:t>.</w:t>
      </w:r>
      <w:r w:rsidR="006D6622" w:rsidRPr="006D6622">
        <w:rPr>
          <w:noProof w:val="0"/>
          <w:lang w:val="fr-FR"/>
        </w:rPr>
        <w:tab/>
        <w:t xml:space="preserve">Les </w:t>
      </w:r>
      <w:r>
        <w:rPr>
          <w:noProof w:val="0"/>
          <w:lang w:val="fr-FR"/>
        </w:rPr>
        <w:t>candidats</w:t>
      </w:r>
      <w:r w:rsidR="006D6622" w:rsidRPr="006D6622">
        <w:rPr>
          <w:noProof w:val="0"/>
          <w:lang w:val="fr-FR"/>
        </w:rPr>
        <w:t xml:space="preserve"> sont informés du résultat de </w:t>
      </w:r>
      <w:r>
        <w:rPr>
          <w:noProof w:val="0"/>
          <w:lang w:val="fr-FR"/>
        </w:rPr>
        <w:t>la 1</w:t>
      </w:r>
      <w:r w:rsidRPr="00A15320">
        <w:rPr>
          <w:noProof w:val="0"/>
          <w:vertAlign w:val="superscript"/>
          <w:lang w:val="fr-FR"/>
        </w:rPr>
        <w:t>ère</w:t>
      </w:r>
      <w:r>
        <w:rPr>
          <w:noProof w:val="0"/>
          <w:lang w:val="fr-FR"/>
        </w:rPr>
        <w:t xml:space="preserve"> étape de cette</w:t>
      </w:r>
      <w:r w:rsidR="006D6622" w:rsidRPr="006D6622">
        <w:rPr>
          <w:noProof w:val="0"/>
          <w:lang w:val="fr-FR"/>
        </w:rPr>
        <w:t xml:space="preserve"> procédure d’appel d’offres par courrier électronique uniquement. Ils sont tenus de fournir, dans les coordonnées mentionnées dans leur </w:t>
      </w:r>
      <w:r>
        <w:rPr>
          <w:noProof w:val="0"/>
          <w:lang w:val="fr-FR"/>
        </w:rPr>
        <w:t>candidature</w:t>
      </w:r>
      <w:r w:rsidR="006D6622" w:rsidRPr="006D6622">
        <w:rPr>
          <w:noProof w:val="0"/>
          <w:lang w:val="fr-FR"/>
        </w:rPr>
        <w:t xml:space="preserve">, une adresse de courrier électronique valide et de consulter régulièrement leur messagerie. </w:t>
      </w:r>
    </w:p>
    <w:p w:rsidR="00A15320" w:rsidRDefault="00A15320" w:rsidP="006D6622">
      <w:pPr>
        <w:pStyle w:val="TemplateBase"/>
        <w:spacing w:after="0" w:line="240" w:lineRule="auto"/>
        <w:jc w:val="both"/>
        <w:rPr>
          <w:noProof w:val="0"/>
          <w:lang w:val="fr-FR"/>
        </w:rPr>
      </w:pPr>
    </w:p>
    <w:p w:rsidR="00A15320" w:rsidRDefault="00A15320" w:rsidP="006D6622">
      <w:pPr>
        <w:pStyle w:val="TemplateBase"/>
        <w:spacing w:after="0" w:line="240" w:lineRule="auto"/>
        <w:jc w:val="both"/>
        <w:rPr>
          <w:noProof w:val="0"/>
          <w:lang w:val="fr-FR"/>
        </w:rPr>
      </w:pPr>
    </w:p>
    <w:p w:rsidR="00EF24C7" w:rsidRPr="00EF24C7" w:rsidRDefault="006D6622" w:rsidP="00EF24C7">
      <w:pPr>
        <w:pStyle w:val="TemplateBase"/>
        <w:spacing w:after="0" w:line="240" w:lineRule="auto"/>
        <w:jc w:val="both"/>
        <w:rPr>
          <w:noProof w:val="0"/>
          <w:lang w:val="fr-FR"/>
        </w:rPr>
      </w:pPr>
      <w:r w:rsidRPr="00A15320">
        <w:rPr>
          <w:b/>
          <w:noProof w:val="0"/>
          <w:sz w:val="32"/>
          <w:szCs w:val="32"/>
          <w:lang w:val="fr-FR"/>
        </w:rPr>
        <w:t>1</w:t>
      </w:r>
      <w:r w:rsidR="00A15320" w:rsidRPr="00A15320">
        <w:rPr>
          <w:b/>
          <w:noProof w:val="0"/>
          <w:sz w:val="32"/>
          <w:szCs w:val="32"/>
          <w:lang w:val="fr-FR"/>
        </w:rPr>
        <w:t>1</w:t>
      </w:r>
      <w:r w:rsidRPr="00A15320">
        <w:rPr>
          <w:b/>
          <w:noProof w:val="0"/>
          <w:sz w:val="32"/>
          <w:szCs w:val="32"/>
          <w:lang w:val="fr-FR"/>
        </w:rPr>
        <w:t>.</w:t>
      </w:r>
      <w:r w:rsidRPr="006D6622">
        <w:rPr>
          <w:noProof w:val="0"/>
          <w:lang w:val="fr-FR"/>
        </w:rPr>
        <w:t xml:space="preserve"> </w:t>
      </w:r>
      <w:r w:rsidR="00EF24C7" w:rsidRPr="00EF24C7">
        <w:rPr>
          <w:noProof w:val="0"/>
          <w:lang w:val="fr-FR"/>
        </w:rPr>
        <w:t xml:space="preserve">Des données à caractère personnel relatives au </w:t>
      </w:r>
      <w:r w:rsidR="00EF24C7">
        <w:rPr>
          <w:noProof w:val="0"/>
          <w:lang w:val="fr-FR"/>
        </w:rPr>
        <w:t>candidat</w:t>
      </w:r>
      <w:r w:rsidR="00EF24C7" w:rsidRPr="00EF24C7">
        <w:rPr>
          <w:noProof w:val="0"/>
          <w:lang w:val="fr-FR"/>
        </w:rPr>
        <w:t xml:space="preserve"> ou aux entités sur la capacité desquelles il compte s’appuyer, on aux personnes qui sont membres de l’organe d’administration, de direction on de surveillance du </w:t>
      </w:r>
      <w:r w:rsidR="00EF24C7">
        <w:rPr>
          <w:noProof w:val="0"/>
          <w:lang w:val="fr-FR"/>
        </w:rPr>
        <w:t>candidat</w:t>
      </w:r>
      <w:r w:rsidR="00EF24C7" w:rsidRPr="00EF24C7">
        <w:rPr>
          <w:noProof w:val="0"/>
          <w:lang w:val="fr-FR"/>
        </w:rPr>
        <w:t xml:space="preserve"> ou de ces entités, ou ayant le pouvoir de représentation, de décision ou de contrôle sur ceux-ci, qui se trouvent dans l’une des situations visées aux articles 106 et l07du RF</w:t>
      </w:r>
      <w:r w:rsidR="009B5CC0">
        <w:rPr>
          <w:rStyle w:val="FootnoteReference"/>
          <w:noProof w:val="0"/>
          <w:lang w:val="fr-FR"/>
        </w:rPr>
        <w:footnoteReference w:id="2"/>
      </w:r>
      <w:r w:rsidR="00EF24C7" w:rsidRPr="00EF24C7">
        <w:rPr>
          <w:noProof w:val="0"/>
          <w:lang w:val="fr-FR"/>
        </w:rPr>
        <w:t>, sont enregistrées dans la base de données prévue par l’article 108 du même  règlement et peuvent être communiquées aux personnes selon les conditions prévues par l’article 108 du RF.</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 xml:space="preserve">Des données à caractère personnel relatives au </w:t>
      </w:r>
      <w:r>
        <w:rPr>
          <w:noProof w:val="0"/>
          <w:lang w:val="fr-FR"/>
        </w:rPr>
        <w:t>candidat</w:t>
      </w:r>
      <w:r w:rsidRPr="00EF24C7">
        <w:rPr>
          <w:noProof w:val="0"/>
          <w:lang w:val="fr-FR"/>
        </w:rPr>
        <w:t xml:space="preserve"> (en particulier des données d’évaluation) peuvent être générées par les personnes participant à l’ouverture et surtout à l’évaluation des offres.</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 xml:space="preserve">Des données à caractère personnel relatives au </w:t>
      </w:r>
      <w:r>
        <w:rPr>
          <w:noProof w:val="0"/>
          <w:lang w:val="fr-FR"/>
        </w:rPr>
        <w:t>candidat</w:t>
      </w:r>
      <w:r w:rsidRPr="00EF24C7">
        <w:rPr>
          <w:noProof w:val="0"/>
          <w:lang w:val="fr-FR"/>
        </w:rPr>
        <w:t xml:space="preserve"> peuvent, le cas échéant, être générées dans le cadre de mesures de publicité (avis d’attribution publié au Journal officiel, liste </w:t>
      </w:r>
      <w:r w:rsidRPr="00EF24C7">
        <w:rPr>
          <w:noProof w:val="0"/>
          <w:lang w:val="fr-FR"/>
        </w:rPr>
        <w:lastRenderedPageBreak/>
        <w:t>annuelle des contractants publiée au Journal officiel, etc.) visées aux articles 123 et 124 des RAP</w:t>
      </w:r>
      <w:r w:rsidR="00AF04BE">
        <w:rPr>
          <w:rStyle w:val="FootnoteReference"/>
          <w:noProof w:val="0"/>
          <w:lang w:val="fr-FR"/>
        </w:rPr>
        <w:footnoteReference w:id="3"/>
      </w:r>
      <w:r w:rsidRPr="00EF24C7">
        <w:rPr>
          <w:noProof w:val="0"/>
          <w:lang w:val="fr-FR"/>
        </w:rPr>
        <w:t xml:space="preserve"> lorsque le marché public lui est attribué.</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Dans le cadre d’une procédure d’appel à la concurrence, les catégories de données suivantes peuvent être traitées:</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nom, adresse, numéro de téléphone et de télécopieur, adresse de courrier électronique;</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données contenues dans le passeport ou le certificat de nationalité (copie);</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preuve du statut d’indépendant, preuve du statut fiscal;</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données bancaires (numéro de compte, nom de la banque, code IBAN);</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données contenues dans un extrait de casier judiciaire, un certificat attestant le non-paiement des cotisations de sécurité sociale ou d’impôts;</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curriculum vitae;</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liste des principales publications ou réalisations;</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 xml:space="preserve">déclaration mentionnant le chiffre d’affaires du </w:t>
      </w:r>
      <w:r>
        <w:rPr>
          <w:noProof w:val="0"/>
          <w:lang w:val="fr-FR"/>
        </w:rPr>
        <w:t>candidat</w:t>
      </w:r>
      <w:r w:rsidRPr="00EF24C7">
        <w:rPr>
          <w:noProof w:val="0"/>
          <w:lang w:val="fr-FR"/>
        </w:rPr>
        <w:t>;</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déclaration des banques ou preuve d’une assurance des risques professionnels;</w:t>
      </w:r>
    </w:p>
    <w:p w:rsidR="00EF24C7" w:rsidRPr="00EF24C7" w:rsidRDefault="00EF24C7" w:rsidP="009B5CC0">
      <w:pPr>
        <w:pStyle w:val="TemplateBase"/>
        <w:numPr>
          <w:ilvl w:val="0"/>
          <w:numId w:val="15"/>
        </w:numPr>
        <w:tabs>
          <w:tab w:val="left" w:pos="284"/>
        </w:tabs>
        <w:spacing w:after="0" w:line="240" w:lineRule="auto"/>
        <w:jc w:val="both"/>
        <w:rPr>
          <w:noProof w:val="0"/>
          <w:lang w:val="fr-FR"/>
        </w:rPr>
      </w:pPr>
      <w:r w:rsidRPr="00EF24C7">
        <w:rPr>
          <w:noProof w:val="0"/>
          <w:lang w:val="fr-FR"/>
        </w:rPr>
        <w:t xml:space="preserve">autres données en rapport avec le candidat ou </w:t>
      </w:r>
      <w:r>
        <w:rPr>
          <w:noProof w:val="0"/>
          <w:lang w:val="fr-FR"/>
        </w:rPr>
        <w:t>candidat</w:t>
      </w:r>
      <w:r w:rsidRPr="00EF24C7">
        <w:rPr>
          <w:noProof w:val="0"/>
          <w:lang w:val="fr-FR"/>
        </w:rPr>
        <w:t xml:space="preserve"> transmises par ce dernier dans le cadre de la procédure de passation de marché.</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Toutes ces données seront traitées par la Cour de justice de l’Union européenne conformément aux exigences du règlement (CE) n° 45/2001 du Parlement européen et du Conseil, du 18 décembre 2000, relatif à la protection des personnes physiques à l’égard du traitement des données à caractère personnel par les institutions et organes communautaires at a la libre circulation de ces données.</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 xml:space="preserve">Sauf indication contraire, les données </w:t>
      </w:r>
      <w:r w:rsidR="009B5CC0">
        <w:rPr>
          <w:noProof w:val="0"/>
          <w:lang w:val="fr-FR"/>
        </w:rPr>
        <w:t>à</w:t>
      </w:r>
      <w:r w:rsidRPr="00EF24C7">
        <w:rPr>
          <w:noProof w:val="0"/>
          <w:lang w:val="fr-FR"/>
        </w:rPr>
        <w:t xml:space="preserve"> caractère personnel traitées sont nécessaires aux fins de l’évaluation de votre offre et seront traitées exclusivement </w:t>
      </w:r>
      <w:proofErr w:type="spellStart"/>
      <w:r w:rsidRPr="00EF24C7">
        <w:rPr>
          <w:noProof w:val="0"/>
          <w:lang w:val="fr-FR"/>
        </w:rPr>
        <w:t>a</w:t>
      </w:r>
      <w:proofErr w:type="spellEnd"/>
      <w:r w:rsidRPr="00EF24C7">
        <w:rPr>
          <w:noProof w:val="0"/>
          <w:lang w:val="fr-FR"/>
        </w:rPr>
        <w:t xml:space="preserve"> ces fins par l'unité </w:t>
      </w:r>
      <w:r w:rsidR="009B5CC0">
        <w:rPr>
          <w:noProof w:val="0"/>
          <w:lang w:val="fr-FR"/>
        </w:rPr>
        <w:t>« services généraux et matériel roulant »</w:t>
      </w:r>
      <w:r w:rsidRPr="00EF24C7">
        <w:rPr>
          <w:noProof w:val="0"/>
          <w:lang w:val="fr-FR"/>
        </w:rPr>
        <w:t xml:space="preserve"> de la Cour de justice, par la direction « budget et affaires financières de la Cour de justice et le comité d’évaluation des offres et demandes de participation visé à l’article 158 des RAP, sans préjudice d’une éventuelle transmission de ces données aux organes chargés d’une mission de contrôle ou d’inspection conformément au droit de l’Union européenne. Ainsi, la Cour des Comptes, le comité spécialisé en matière d’irrégularités financières, l’auditeur interne (dans le cadre des fonctions qui lui sont dévolues par les articles 98 à 100 du règlement financier), le Parlement européen (dans le cadre de la procédure de décharge), l’OLAF, le comité de surveillance de I’OLAF [en application de l’article 15 du 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le Tribunal de 1’Union européenne et la Cour de justice de l’Union européenne, les tribunaux compétents (généralement le tribunal luxembourgeois) en cas de litige portant sur l’exécution du marché, le Président et le Greffier de la Cour de justice de l’Union européenne ainsi que les fonctionnaires qui les assistent dans le cadre des responsabilités qui leur sont dévolues par l’article 20 du règlement de procédure de la Cour de justice de l’Union européenne et le conseiller juridique pour les affaires administratives peuvent aussi être destinataires dans le cadre de leurs attributions respectives.</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En vertu de l’article 48 du RF, la</w:t>
      </w:r>
      <w:r w:rsidR="009B5CC0">
        <w:rPr>
          <w:noProof w:val="0"/>
          <w:lang w:val="fr-FR"/>
        </w:rPr>
        <w:t>s documents relatifs au marché e</w:t>
      </w:r>
      <w:r w:rsidRPr="00EF24C7">
        <w:rPr>
          <w:noProof w:val="0"/>
          <w:lang w:val="fr-FR"/>
        </w:rPr>
        <w:t xml:space="preserve">t contenant les données à caractère personnel sont conservés pendant une période de cinq ans an moins à compter de la date d’octroi de la décharge par le Parlement européen pour l’année budgétaire </w:t>
      </w:r>
      <w:r w:rsidR="009B5CC0">
        <w:rPr>
          <w:noProof w:val="0"/>
          <w:lang w:val="fr-FR"/>
        </w:rPr>
        <w:t>à</w:t>
      </w:r>
      <w:r w:rsidRPr="00EF24C7">
        <w:rPr>
          <w:noProof w:val="0"/>
          <w:lang w:val="fr-FR"/>
        </w:rPr>
        <w:t xml:space="preserve"> laquelle ces documents se rapportent ou, s’agissant des opérations non définitivement closes, au-delà de la </w:t>
      </w:r>
      <w:r w:rsidRPr="00EF24C7">
        <w:rPr>
          <w:noProof w:val="0"/>
          <w:lang w:val="fr-FR"/>
        </w:rPr>
        <w:lastRenderedPageBreak/>
        <w:t xml:space="preserve">période susmentionnée et jusqu’à la fin de l’année suivant celle de la clôture desdites opérations. Toutefois, les données </w:t>
      </w:r>
      <w:r w:rsidR="009B5CC0">
        <w:rPr>
          <w:noProof w:val="0"/>
          <w:lang w:val="fr-FR"/>
        </w:rPr>
        <w:t>à</w:t>
      </w:r>
      <w:r w:rsidRPr="00EF24C7">
        <w:rPr>
          <w:noProof w:val="0"/>
          <w:lang w:val="fr-FR"/>
        </w:rPr>
        <w:t xml:space="preserve"> caractère personnel contenues dans les pièces justificatives sont supprimées si possible lorsqu’elles ne sont pas nécessaires aux fins de la décharge budgétaire, du contrôle et de l’audit. </w:t>
      </w:r>
    </w:p>
    <w:p w:rsidR="00EF24C7" w:rsidRPr="00EF24C7" w:rsidRDefault="00EF24C7" w:rsidP="00EF24C7">
      <w:pPr>
        <w:pStyle w:val="TemplateBase"/>
        <w:tabs>
          <w:tab w:val="left" w:pos="284"/>
        </w:tabs>
        <w:spacing w:after="0" w:line="240" w:lineRule="auto"/>
        <w:jc w:val="both"/>
        <w:rPr>
          <w:noProof w:val="0"/>
          <w:lang w:val="fr-FR"/>
        </w:rPr>
      </w:pPr>
    </w:p>
    <w:p w:rsidR="00EF24C7" w:rsidRPr="00EF24C7" w:rsidRDefault="00EF24C7" w:rsidP="00EF24C7">
      <w:pPr>
        <w:pStyle w:val="TemplateBase"/>
        <w:tabs>
          <w:tab w:val="left" w:pos="284"/>
        </w:tabs>
        <w:spacing w:after="0" w:line="240" w:lineRule="auto"/>
        <w:jc w:val="both"/>
        <w:rPr>
          <w:noProof w:val="0"/>
          <w:lang w:val="fr-FR"/>
        </w:rPr>
      </w:pPr>
      <w:r w:rsidRPr="00EF24C7">
        <w:rPr>
          <w:noProof w:val="0"/>
          <w:lang w:val="fr-FR"/>
        </w:rPr>
        <w:t xml:space="preserve">Les personnes auxquelles se rapportent des données </w:t>
      </w:r>
      <w:r w:rsidR="009B5CC0">
        <w:rPr>
          <w:noProof w:val="0"/>
          <w:lang w:val="fr-FR"/>
        </w:rPr>
        <w:t>à</w:t>
      </w:r>
      <w:r w:rsidRPr="00EF24C7">
        <w:rPr>
          <w:noProof w:val="0"/>
          <w:lang w:val="fr-FR"/>
        </w:rPr>
        <w:t xml:space="preserve"> caractère personnel traitées dans le cadre du présent appel à la concurrence peuvent, sur demande, obtenir la communication de leurs données </w:t>
      </w:r>
      <w:r w:rsidR="009B5CC0">
        <w:rPr>
          <w:noProof w:val="0"/>
          <w:lang w:val="fr-FR"/>
        </w:rPr>
        <w:t>à</w:t>
      </w:r>
      <w:r w:rsidRPr="00EF24C7">
        <w:rPr>
          <w:noProof w:val="0"/>
          <w:lang w:val="fr-FR"/>
        </w:rPr>
        <w:t xml:space="preserve"> caractère personnel et la rectification de données inexactes ou incomplètes. Pour toute question au sujet du traitement de ces données à caractère personnel, les personnes concernées sont priées de s’adresser au service responsable à l’adresse de courrier électronique </w:t>
      </w:r>
      <w:hyperlink r:id="rId12" w:history="1">
        <w:r w:rsidR="009B5CC0" w:rsidRPr="006D511F">
          <w:rPr>
            <w:rStyle w:val="Hyperlink"/>
            <w:noProof w:val="0"/>
            <w:lang w:val="fr-FR"/>
          </w:rPr>
          <w:t>SGMR-Appels_doffres@curia.europa.eu</w:t>
        </w:r>
      </w:hyperlink>
      <w:r w:rsidRPr="00EF24C7">
        <w:rPr>
          <w:noProof w:val="0"/>
          <w:lang w:val="fr-FR"/>
        </w:rPr>
        <w:t>. Elles ont également le droit de saisir à tout moment le Contrôleur européen de la protection des données.</w:t>
      </w:r>
    </w:p>
    <w:p w:rsidR="00EF24C7" w:rsidRPr="00EF24C7" w:rsidRDefault="00EF24C7" w:rsidP="00EF24C7">
      <w:pPr>
        <w:pStyle w:val="TemplateBase"/>
        <w:tabs>
          <w:tab w:val="left" w:pos="284"/>
        </w:tabs>
        <w:spacing w:after="0" w:line="240" w:lineRule="auto"/>
        <w:jc w:val="both"/>
        <w:rPr>
          <w:noProof w:val="0"/>
          <w:lang w:val="fr-FR"/>
        </w:rPr>
      </w:pPr>
    </w:p>
    <w:p w:rsidR="00EA3CF9" w:rsidRDefault="00EF24C7" w:rsidP="00EF24C7">
      <w:pPr>
        <w:pStyle w:val="TemplateBase"/>
        <w:tabs>
          <w:tab w:val="left" w:pos="284"/>
        </w:tabs>
        <w:spacing w:after="0" w:line="240" w:lineRule="auto"/>
        <w:jc w:val="both"/>
        <w:rPr>
          <w:noProof w:val="0"/>
          <w:lang w:val="fr-FR"/>
        </w:rPr>
      </w:pPr>
      <w:r w:rsidRPr="00EF24C7">
        <w:rPr>
          <w:noProof w:val="0"/>
          <w:lang w:val="fr-FR"/>
        </w:rPr>
        <w:t xml:space="preserve">Le(s) représentant(s) du </w:t>
      </w:r>
      <w:r>
        <w:rPr>
          <w:noProof w:val="0"/>
          <w:lang w:val="fr-FR"/>
        </w:rPr>
        <w:t>candidat</w:t>
      </w:r>
      <w:r w:rsidRPr="00EF24C7">
        <w:rPr>
          <w:noProof w:val="0"/>
          <w:lang w:val="fr-FR"/>
        </w:rPr>
        <w:t xml:space="preserve"> est (sont) tenu(s) d’informer les personnes auxquelles se rapportent des données à caractère personnel utilisées dans le cadre de la présente procédure d’appel à la concurrence de la nature, des finalités et des caractéristiques du traitement (catégories de données, de destinataires, délai de conservation, etc.) ainsi que des droits décrits ci-dessus.</w:t>
      </w:r>
    </w:p>
    <w:p w:rsidR="00EF24C7" w:rsidRDefault="00EF24C7" w:rsidP="00EF24C7">
      <w:pPr>
        <w:pStyle w:val="TemplateBase"/>
        <w:tabs>
          <w:tab w:val="left" w:pos="284"/>
        </w:tabs>
        <w:spacing w:after="0" w:line="240" w:lineRule="auto"/>
        <w:jc w:val="both"/>
        <w:rPr>
          <w:noProof w:val="0"/>
          <w:lang w:val="fr-FR"/>
        </w:rPr>
      </w:pPr>
    </w:p>
    <w:p w:rsidR="00EF24C7" w:rsidRDefault="00EF24C7" w:rsidP="00EF24C7">
      <w:pPr>
        <w:pStyle w:val="TemplateBase"/>
        <w:tabs>
          <w:tab w:val="left" w:pos="284"/>
        </w:tabs>
        <w:spacing w:after="0" w:line="240" w:lineRule="auto"/>
        <w:jc w:val="both"/>
        <w:rPr>
          <w:noProof w:val="0"/>
          <w:lang w:val="fr-FR"/>
        </w:rPr>
      </w:pPr>
    </w:p>
    <w:p w:rsidR="00EA3CF9" w:rsidRDefault="00A15320" w:rsidP="00EA3CF9">
      <w:pPr>
        <w:pStyle w:val="TemplateBase"/>
        <w:spacing w:after="0" w:line="240" w:lineRule="auto"/>
        <w:jc w:val="both"/>
        <w:rPr>
          <w:noProof w:val="0"/>
          <w:lang w:val="fr-FR"/>
        </w:rPr>
      </w:pPr>
      <w:r w:rsidRPr="00A15320">
        <w:rPr>
          <w:b/>
          <w:noProof w:val="0"/>
          <w:sz w:val="32"/>
          <w:szCs w:val="32"/>
          <w:lang w:val="fr-FR"/>
        </w:rPr>
        <w:t>12</w:t>
      </w:r>
      <w:r w:rsidR="00EA3CF9" w:rsidRPr="00A15320">
        <w:rPr>
          <w:b/>
          <w:noProof w:val="0"/>
          <w:sz w:val="32"/>
          <w:szCs w:val="32"/>
          <w:lang w:val="fr-FR"/>
        </w:rPr>
        <w:t>.</w:t>
      </w:r>
      <w:r w:rsidR="00EA3CF9">
        <w:rPr>
          <w:b/>
          <w:noProof w:val="0"/>
          <w:lang w:val="fr-FR"/>
        </w:rPr>
        <w:t xml:space="preserve"> </w:t>
      </w:r>
      <w:r w:rsidR="00EA3CF9" w:rsidRPr="00A15320">
        <w:rPr>
          <w:noProof w:val="0"/>
          <w:lang w:val="fr-FR"/>
        </w:rPr>
        <w:t>Les documents indiqués dans l'index à la page de couverture font partie intégrante du présent appel d'offres</w:t>
      </w:r>
    </w:p>
    <w:p w:rsidR="00C35372" w:rsidRDefault="00C35372" w:rsidP="00EA3CF9">
      <w:pPr>
        <w:pStyle w:val="TemplateBase"/>
        <w:spacing w:after="0" w:line="240" w:lineRule="auto"/>
        <w:jc w:val="both"/>
        <w:rPr>
          <w:noProof w:val="0"/>
          <w:lang w:val="fr-FR"/>
        </w:rPr>
      </w:pPr>
    </w:p>
    <w:p w:rsidR="001635D4" w:rsidRDefault="001635D4" w:rsidP="00EA3CF9">
      <w:pPr>
        <w:pStyle w:val="TemplateBase"/>
        <w:spacing w:after="0" w:line="240" w:lineRule="auto"/>
        <w:jc w:val="both"/>
        <w:rPr>
          <w:noProof w:val="0"/>
          <w:lang w:val="fr-FR"/>
        </w:rPr>
      </w:pPr>
    </w:p>
    <w:p w:rsidR="00C35372" w:rsidRDefault="00C35372" w:rsidP="00EA3CF9">
      <w:pPr>
        <w:pStyle w:val="TemplateBase"/>
        <w:spacing w:after="0" w:line="240" w:lineRule="auto"/>
        <w:jc w:val="both"/>
        <w:rPr>
          <w:noProof w:val="0"/>
          <w:lang w:val="fr-FR"/>
        </w:rPr>
      </w:pPr>
    </w:p>
    <w:p w:rsidR="006A6E2B" w:rsidRDefault="006A6E2B">
      <w:pPr>
        <w:rPr>
          <w:lang w:val="fr-FR"/>
        </w:rPr>
        <w:sectPr w:rsidR="006A6E2B">
          <w:headerReference w:type="even" r:id="rId13"/>
          <w:headerReference w:type="default" r:id="rId14"/>
          <w:footerReference w:type="even" r:id="rId15"/>
          <w:footerReference w:type="default" r:id="rId16"/>
          <w:headerReference w:type="first" r:id="rId17"/>
          <w:footerReference w:type="first" r:id="rId18"/>
          <w:pgSz w:w="11907" w:h="16840" w:code="9"/>
          <w:pgMar w:top="851" w:right="1134" w:bottom="1077" w:left="2041" w:header="533" w:footer="386" w:gutter="0"/>
          <w:pgNumType w:start="1"/>
          <w:cols w:space="708"/>
          <w:titlePg/>
          <w:docGrid w:linePitch="360"/>
        </w:sectPr>
      </w:pPr>
    </w:p>
    <w:p w:rsidR="00C35372" w:rsidRDefault="00C35372" w:rsidP="00EA3CF9">
      <w:pPr>
        <w:pStyle w:val="TemplateBase"/>
        <w:spacing w:after="0" w:line="240" w:lineRule="auto"/>
        <w:jc w:val="both"/>
        <w:rPr>
          <w:noProof w:val="0"/>
          <w:lang w:val="fr-FR"/>
        </w:rPr>
      </w:pPr>
    </w:p>
    <w:p w:rsidR="00C35372" w:rsidRDefault="00C35372" w:rsidP="00EA3CF9">
      <w:pPr>
        <w:pStyle w:val="TemplateBase"/>
        <w:spacing w:after="0" w:line="240" w:lineRule="auto"/>
        <w:jc w:val="both"/>
        <w:rPr>
          <w:noProof w:val="0"/>
          <w:lang w:val="fr-FR"/>
        </w:rPr>
      </w:pPr>
    </w:p>
    <w:p w:rsidR="00C35372" w:rsidRPr="00C35372" w:rsidRDefault="00C35372" w:rsidP="00C35372">
      <w:pPr>
        <w:pStyle w:val="TemplateBase"/>
        <w:spacing w:after="0" w:line="240" w:lineRule="auto"/>
        <w:jc w:val="center"/>
        <w:rPr>
          <w:b/>
          <w:noProof w:val="0"/>
          <w:sz w:val="32"/>
          <w:szCs w:val="32"/>
          <w:lang w:val="fr-FR"/>
        </w:rPr>
      </w:pPr>
      <w:r w:rsidRPr="00C35372">
        <w:rPr>
          <w:b/>
          <w:noProof w:val="0"/>
          <w:sz w:val="32"/>
          <w:szCs w:val="32"/>
          <w:lang w:val="fr-FR"/>
        </w:rPr>
        <w:t>Annexe</w:t>
      </w:r>
    </w:p>
    <w:p w:rsidR="00C35372" w:rsidRPr="00C35372" w:rsidRDefault="00C35372" w:rsidP="00C35372">
      <w:pPr>
        <w:pStyle w:val="TemplateBase"/>
        <w:spacing w:after="0" w:line="240" w:lineRule="auto"/>
        <w:jc w:val="center"/>
        <w:rPr>
          <w:b/>
          <w:noProof w:val="0"/>
          <w:sz w:val="32"/>
          <w:szCs w:val="32"/>
          <w:lang w:val="fr-FR"/>
        </w:rPr>
      </w:pPr>
    </w:p>
    <w:p w:rsidR="00C35372" w:rsidRPr="00C35372" w:rsidRDefault="00C35372" w:rsidP="00C35372">
      <w:pPr>
        <w:pStyle w:val="TemplateBase"/>
        <w:spacing w:after="0" w:line="240" w:lineRule="auto"/>
        <w:jc w:val="center"/>
        <w:rPr>
          <w:b/>
          <w:noProof w:val="0"/>
          <w:sz w:val="32"/>
          <w:szCs w:val="32"/>
          <w:lang w:val="fr-FR"/>
        </w:rPr>
      </w:pPr>
      <w:r w:rsidRPr="00C35372">
        <w:rPr>
          <w:b/>
          <w:noProof w:val="0"/>
          <w:sz w:val="32"/>
          <w:szCs w:val="32"/>
          <w:lang w:val="fr-FR"/>
        </w:rPr>
        <w:t>Critères d’exclusion et de sélection</w:t>
      </w:r>
    </w:p>
    <w:p w:rsidR="00C35372" w:rsidRDefault="00C35372" w:rsidP="00EA3CF9">
      <w:pPr>
        <w:pStyle w:val="TemplateBase"/>
        <w:spacing w:after="0" w:line="240" w:lineRule="auto"/>
        <w:jc w:val="both"/>
        <w:rPr>
          <w:noProof w:val="0"/>
          <w:lang w:val="fr-FR"/>
        </w:rPr>
      </w:pPr>
    </w:p>
    <w:p w:rsidR="00C35372" w:rsidRDefault="00C35372" w:rsidP="00EA3CF9">
      <w:pPr>
        <w:pStyle w:val="TemplateBase"/>
        <w:spacing w:after="0" w:line="240" w:lineRule="auto"/>
        <w:jc w:val="both"/>
        <w:rPr>
          <w:noProof w:val="0"/>
          <w:lang w:val="fr-FR"/>
        </w:rPr>
      </w:pPr>
    </w:p>
    <w:p w:rsidR="00814E13" w:rsidRDefault="00814E13" w:rsidP="00EA3CF9">
      <w:pPr>
        <w:pStyle w:val="TemplateBase"/>
        <w:spacing w:after="0" w:line="240" w:lineRule="auto"/>
        <w:jc w:val="both"/>
        <w:rPr>
          <w:noProof w:val="0"/>
          <w:lang w:val="fr-FR"/>
        </w:rPr>
      </w:pPr>
    </w:p>
    <w:p w:rsidR="00814E13" w:rsidRDefault="00814E13" w:rsidP="00EA3CF9">
      <w:pPr>
        <w:pStyle w:val="TemplateBase"/>
        <w:spacing w:after="0" w:line="240" w:lineRule="auto"/>
        <w:jc w:val="both"/>
        <w:rPr>
          <w:noProof w:val="0"/>
          <w:lang w:val="fr-FR"/>
        </w:rPr>
      </w:pPr>
    </w:p>
    <w:p w:rsidR="00814E13" w:rsidRPr="00814E13" w:rsidRDefault="00814E13" w:rsidP="00814E13">
      <w:pPr>
        <w:spacing w:before="100" w:beforeAutospacing="1" w:after="100" w:afterAutospacing="1"/>
        <w:outlineLvl w:val="3"/>
        <w:rPr>
          <w:b/>
          <w:bCs/>
          <w:lang w:val="fr-BE" w:eastAsia="fr-BE"/>
        </w:rPr>
      </w:pPr>
      <w:r w:rsidRPr="00814E13">
        <w:rPr>
          <w:b/>
          <w:bCs/>
          <w:lang w:val="fr-BE" w:eastAsia="fr-BE"/>
        </w:rPr>
        <w:t>C</w:t>
      </w:r>
      <w:r>
        <w:rPr>
          <w:b/>
          <w:bCs/>
          <w:lang w:val="fr-BE" w:eastAsia="fr-BE"/>
        </w:rPr>
        <w:t>ritères d’exclusion</w:t>
      </w:r>
    </w:p>
    <w:p w:rsidR="00814E13" w:rsidRDefault="00533DD8" w:rsidP="00981A58">
      <w:pPr>
        <w:pStyle w:val="TemplateBase"/>
        <w:spacing w:line="240" w:lineRule="auto"/>
        <w:jc w:val="both"/>
        <w:rPr>
          <w:noProof w:val="0"/>
          <w:lang w:val="fr-FR"/>
        </w:rPr>
      </w:pPr>
      <w:r>
        <w:rPr>
          <w:noProof w:val="0"/>
          <w:lang w:val="fr-FR"/>
        </w:rPr>
        <w:t xml:space="preserve">Les situations d’exclusion </w:t>
      </w:r>
      <w:r w:rsidR="00995B07">
        <w:rPr>
          <w:noProof w:val="0"/>
          <w:lang w:val="fr-FR"/>
        </w:rPr>
        <w:t>sont énumérées en détail dan</w:t>
      </w:r>
      <w:r w:rsidR="00981A58">
        <w:rPr>
          <w:noProof w:val="0"/>
          <w:lang w:val="fr-FR"/>
        </w:rPr>
        <w:t>s le formulaire à la PARTIE I.1 -</w:t>
      </w:r>
      <w:r w:rsidR="00981A58" w:rsidRPr="00981A58">
        <w:rPr>
          <w:lang w:val="fr-BE"/>
        </w:rPr>
        <w:t xml:space="preserve"> </w:t>
      </w:r>
      <w:r w:rsidR="00981A58" w:rsidRPr="00981A58">
        <w:rPr>
          <w:noProof w:val="0"/>
          <w:lang w:val="fr-FR"/>
        </w:rPr>
        <w:t>Déclaration sur l’honneur relative aux critères d’exclusion et aux critères de sélection</w:t>
      </w:r>
      <w:r w:rsidR="00995B07">
        <w:rPr>
          <w:noProof w:val="0"/>
          <w:lang w:val="fr-FR"/>
        </w:rPr>
        <w:t xml:space="preserve"> </w:t>
      </w:r>
    </w:p>
    <w:p w:rsidR="00814E13" w:rsidRPr="00814E13" w:rsidRDefault="00814E13" w:rsidP="00814E13">
      <w:pPr>
        <w:spacing w:before="100" w:beforeAutospacing="1" w:after="100" w:afterAutospacing="1"/>
        <w:outlineLvl w:val="3"/>
        <w:rPr>
          <w:b/>
          <w:bCs/>
          <w:lang w:val="fr-BE" w:eastAsia="fr-BE"/>
        </w:rPr>
      </w:pPr>
      <w:r w:rsidRPr="00814E13">
        <w:rPr>
          <w:b/>
          <w:bCs/>
          <w:lang w:val="fr-BE" w:eastAsia="fr-BE"/>
        </w:rPr>
        <w:t>Capacité économique et financière</w:t>
      </w:r>
    </w:p>
    <w:p w:rsidR="00C35372" w:rsidRPr="00C35372" w:rsidRDefault="00C35372" w:rsidP="00981A58">
      <w:pPr>
        <w:pStyle w:val="TemplateBase"/>
        <w:spacing w:line="240" w:lineRule="auto"/>
        <w:jc w:val="both"/>
        <w:rPr>
          <w:noProof w:val="0"/>
          <w:lang w:val="fr-FR"/>
        </w:rPr>
      </w:pPr>
      <w:r w:rsidRPr="00C35372">
        <w:rPr>
          <w:noProof w:val="0"/>
          <w:lang w:val="fr-FR"/>
        </w:rPr>
        <w:t xml:space="preserve">Les soumissionnaires sont tenus de fournir les informations suffisantes pour assurer le pouvoir adjudicateur de leur situation financière et plus particulièrement la preuve qu'ils disposent des ressources et des moyens financiers pour garantir une performance continue et satisfaisante pendant toute la durée du contrat. </w:t>
      </w:r>
    </w:p>
    <w:p w:rsidR="00C35372" w:rsidRPr="00C35372" w:rsidRDefault="00C35372" w:rsidP="00981A58">
      <w:pPr>
        <w:pStyle w:val="TemplateBase"/>
        <w:spacing w:line="240" w:lineRule="auto"/>
        <w:jc w:val="both"/>
        <w:rPr>
          <w:noProof w:val="0"/>
          <w:lang w:val="fr-FR"/>
        </w:rPr>
      </w:pPr>
      <w:r w:rsidRPr="00C35372">
        <w:rPr>
          <w:noProof w:val="0"/>
          <w:lang w:val="fr-FR"/>
        </w:rPr>
        <w:t xml:space="preserve">Afin de prouver leur capacité économique et financière, les soumissionnaires (c'est à dire en cas d'offre conjointe, la capacité combinée de tous les membres du consortium) doivent respecter les critères suivants: </w:t>
      </w:r>
    </w:p>
    <w:p w:rsidR="00C35372" w:rsidRPr="00C35372" w:rsidRDefault="00C35372" w:rsidP="00981A58">
      <w:pPr>
        <w:pStyle w:val="TemplateBase"/>
        <w:numPr>
          <w:ilvl w:val="0"/>
          <w:numId w:val="15"/>
        </w:numPr>
        <w:spacing w:line="240" w:lineRule="auto"/>
        <w:ind w:left="1077" w:hanging="357"/>
        <w:jc w:val="both"/>
        <w:rPr>
          <w:noProof w:val="0"/>
          <w:lang w:val="fr-FR"/>
        </w:rPr>
      </w:pPr>
      <w:r w:rsidRPr="00C35372">
        <w:rPr>
          <w:noProof w:val="0"/>
          <w:lang w:val="fr-FR"/>
        </w:rPr>
        <w:t>chiffre d'affaires annuel global moyen des 3 derniers exercices du soumissionnaire (entreprise unique ou grou</w:t>
      </w:r>
      <w:r w:rsidR="00981A58">
        <w:rPr>
          <w:noProof w:val="0"/>
          <w:lang w:val="fr-FR"/>
        </w:rPr>
        <w:t>pement) dans le domaine de la location à long terme de voitures</w:t>
      </w:r>
      <w:r w:rsidRPr="00C35372">
        <w:rPr>
          <w:noProof w:val="0"/>
          <w:lang w:val="fr-FR"/>
        </w:rPr>
        <w:t>. Ce critère de chiffre d'affaires doit être évalué par rapport au chiffre d'affaires combiné de toutes les parties impliquées dans l'offre</w:t>
      </w:r>
      <w:r w:rsidR="006A6E2B">
        <w:rPr>
          <w:rStyle w:val="FootnoteReference"/>
          <w:noProof w:val="0"/>
          <w:lang w:val="fr-FR"/>
        </w:rPr>
        <w:footnoteReference w:id="4"/>
      </w:r>
      <w:r w:rsidRPr="00C35372">
        <w:rPr>
          <w:noProof w:val="0"/>
          <w:lang w:val="fr-FR"/>
        </w:rPr>
        <w:t xml:space="preserve">. </w:t>
      </w:r>
    </w:p>
    <w:p w:rsidR="00C35372" w:rsidRPr="00C35372" w:rsidRDefault="00C35372" w:rsidP="00981A58">
      <w:pPr>
        <w:pStyle w:val="TemplateBase"/>
        <w:numPr>
          <w:ilvl w:val="0"/>
          <w:numId w:val="15"/>
        </w:numPr>
        <w:spacing w:line="240" w:lineRule="auto"/>
        <w:ind w:left="1077" w:hanging="357"/>
        <w:jc w:val="both"/>
        <w:rPr>
          <w:noProof w:val="0"/>
          <w:lang w:val="fr-FR"/>
        </w:rPr>
      </w:pPr>
      <w:r w:rsidRPr="00C35372">
        <w:rPr>
          <w:noProof w:val="0"/>
          <w:lang w:val="fr-FR"/>
        </w:rPr>
        <w:t>capacité financière suffisante pour garantir une performance continue et satisfaisante pendant toute la durée du contrat.</w:t>
      </w:r>
    </w:p>
    <w:p w:rsidR="00C35372" w:rsidRPr="00C35372" w:rsidRDefault="00C35372" w:rsidP="00981A58">
      <w:pPr>
        <w:pStyle w:val="TemplateBase"/>
        <w:spacing w:line="240" w:lineRule="auto"/>
        <w:jc w:val="both"/>
        <w:rPr>
          <w:noProof w:val="0"/>
          <w:lang w:val="fr-FR"/>
        </w:rPr>
      </w:pPr>
      <w:r w:rsidRPr="00C35372">
        <w:rPr>
          <w:noProof w:val="0"/>
          <w:lang w:val="fr-FR"/>
        </w:rPr>
        <w:t>La capacité économique et financière du soumissionnaire sera évaluée sur la base des éléments suivants :</w:t>
      </w:r>
    </w:p>
    <w:p w:rsidR="00C35372" w:rsidRPr="00C35372" w:rsidRDefault="00C35372" w:rsidP="00981A58">
      <w:pPr>
        <w:pStyle w:val="TemplateBase"/>
        <w:numPr>
          <w:ilvl w:val="0"/>
          <w:numId w:val="15"/>
        </w:numPr>
        <w:spacing w:line="240" w:lineRule="auto"/>
        <w:ind w:left="1077" w:hanging="357"/>
        <w:jc w:val="both"/>
        <w:rPr>
          <w:noProof w:val="0"/>
          <w:lang w:val="fr-FR"/>
        </w:rPr>
      </w:pPr>
      <w:r w:rsidRPr="00C35372">
        <w:rPr>
          <w:noProof w:val="0"/>
          <w:lang w:val="fr-FR"/>
        </w:rPr>
        <w:t>une copie des bilans ou d'extraits des bilans et comptes de résultats des 3 derniers exercices, ainsi que toute copie des rapports du Conseil d’Administration et des auditeurs externes si disponible</w:t>
      </w:r>
      <w:r w:rsidR="006B46EE">
        <w:rPr>
          <w:noProof w:val="0"/>
          <w:lang w:val="fr-FR"/>
        </w:rPr>
        <w:t>s</w:t>
      </w:r>
      <w:r w:rsidRPr="00C35372">
        <w:rPr>
          <w:noProof w:val="0"/>
          <w:lang w:val="fr-FR"/>
        </w:rPr>
        <w:t>, relatives à ces exercices. Si, pour une raison justifiée, étayée de documents probants, le candidat n'est pas en mesure de les fournir, il joindra une déclaration sur l’honneur précisant le résultat annuel après impôts des 3 dernières exercices.</w:t>
      </w:r>
    </w:p>
    <w:p w:rsidR="00C35372" w:rsidRPr="00C35372" w:rsidRDefault="00C35372" w:rsidP="00981A58">
      <w:pPr>
        <w:pStyle w:val="TemplateBase"/>
        <w:numPr>
          <w:ilvl w:val="0"/>
          <w:numId w:val="15"/>
        </w:numPr>
        <w:spacing w:line="240" w:lineRule="auto"/>
        <w:ind w:left="1077" w:hanging="357"/>
        <w:jc w:val="both"/>
        <w:rPr>
          <w:noProof w:val="0"/>
          <w:lang w:val="fr-FR"/>
        </w:rPr>
      </w:pPr>
      <w:r w:rsidRPr="00C35372">
        <w:rPr>
          <w:noProof w:val="0"/>
          <w:lang w:val="fr-FR"/>
        </w:rPr>
        <w:t>une déclaration dûment signée par le mandataire social indiquant le chiffre d'affaires annuel global des 3 derniers exercices, ainsi que le chiffre d'affaires spécifique dans le domaine de la location à long terme de voitures.</w:t>
      </w:r>
    </w:p>
    <w:p w:rsidR="00C35372" w:rsidRPr="00C35372" w:rsidRDefault="00C35372" w:rsidP="00981A58">
      <w:pPr>
        <w:pStyle w:val="TemplateBase"/>
        <w:spacing w:line="240" w:lineRule="auto"/>
        <w:jc w:val="both"/>
        <w:rPr>
          <w:noProof w:val="0"/>
          <w:lang w:val="fr-FR"/>
        </w:rPr>
      </w:pPr>
      <w:r w:rsidRPr="00C35372">
        <w:rPr>
          <w:noProof w:val="0"/>
          <w:lang w:val="fr-FR"/>
        </w:rPr>
        <w:lastRenderedPageBreak/>
        <w:t>Lorsque les comptes d’exploitation font apparaitre un résultat moyen négatif sur les trois dernières années le candidat est tenu de fournir toute autre document prouvant sa capacité économique et financière, telle des déclarations du commissaire aux comptes, des déclarations appropriées des banques, la preuve de la souscription d’une assurance couvrant les risques professionnelles, ou d’autres documents semblables.</w:t>
      </w:r>
    </w:p>
    <w:p w:rsidR="00C35372" w:rsidRDefault="00C35372" w:rsidP="00587BDC">
      <w:pPr>
        <w:pStyle w:val="TemplateBase"/>
        <w:spacing w:line="240" w:lineRule="auto"/>
        <w:jc w:val="both"/>
        <w:rPr>
          <w:noProof w:val="0"/>
          <w:lang w:val="fr-FR"/>
        </w:rPr>
      </w:pPr>
      <w:r w:rsidRPr="00C35372">
        <w:rPr>
          <w:noProof w:val="0"/>
          <w:lang w:val="fr-FR"/>
        </w:rPr>
        <w:t xml:space="preserve">Si, pour une raison exceptionnelle que le pouvoir adjudicateur estime justifiée, le soumissionnaire est incapable de fournir une ou l'autre des documents ci-dessus, il ou elle peut faire preuve de sa capacité économique et financière par tout autre document que le pouvoir adjudicateur juge appropriée. Dans tous les cas, le pouvoir adjudicateur doit être au moins informé de la raison exceptionnelle et </w:t>
      </w:r>
      <w:r w:rsidR="00FD24E5">
        <w:rPr>
          <w:noProof w:val="0"/>
          <w:lang w:val="fr-FR"/>
        </w:rPr>
        <w:t xml:space="preserve">de </w:t>
      </w:r>
      <w:r w:rsidRPr="00C35372">
        <w:rPr>
          <w:noProof w:val="0"/>
          <w:lang w:val="fr-FR"/>
        </w:rPr>
        <w:t>sa justification dans l'offre.</w:t>
      </w:r>
    </w:p>
    <w:p w:rsidR="00981A58" w:rsidRPr="00981A58" w:rsidRDefault="00981A58" w:rsidP="00587BDC">
      <w:pPr>
        <w:pStyle w:val="TemplateBase"/>
        <w:spacing w:after="120" w:line="240" w:lineRule="auto"/>
        <w:jc w:val="both"/>
        <w:rPr>
          <w:noProof w:val="0"/>
          <w:u w:val="single"/>
          <w:lang w:val="fr-FR"/>
        </w:rPr>
      </w:pPr>
      <w:r w:rsidRPr="00981A58">
        <w:rPr>
          <w:noProof w:val="0"/>
          <w:u w:val="single"/>
          <w:lang w:val="fr-FR"/>
        </w:rPr>
        <w:t>Niveau spécifique minimal exigé :</w:t>
      </w:r>
    </w:p>
    <w:p w:rsidR="00C35372" w:rsidRDefault="00C35372" w:rsidP="00587BDC">
      <w:pPr>
        <w:pStyle w:val="TemplateBase"/>
        <w:numPr>
          <w:ilvl w:val="0"/>
          <w:numId w:val="18"/>
        </w:numPr>
        <w:spacing w:after="0" w:line="240" w:lineRule="auto"/>
        <w:jc w:val="both"/>
        <w:rPr>
          <w:noProof w:val="0"/>
          <w:lang w:val="fr-FR"/>
        </w:rPr>
      </w:pPr>
      <w:r w:rsidRPr="00C35372">
        <w:rPr>
          <w:noProof w:val="0"/>
          <w:lang w:val="fr-FR"/>
        </w:rPr>
        <w:t>Chiffre d'affaires minimal annuel, au cours des 3 derniers exercices dans le domaine de la location à long terme de voitures</w:t>
      </w:r>
      <w:r w:rsidR="00705267">
        <w:rPr>
          <w:noProof w:val="0"/>
          <w:lang w:val="fr-FR"/>
        </w:rPr>
        <w:t> </w:t>
      </w:r>
      <w:r w:rsidRPr="00C35372">
        <w:rPr>
          <w:noProof w:val="0"/>
          <w:lang w:val="fr-FR"/>
        </w:rPr>
        <w:t xml:space="preserve">: 7.000.000 € (pour le lot 1), </w:t>
      </w:r>
      <w:r w:rsidR="00981A58">
        <w:rPr>
          <w:noProof w:val="0"/>
          <w:lang w:val="fr-FR"/>
        </w:rPr>
        <w:t>4</w:t>
      </w:r>
      <w:r w:rsidRPr="00C35372">
        <w:rPr>
          <w:noProof w:val="0"/>
          <w:lang w:val="fr-FR"/>
        </w:rPr>
        <w:t>.500.000 € (pour le lot 2)</w:t>
      </w:r>
    </w:p>
    <w:p w:rsidR="00814E13" w:rsidRPr="00814E13" w:rsidRDefault="00814E13" w:rsidP="00814E13">
      <w:pPr>
        <w:spacing w:before="100" w:beforeAutospacing="1" w:after="100" w:afterAutospacing="1"/>
        <w:outlineLvl w:val="3"/>
        <w:rPr>
          <w:b/>
          <w:bCs/>
          <w:lang w:val="fr-BE" w:eastAsia="fr-BE"/>
        </w:rPr>
      </w:pPr>
      <w:r w:rsidRPr="00814E13">
        <w:rPr>
          <w:b/>
          <w:bCs/>
          <w:lang w:val="fr-BE" w:eastAsia="fr-BE"/>
        </w:rPr>
        <w:t>Capacité technique et professionnelle</w:t>
      </w:r>
    </w:p>
    <w:p w:rsidR="00814E13" w:rsidRPr="00814E13" w:rsidRDefault="00814E13" w:rsidP="006A6E2B">
      <w:pPr>
        <w:pStyle w:val="TemplateBase"/>
        <w:spacing w:line="240" w:lineRule="auto"/>
        <w:jc w:val="both"/>
        <w:rPr>
          <w:noProof w:val="0"/>
          <w:lang w:val="fr-FR"/>
        </w:rPr>
      </w:pPr>
      <w:r w:rsidRPr="00814E13">
        <w:rPr>
          <w:noProof w:val="0"/>
          <w:lang w:val="fr-FR"/>
        </w:rPr>
        <w:t xml:space="preserve">Les soumissionnaires sont tenus de fournir les informations suffisantes pour assurer le pouvoir adjudicateur de leur capacité technique et professionnelle et plus particulièrement la preuve qu'ils disposent des ressources et des compétences pour garantir une performance continue et satisfaisante pendant toute la durée du contrat: </w:t>
      </w:r>
    </w:p>
    <w:p w:rsidR="00814E13" w:rsidRPr="00814E13" w:rsidRDefault="00814E13" w:rsidP="006A6E2B">
      <w:pPr>
        <w:pStyle w:val="TemplateBase"/>
        <w:numPr>
          <w:ilvl w:val="0"/>
          <w:numId w:val="19"/>
        </w:numPr>
        <w:spacing w:line="240" w:lineRule="auto"/>
        <w:jc w:val="both"/>
        <w:rPr>
          <w:noProof w:val="0"/>
          <w:lang w:val="fr-FR"/>
        </w:rPr>
      </w:pPr>
      <w:r w:rsidRPr="00814E13">
        <w:rPr>
          <w:noProof w:val="0"/>
          <w:lang w:val="fr-FR"/>
        </w:rPr>
        <w:t>une liste des  marchés de nature comparable réalisés au cours  des  3 dernières années. La liste doit contenir, pour chaque marché, des  informations les plus détaillées possibles, et notamment le nom et les coordonnées des  bénéficiaires ainsi que les objets  du marché (nombre et type de véhicules loués),</w:t>
      </w:r>
    </w:p>
    <w:p w:rsidR="00814E13" w:rsidRPr="00814E13" w:rsidRDefault="00814E13" w:rsidP="006A6E2B">
      <w:pPr>
        <w:pStyle w:val="TemplateBase"/>
        <w:numPr>
          <w:ilvl w:val="0"/>
          <w:numId w:val="19"/>
        </w:numPr>
        <w:spacing w:line="240" w:lineRule="auto"/>
        <w:jc w:val="both"/>
        <w:rPr>
          <w:noProof w:val="0"/>
          <w:lang w:val="fr-FR"/>
        </w:rPr>
      </w:pPr>
      <w:r w:rsidRPr="00814E13">
        <w:rPr>
          <w:noProof w:val="0"/>
          <w:lang w:val="fr-FR"/>
        </w:rPr>
        <w:t>une déclaration indiquant  l'infrastructure et les effectifs moyens annuels du prestataire (en particulier pour assurer la capacité d'intervention),</w:t>
      </w:r>
    </w:p>
    <w:p w:rsidR="00814E13" w:rsidRDefault="00814E13" w:rsidP="006A6E2B">
      <w:pPr>
        <w:pStyle w:val="TemplateBase"/>
        <w:numPr>
          <w:ilvl w:val="0"/>
          <w:numId w:val="19"/>
        </w:numPr>
        <w:spacing w:after="0" w:line="240" w:lineRule="auto"/>
        <w:jc w:val="both"/>
        <w:rPr>
          <w:noProof w:val="0"/>
          <w:lang w:val="fr-FR"/>
        </w:rPr>
      </w:pPr>
      <w:r w:rsidRPr="00814E13">
        <w:rPr>
          <w:noProof w:val="0"/>
          <w:lang w:val="fr-FR"/>
        </w:rPr>
        <w:t>un document reprenant toutes les mesures prises par le candidat et ses fournisseurs (centrales de pneus, carrosserie, garages) pour respecter les prescriptions environnementales en matière de traitement des pneumatiques (destruction, recyclage, stockage), de traitement des huiles usagées et de véhicules en fin de vie.</w:t>
      </w:r>
    </w:p>
    <w:p w:rsidR="00814E13" w:rsidRDefault="00814E13" w:rsidP="00EA3CF9">
      <w:pPr>
        <w:pStyle w:val="TemplateBase"/>
        <w:spacing w:after="0" w:line="240" w:lineRule="auto"/>
        <w:jc w:val="both"/>
        <w:rPr>
          <w:noProof w:val="0"/>
          <w:lang w:val="fr-FR"/>
        </w:rPr>
      </w:pPr>
    </w:p>
    <w:p w:rsidR="006A6E2B" w:rsidRPr="00981A58" w:rsidRDefault="006A6E2B" w:rsidP="006A6E2B">
      <w:pPr>
        <w:pStyle w:val="TemplateBase"/>
        <w:spacing w:after="120" w:line="240" w:lineRule="auto"/>
        <w:jc w:val="both"/>
        <w:rPr>
          <w:noProof w:val="0"/>
          <w:u w:val="single"/>
          <w:lang w:val="fr-FR"/>
        </w:rPr>
      </w:pPr>
      <w:r w:rsidRPr="00981A58">
        <w:rPr>
          <w:noProof w:val="0"/>
          <w:u w:val="single"/>
          <w:lang w:val="fr-FR"/>
        </w:rPr>
        <w:t>Niveau</w:t>
      </w:r>
      <w:r>
        <w:rPr>
          <w:noProof w:val="0"/>
          <w:u w:val="single"/>
          <w:lang w:val="fr-FR"/>
        </w:rPr>
        <w:t>x</w:t>
      </w:r>
      <w:r w:rsidRPr="00981A58">
        <w:rPr>
          <w:noProof w:val="0"/>
          <w:u w:val="single"/>
          <w:lang w:val="fr-FR"/>
        </w:rPr>
        <w:t xml:space="preserve"> spécifique</w:t>
      </w:r>
      <w:r>
        <w:rPr>
          <w:noProof w:val="0"/>
          <w:u w:val="single"/>
          <w:lang w:val="fr-FR"/>
        </w:rPr>
        <w:t>s</w:t>
      </w:r>
      <w:r w:rsidRPr="00981A58">
        <w:rPr>
          <w:noProof w:val="0"/>
          <w:u w:val="single"/>
          <w:lang w:val="fr-FR"/>
        </w:rPr>
        <w:t xml:space="preserve"> minima</w:t>
      </w:r>
      <w:r>
        <w:rPr>
          <w:noProof w:val="0"/>
          <w:u w:val="single"/>
          <w:lang w:val="fr-FR"/>
        </w:rPr>
        <w:t>ux</w:t>
      </w:r>
      <w:r w:rsidRPr="00981A58">
        <w:rPr>
          <w:noProof w:val="0"/>
          <w:u w:val="single"/>
          <w:lang w:val="fr-FR"/>
        </w:rPr>
        <w:t xml:space="preserve"> exigé</w:t>
      </w:r>
      <w:r>
        <w:rPr>
          <w:noProof w:val="0"/>
          <w:u w:val="single"/>
          <w:lang w:val="fr-FR"/>
        </w:rPr>
        <w:t>s</w:t>
      </w:r>
      <w:r w:rsidRPr="00981A58">
        <w:rPr>
          <w:noProof w:val="0"/>
          <w:u w:val="single"/>
          <w:lang w:val="fr-FR"/>
        </w:rPr>
        <w:t> :</w:t>
      </w:r>
    </w:p>
    <w:p w:rsidR="00814E13" w:rsidRPr="00814E13" w:rsidRDefault="00814E13" w:rsidP="006A6E2B">
      <w:pPr>
        <w:pStyle w:val="TemplateBase"/>
        <w:numPr>
          <w:ilvl w:val="0"/>
          <w:numId w:val="21"/>
        </w:numPr>
        <w:spacing w:line="240" w:lineRule="auto"/>
        <w:jc w:val="both"/>
        <w:rPr>
          <w:noProof w:val="0"/>
          <w:lang w:val="fr-FR"/>
        </w:rPr>
      </w:pPr>
      <w:r w:rsidRPr="00814E13">
        <w:rPr>
          <w:noProof w:val="0"/>
          <w:lang w:val="fr-FR"/>
        </w:rPr>
        <w:t xml:space="preserve">seront prises en considération seulement les candidatures de sociétés qui travaillent dans le </w:t>
      </w:r>
      <w:r w:rsidR="006A6E2B">
        <w:rPr>
          <w:noProof w:val="0"/>
          <w:lang w:val="fr-FR"/>
        </w:rPr>
        <w:t>domaine</w:t>
      </w:r>
      <w:r w:rsidRPr="00814E13">
        <w:rPr>
          <w:noProof w:val="0"/>
          <w:lang w:val="fr-FR"/>
        </w:rPr>
        <w:t xml:space="preserve"> depuis au moins 5 ans.</w:t>
      </w:r>
    </w:p>
    <w:p w:rsidR="00814E13" w:rsidRPr="00814E13" w:rsidRDefault="00814E13" w:rsidP="006A6E2B">
      <w:pPr>
        <w:pStyle w:val="TemplateBase"/>
        <w:numPr>
          <w:ilvl w:val="0"/>
          <w:numId w:val="21"/>
        </w:numPr>
        <w:spacing w:line="240" w:lineRule="auto"/>
        <w:jc w:val="both"/>
        <w:rPr>
          <w:noProof w:val="0"/>
          <w:lang w:val="fr-FR"/>
        </w:rPr>
      </w:pPr>
      <w:r w:rsidRPr="00814E13">
        <w:rPr>
          <w:noProof w:val="0"/>
          <w:lang w:val="fr-FR"/>
        </w:rPr>
        <w:t>les candidats doivent assurer et prouver  leur capacité d'intervenir endéans les 4 heures ouvrables en cas d'immobilisation des voitures louées.</w:t>
      </w:r>
    </w:p>
    <w:p w:rsidR="00814E13" w:rsidRDefault="00814E13" w:rsidP="006A6E2B">
      <w:pPr>
        <w:pStyle w:val="TemplateBase"/>
        <w:numPr>
          <w:ilvl w:val="0"/>
          <w:numId w:val="21"/>
        </w:numPr>
        <w:spacing w:line="240" w:lineRule="auto"/>
        <w:jc w:val="both"/>
        <w:rPr>
          <w:noProof w:val="0"/>
          <w:lang w:val="fr-FR"/>
        </w:rPr>
      </w:pPr>
      <w:r w:rsidRPr="00814E13">
        <w:rPr>
          <w:noProof w:val="0"/>
          <w:lang w:val="fr-FR"/>
        </w:rPr>
        <w:t xml:space="preserve">le document à fournir par les candidats concernant les aspects environnementaux permettra au pouvoir adjudicateur de s'assurer que le candidat prend des mesures adéquates de gestion environnementale. Si le candidat ou le groupe dans lequel il s'insère disposent d'une certification ISO 14000 ou d'un agrément EMAS (Eco Management and Audit </w:t>
      </w:r>
      <w:proofErr w:type="spellStart"/>
      <w:r w:rsidRPr="00814E13">
        <w:rPr>
          <w:noProof w:val="0"/>
          <w:lang w:val="fr-FR"/>
        </w:rPr>
        <w:t>Scheme</w:t>
      </w:r>
      <w:proofErr w:type="spellEnd"/>
      <w:r w:rsidRPr="00814E13">
        <w:rPr>
          <w:noProof w:val="0"/>
          <w:lang w:val="fr-FR"/>
        </w:rPr>
        <w:t>) cette assurance est considérée comme acquise.</w:t>
      </w:r>
    </w:p>
    <w:sectPr w:rsidR="00814E13">
      <w:footnotePr>
        <w:numRestart w:val="eachSect"/>
      </w:footnotePr>
      <w:pgSz w:w="11907" w:h="16840" w:code="9"/>
      <w:pgMar w:top="851" w:right="1134" w:bottom="1077" w:left="2041" w:header="533" w:footer="38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86" w:rsidRDefault="00CC1B86">
      <w:r>
        <w:separator/>
      </w:r>
    </w:p>
  </w:endnote>
  <w:endnote w:type="continuationSeparator" w:id="0">
    <w:p w:rsidR="00CC1B86" w:rsidRDefault="00CC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msRmn">
    <w:panose1 w:val="00000000000000000000"/>
    <w:charset w:val="00"/>
    <w:family w:val="decorative"/>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2B" w:rsidRDefault="006A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2" w:rsidRDefault="00364FD2">
    <w:pPr>
      <w:pStyle w:val="Footer"/>
      <w:jc w:val="center"/>
      <w:rPr>
        <w:rFonts w:ascii="Garamond" w:hAnsi="Garamond"/>
        <w:sz w:val="20"/>
        <w:lang w:val="fr-BE"/>
      </w:rPr>
    </w:pPr>
    <w:r>
      <w:rPr>
        <w:rFonts w:ascii="Garamond" w:hAnsi="Garamond"/>
        <w:snapToGrid w:val="0"/>
        <w:sz w:val="20"/>
        <w:lang w:val="fr-BE" w:eastAsia="en-US"/>
      </w:rPr>
      <w:t xml:space="preserve">- </w:t>
    </w:r>
    <w:r>
      <w:rPr>
        <w:rFonts w:ascii="Garamond" w:hAnsi="Garamond"/>
        <w:snapToGrid w:val="0"/>
        <w:sz w:val="20"/>
        <w:lang w:val="fr-BE" w:eastAsia="en-US"/>
      </w:rPr>
      <w:fldChar w:fldCharType="begin"/>
    </w:r>
    <w:r>
      <w:rPr>
        <w:rFonts w:ascii="Garamond" w:hAnsi="Garamond"/>
        <w:snapToGrid w:val="0"/>
        <w:sz w:val="20"/>
        <w:lang w:val="fr-BE" w:eastAsia="en-US"/>
      </w:rPr>
      <w:instrText xml:space="preserve"> PAGE </w:instrText>
    </w:r>
    <w:r>
      <w:rPr>
        <w:rFonts w:ascii="Garamond" w:hAnsi="Garamond"/>
        <w:snapToGrid w:val="0"/>
        <w:sz w:val="20"/>
        <w:lang w:val="fr-BE" w:eastAsia="en-US"/>
      </w:rPr>
      <w:fldChar w:fldCharType="separate"/>
    </w:r>
    <w:r w:rsidR="00024FE5">
      <w:rPr>
        <w:rFonts w:ascii="Garamond" w:hAnsi="Garamond"/>
        <w:noProof/>
        <w:snapToGrid w:val="0"/>
        <w:sz w:val="20"/>
        <w:lang w:val="fr-BE" w:eastAsia="en-US"/>
      </w:rPr>
      <w:t>2</w:t>
    </w:r>
    <w:r>
      <w:rPr>
        <w:rFonts w:ascii="Garamond" w:hAnsi="Garamond"/>
        <w:snapToGrid w:val="0"/>
        <w:sz w:val="20"/>
        <w:lang w:val="fr-BE" w:eastAsia="en-US"/>
      </w:rPr>
      <w:fldChar w:fldCharType="end"/>
    </w:r>
    <w:r>
      <w:rPr>
        <w:rFonts w:ascii="Garamond" w:hAnsi="Garamond"/>
        <w:snapToGrid w:val="0"/>
        <w:sz w:val="20"/>
        <w:lang w:val="fr-BE" w:eastAsia="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2" w:rsidRDefault="00364FD2">
    <w:pPr>
      <w:widowControl w:val="0"/>
      <w:ind w:left="-567" w:right="-568"/>
      <w:jc w:val="center"/>
      <w:rPr>
        <w:rFonts w:ascii="Garamond" w:hAnsi="Garamond"/>
        <w:b/>
        <w:sz w:val="20"/>
        <w:lang w:val="fr-FR"/>
      </w:rPr>
    </w:pPr>
    <w:r>
      <w:rPr>
        <w:rStyle w:val="PageNumber"/>
        <w:rFonts w:ascii="Garamond" w:hAnsi="Garamond"/>
        <w:sz w:val="20"/>
      </w:rPr>
      <w:fldChar w:fldCharType="begin"/>
    </w:r>
    <w:r>
      <w:rPr>
        <w:rStyle w:val="PageNumber"/>
        <w:rFonts w:ascii="Garamond" w:hAnsi="Garamond"/>
        <w:sz w:val="20"/>
      </w:rPr>
      <w:instrText xml:space="preserve"> PAGE </w:instrText>
    </w:r>
    <w:r>
      <w:rPr>
        <w:rStyle w:val="PageNumber"/>
        <w:rFonts w:ascii="Garamond" w:hAnsi="Garamond"/>
        <w:sz w:val="20"/>
      </w:rPr>
      <w:fldChar w:fldCharType="separate"/>
    </w:r>
    <w:r w:rsidR="00024FE5">
      <w:rPr>
        <w:rStyle w:val="PageNumber"/>
        <w:rFonts w:ascii="Garamond" w:hAnsi="Garamond"/>
        <w:noProof/>
        <w:sz w:val="20"/>
      </w:rPr>
      <w:t>1</w:t>
    </w:r>
    <w:r>
      <w:rPr>
        <w:rStyle w:val="PageNumber"/>
        <w:rFonts w:ascii="Garamond" w:hAnsi="Garamond"/>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86" w:rsidRDefault="00CC1B86">
      <w:r>
        <w:separator/>
      </w:r>
    </w:p>
  </w:footnote>
  <w:footnote w:type="continuationSeparator" w:id="0">
    <w:p w:rsidR="00CC1B86" w:rsidRDefault="00CC1B86">
      <w:r>
        <w:continuationSeparator/>
      </w:r>
    </w:p>
  </w:footnote>
  <w:footnote w:id="1">
    <w:p w:rsidR="00AC26B0" w:rsidRPr="00AC26B0" w:rsidRDefault="00AC26B0" w:rsidP="00995B07">
      <w:pPr>
        <w:pStyle w:val="FootnoteText"/>
        <w:ind w:left="720" w:hanging="720"/>
        <w:jc w:val="both"/>
        <w:rPr>
          <w:sz w:val="18"/>
          <w:szCs w:val="18"/>
          <w:lang w:val="fr-BE"/>
        </w:rPr>
      </w:pPr>
      <w:r>
        <w:rPr>
          <w:rStyle w:val="FootnoteReference"/>
        </w:rPr>
        <w:footnoteRef/>
      </w:r>
      <w:r w:rsidRPr="00AC26B0">
        <w:rPr>
          <w:lang w:val="fr-BE"/>
        </w:rPr>
        <w:t xml:space="preserve"> </w:t>
      </w:r>
      <w:r>
        <w:rPr>
          <w:lang w:val="fr-BE"/>
        </w:rPr>
        <w:tab/>
      </w:r>
      <w:r w:rsidRPr="00AC26B0">
        <w:rPr>
          <w:sz w:val="18"/>
          <w:szCs w:val="18"/>
          <w:lang w:val="fr-BE"/>
        </w:rPr>
        <w:t>Si à la lumiè</w:t>
      </w:r>
      <w:r>
        <w:rPr>
          <w:sz w:val="18"/>
          <w:szCs w:val="18"/>
          <w:lang w:val="fr-BE"/>
        </w:rPr>
        <w:t>re des informations fournies, le pouvoir adjudicateur</w:t>
      </w:r>
      <w:r w:rsidRPr="00AC26B0">
        <w:rPr>
          <w:sz w:val="18"/>
          <w:szCs w:val="18"/>
          <w:lang w:val="fr-BE"/>
        </w:rPr>
        <w:t xml:space="preserve"> a des sérieux doutes quant à la capacité financière du soumissionnaire ou si celle-ci s’avère clairement insuffisante pour exécuter le marché, </w:t>
      </w:r>
      <w:r w:rsidR="00995B07">
        <w:rPr>
          <w:sz w:val="18"/>
          <w:szCs w:val="18"/>
          <w:lang w:val="fr-BE"/>
        </w:rPr>
        <w:t xml:space="preserve">la candidature ou </w:t>
      </w:r>
      <w:r w:rsidRPr="00AC26B0">
        <w:rPr>
          <w:sz w:val="18"/>
          <w:szCs w:val="18"/>
          <w:lang w:val="fr-BE"/>
        </w:rPr>
        <w:t>l’offre pourr</w:t>
      </w:r>
      <w:r w:rsidR="00995B07">
        <w:rPr>
          <w:sz w:val="18"/>
          <w:szCs w:val="18"/>
          <w:lang w:val="fr-BE"/>
        </w:rPr>
        <w:t>ont</w:t>
      </w:r>
      <w:r w:rsidRPr="00AC26B0">
        <w:rPr>
          <w:sz w:val="18"/>
          <w:szCs w:val="18"/>
          <w:lang w:val="fr-BE"/>
        </w:rPr>
        <w:t xml:space="preserve"> être rejetée</w:t>
      </w:r>
      <w:r w:rsidR="00995B07">
        <w:rPr>
          <w:sz w:val="18"/>
          <w:szCs w:val="18"/>
          <w:lang w:val="fr-BE"/>
        </w:rPr>
        <w:t>s</w:t>
      </w:r>
      <w:r w:rsidRPr="00AC26B0">
        <w:rPr>
          <w:sz w:val="18"/>
          <w:szCs w:val="18"/>
          <w:lang w:val="fr-BE"/>
        </w:rPr>
        <w:t xml:space="preserve"> sans que le soumissionnaire puisse prétendre à une quelconque compensation financière.</w:t>
      </w:r>
    </w:p>
  </w:footnote>
  <w:footnote w:id="2">
    <w:p w:rsidR="009B5CC0" w:rsidRPr="00AF04BE" w:rsidRDefault="009B5CC0" w:rsidP="009B5CC0">
      <w:pPr>
        <w:pStyle w:val="FootnoteText"/>
        <w:ind w:left="720" w:hanging="720"/>
        <w:rPr>
          <w:rFonts w:ascii="Garamond" w:hAnsi="Garamond"/>
          <w:sz w:val="18"/>
          <w:szCs w:val="18"/>
          <w:lang w:val="fr-BE"/>
        </w:rPr>
      </w:pPr>
      <w:r>
        <w:rPr>
          <w:rStyle w:val="FootnoteReference"/>
        </w:rPr>
        <w:footnoteRef/>
      </w:r>
      <w:r w:rsidRPr="009B5CC0">
        <w:rPr>
          <w:lang w:val="fr-BE"/>
        </w:rPr>
        <w:t xml:space="preserve"> </w:t>
      </w:r>
      <w:r>
        <w:rPr>
          <w:lang w:val="fr-BE"/>
        </w:rPr>
        <w:tab/>
      </w:r>
      <w:r w:rsidRPr="00AF04BE">
        <w:rPr>
          <w:rFonts w:ascii="Garamond" w:hAnsi="Garamond"/>
          <w:sz w:val="18"/>
          <w:szCs w:val="18"/>
          <w:lang w:val="fr-BE"/>
        </w:rPr>
        <w:t xml:space="preserve">Règlement (UE, EURATOM) </w:t>
      </w:r>
      <w:r w:rsidR="00AF04BE" w:rsidRPr="00AF04BE">
        <w:rPr>
          <w:rFonts w:ascii="Garamond" w:hAnsi="Garamond"/>
          <w:sz w:val="18"/>
          <w:szCs w:val="18"/>
          <w:lang w:val="fr-BE"/>
        </w:rPr>
        <w:t>n</w:t>
      </w:r>
      <w:r w:rsidRPr="00AF04BE">
        <w:rPr>
          <w:rFonts w:ascii="Garamond" w:hAnsi="Garamond"/>
          <w:sz w:val="18"/>
          <w:szCs w:val="18"/>
          <w:lang w:val="fr-BE"/>
        </w:rPr>
        <w:t>o 966/2012 du Parlement européen et du Conseil du 25 octobre 2012 relatif aux règles financières applicables au budget général de l'Union et abrogeant le règlement (CE, Euratom) no 1605/2002 du Conseil</w:t>
      </w:r>
      <w:r w:rsidR="00AF04BE" w:rsidRPr="00AF04BE">
        <w:rPr>
          <w:rFonts w:ascii="Garamond" w:hAnsi="Garamond"/>
          <w:sz w:val="18"/>
          <w:szCs w:val="18"/>
          <w:lang w:val="fr-BE"/>
        </w:rPr>
        <w:t>.</w:t>
      </w:r>
    </w:p>
  </w:footnote>
  <w:footnote w:id="3">
    <w:p w:rsidR="00AF04BE" w:rsidRPr="00AF04BE" w:rsidRDefault="00AF04BE" w:rsidP="00AF04BE">
      <w:pPr>
        <w:pStyle w:val="FootnoteText"/>
        <w:ind w:left="720" w:hanging="720"/>
        <w:rPr>
          <w:rFonts w:ascii="Garamond" w:hAnsi="Garamond"/>
          <w:sz w:val="18"/>
          <w:szCs w:val="18"/>
          <w:lang w:val="fr-BE"/>
        </w:rPr>
      </w:pPr>
      <w:r>
        <w:rPr>
          <w:rStyle w:val="FootnoteReference"/>
        </w:rPr>
        <w:footnoteRef/>
      </w:r>
      <w:r w:rsidRPr="00AF04BE">
        <w:rPr>
          <w:lang w:val="fr-BE"/>
        </w:rPr>
        <w:t xml:space="preserve"> </w:t>
      </w:r>
      <w:r>
        <w:rPr>
          <w:lang w:val="fr-BE"/>
        </w:rPr>
        <w:tab/>
      </w:r>
      <w:r w:rsidRPr="00AF04BE">
        <w:rPr>
          <w:rFonts w:ascii="Garamond" w:hAnsi="Garamond"/>
          <w:sz w:val="18"/>
          <w:szCs w:val="18"/>
          <w:lang w:val="fr-BE"/>
        </w:rPr>
        <w:t>Règlement délégué (UE) no 1268/2012 de la Commission du 29 octobre 2012 relatif aux règles d’application du règlement (UE, Euratom) no 966/2012 du Parlement européen et du Conseil relatif aux règles financières applicables au budget général de l’Union</w:t>
      </w:r>
    </w:p>
  </w:footnote>
  <w:footnote w:id="4">
    <w:p w:rsidR="006A6E2B" w:rsidRPr="006A6E2B" w:rsidRDefault="006A6E2B" w:rsidP="006A6E2B">
      <w:pPr>
        <w:pStyle w:val="FootnoteText"/>
        <w:ind w:left="720" w:hanging="720"/>
        <w:rPr>
          <w:sz w:val="18"/>
          <w:szCs w:val="18"/>
          <w:lang w:val="fr-BE"/>
        </w:rPr>
      </w:pPr>
      <w:r>
        <w:rPr>
          <w:rStyle w:val="FootnoteReference"/>
        </w:rPr>
        <w:footnoteRef/>
      </w:r>
      <w:r w:rsidRPr="006A6E2B">
        <w:rPr>
          <w:lang w:val="fr-BE"/>
        </w:rPr>
        <w:t xml:space="preserve"> </w:t>
      </w:r>
      <w:r>
        <w:rPr>
          <w:lang w:val="fr-BE"/>
        </w:rPr>
        <w:tab/>
      </w:r>
      <w:r w:rsidRPr="006A6E2B">
        <w:rPr>
          <w:sz w:val="18"/>
          <w:szCs w:val="18"/>
          <w:lang w:val="fr-BE"/>
        </w:rPr>
        <w:t>Dans le cas d'un consortium ce critère sera vérifié sur le données des bilans combinés du consortium (bilan des trois derniers exercices des sociétés membres, même si les dates de clôtures -mois/année- sont différentes). En cas de participation d’un membre d’un groupe, par exemple filiale locale d'une entreprise internationale, les chiffres de l'ensemble du groupe ne seront prises en compte que si une lettre d’engagement de la participation de la société mère est fournie.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2B" w:rsidRDefault="006A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2" w:rsidRDefault="00364FD2">
    <w:pPr>
      <w:pStyle w:val="Header"/>
      <w:jc w:val="cent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2B" w:rsidRDefault="006A6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C47"/>
    <w:multiLevelType w:val="singleLevel"/>
    <w:tmpl w:val="59023776"/>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1">
    <w:nsid w:val="14E721F0"/>
    <w:multiLevelType w:val="hybridMultilevel"/>
    <w:tmpl w:val="52AE69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4708C9"/>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3">
    <w:nsid w:val="1D335639"/>
    <w:multiLevelType w:val="hybridMultilevel"/>
    <w:tmpl w:val="8152C15C"/>
    <w:lvl w:ilvl="0" w:tplc="D666C9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A37582"/>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5">
    <w:nsid w:val="1FE25E65"/>
    <w:multiLevelType w:val="hybridMultilevel"/>
    <w:tmpl w:val="4BA42A6E"/>
    <w:lvl w:ilvl="0" w:tplc="8B768F2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2B95E37"/>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7">
    <w:nsid w:val="29C51BE7"/>
    <w:multiLevelType w:val="hybridMultilevel"/>
    <w:tmpl w:val="4C1C3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0CA786B"/>
    <w:multiLevelType w:val="hybridMultilevel"/>
    <w:tmpl w:val="E1A6342E"/>
    <w:lvl w:ilvl="0" w:tplc="0F442306">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72557A5"/>
    <w:multiLevelType w:val="hybridMultilevel"/>
    <w:tmpl w:val="A16AEF84"/>
    <w:lvl w:ilvl="0" w:tplc="E6748B46">
      <w:numFmt w:val="bullet"/>
      <w:lvlText w:val="-"/>
      <w:lvlJc w:val="left"/>
      <w:pPr>
        <w:ind w:left="1080" w:hanging="72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C152E31"/>
    <w:multiLevelType w:val="hybridMultilevel"/>
    <w:tmpl w:val="76446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D4A7AA7"/>
    <w:multiLevelType w:val="multilevel"/>
    <w:tmpl w:val="C76AD9E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843897"/>
    <w:multiLevelType w:val="hybridMultilevel"/>
    <w:tmpl w:val="91C479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ED949DE"/>
    <w:multiLevelType w:val="hybridMultilevel"/>
    <w:tmpl w:val="135ABCBA"/>
    <w:lvl w:ilvl="0" w:tplc="E6748B46">
      <w:numFmt w:val="bullet"/>
      <w:lvlText w:val="-"/>
      <w:lvlJc w:val="left"/>
      <w:pPr>
        <w:ind w:left="108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6EC6D1E"/>
    <w:multiLevelType w:val="hybridMultilevel"/>
    <w:tmpl w:val="D20CD764"/>
    <w:lvl w:ilvl="0" w:tplc="E6748B46">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770387B"/>
    <w:multiLevelType w:val="singleLevel"/>
    <w:tmpl w:val="061E19FE"/>
    <w:lvl w:ilvl="0">
      <w:start w:val="2"/>
      <w:numFmt w:val="upperRoman"/>
      <w:lvlText w:val="%1."/>
      <w:lvlJc w:val="left"/>
      <w:pPr>
        <w:tabs>
          <w:tab w:val="num" w:pos="720"/>
        </w:tabs>
        <w:ind w:left="0" w:firstLine="0"/>
      </w:pPr>
    </w:lvl>
  </w:abstractNum>
  <w:abstractNum w:abstractNumId="16">
    <w:nsid w:val="5A216A95"/>
    <w:multiLevelType w:val="hybridMultilevel"/>
    <w:tmpl w:val="4106EE18"/>
    <w:lvl w:ilvl="0" w:tplc="E6748B46">
      <w:numFmt w:val="bullet"/>
      <w:lvlText w:val="-"/>
      <w:lvlJc w:val="left"/>
      <w:pPr>
        <w:ind w:left="1080" w:hanging="360"/>
      </w:pPr>
      <w:rPr>
        <w:rFonts w:ascii="Garamond" w:eastAsia="Times New Roman" w:hAnsi="Garamond" w:cs="Times New Roman"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nsid w:val="61775393"/>
    <w:multiLevelType w:val="hybridMultilevel"/>
    <w:tmpl w:val="0FD810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17C0BED"/>
    <w:multiLevelType w:val="hybridMultilevel"/>
    <w:tmpl w:val="3B48C05A"/>
    <w:lvl w:ilvl="0" w:tplc="D666C9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78057C8"/>
    <w:multiLevelType w:val="hybridMultilevel"/>
    <w:tmpl w:val="94DA1786"/>
    <w:lvl w:ilvl="0" w:tplc="8B768F2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72590878"/>
    <w:multiLevelType w:val="singleLevel"/>
    <w:tmpl w:val="0C090017"/>
    <w:lvl w:ilvl="0">
      <w:start w:val="1"/>
      <w:numFmt w:val="lowerLetter"/>
      <w:lvlText w:val="%1)"/>
      <w:lvlJc w:val="left"/>
      <w:pPr>
        <w:tabs>
          <w:tab w:val="num" w:pos="360"/>
        </w:tabs>
        <w:ind w:left="360" w:hanging="360"/>
      </w:pPr>
    </w:lvl>
  </w:abstractNum>
  <w:abstractNum w:abstractNumId="21">
    <w:nsid w:val="76FA3801"/>
    <w:multiLevelType w:val="hybridMultilevel"/>
    <w:tmpl w:val="7F5EC860"/>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5"/>
  </w:num>
  <w:num w:numId="4">
    <w:abstractNumId w:val="6"/>
  </w:num>
  <w:num w:numId="5">
    <w:abstractNumId w:val="4"/>
  </w:num>
  <w:num w:numId="6">
    <w:abstractNumId w:val="11"/>
  </w:num>
  <w:num w:numId="7">
    <w:abstractNumId w:val="2"/>
  </w:num>
  <w:num w:numId="8">
    <w:abstractNumId w:val="5"/>
  </w:num>
  <w:num w:numId="9">
    <w:abstractNumId w:val="3"/>
  </w:num>
  <w:num w:numId="10">
    <w:abstractNumId w:val="19"/>
  </w:num>
  <w:num w:numId="11">
    <w:abstractNumId w:val="18"/>
  </w:num>
  <w:num w:numId="12">
    <w:abstractNumId w:val="21"/>
  </w:num>
  <w:num w:numId="13">
    <w:abstractNumId w:val="12"/>
  </w:num>
  <w:num w:numId="14">
    <w:abstractNumId w:val="9"/>
  </w:num>
  <w:num w:numId="15">
    <w:abstractNumId w:val="16"/>
  </w:num>
  <w:num w:numId="16">
    <w:abstractNumId w:val="7"/>
  </w:num>
  <w:num w:numId="17">
    <w:abstractNumId w:val="13"/>
  </w:num>
  <w:num w:numId="18">
    <w:abstractNumId w:val="17"/>
  </w:num>
  <w:num w:numId="19">
    <w:abstractNumId w:val="14"/>
  </w:num>
  <w:num w:numId="20">
    <w:abstractNumId w:val="8"/>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70"/>
    <w:rsid w:val="00000763"/>
    <w:rsid w:val="00024FE5"/>
    <w:rsid w:val="00061A69"/>
    <w:rsid w:val="000A0FEF"/>
    <w:rsid w:val="000A5A21"/>
    <w:rsid w:val="000C4B3F"/>
    <w:rsid w:val="00140BF8"/>
    <w:rsid w:val="00151244"/>
    <w:rsid w:val="001635D4"/>
    <w:rsid w:val="001A6EA0"/>
    <w:rsid w:val="001B0150"/>
    <w:rsid w:val="001B19B2"/>
    <w:rsid w:val="001D7E4F"/>
    <w:rsid w:val="00221B0C"/>
    <w:rsid w:val="00237073"/>
    <w:rsid w:val="00274D63"/>
    <w:rsid w:val="002933C9"/>
    <w:rsid w:val="002F76DA"/>
    <w:rsid w:val="00332CFB"/>
    <w:rsid w:val="00364FD2"/>
    <w:rsid w:val="0038272F"/>
    <w:rsid w:val="00384C17"/>
    <w:rsid w:val="00385A1D"/>
    <w:rsid w:val="003E1DC1"/>
    <w:rsid w:val="003F7870"/>
    <w:rsid w:val="00466773"/>
    <w:rsid w:val="004A7F58"/>
    <w:rsid w:val="004B6EDB"/>
    <w:rsid w:val="004C7BD4"/>
    <w:rsid w:val="00533DD8"/>
    <w:rsid w:val="00534215"/>
    <w:rsid w:val="00544023"/>
    <w:rsid w:val="005834E7"/>
    <w:rsid w:val="00587BDC"/>
    <w:rsid w:val="005B7D04"/>
    <w:rsid w:val="005C68DB"/>
    <w:rsid w:val="005D4364"/>
    <w:rsid w:val="005F2451"/>
    <w:rsid w:val="0061124F"/>
    <w:rsid w:val="00611C65"/>
    <w:rsid w:val="0063129B"/>
    <w:rsid w:val="00646C31"/>
    <w:rsid w:val="00652561"/>
    <w:rsid w:val="00662587"/>
    <w:rsid w:val="0067067F"/>
    <w:rsid w:val="00672DD8"/>
    <w:rsid w:val="006876EF"/>
    <w:rsid w:val="006917AB"/>
    <w:rsid w:val="006A4AFB"/>
    <w:rsid w:val="006A6E2B"/>
    <w:rsid w:val="006B46EE"/>
    <w:rsid w:val="006C5887"/>
    <w:rsid w:val="006D6622"/>
    <w:rsid w:val="00705267"/>
    <w:rsid w:val="007108D4"/>
    <w:rsid w:val="007D6480"/>
    <w:rsid w:val="007D6885"/>
    <w:rsid w:val="00814E13"/>
    <w:rsid w:val="00836306"/>
    <w:rsid w:val="00842F42"/>
    <w:rsid w:val="008855BC"/>
    <w:rsid w:val="008A060B"/>
    <w:rsid w:val="008B49D8"/>
    <w:rsid w:val="008E3310"/>
    <w:rsid w:val="008F4D31"/>
    <w:rsid w:val="00911E51"/>
    <w:rsid w:val="009164B6"/>
    <w:rsid w:val="0092435A"/>
    <w:rsid w:val="0092716F"/>
    <w:rsid w:val="0096323D"/>
    <w:rsid w:val="00967BA9"/>
    <w:rsid w:val="00981A58"/>
    <w:rsid w:val="00995B07"/>
    <w:rsid w:val="009B5CC0"/>
    <w:rsid w:val="009C50A5"/>
    <w:rsid w:val="009D2A5E"/>
    <w:rsid w:val="009E5476"/>
    <w:rsid w:val="009F0A59"/>
    <w:rsid w:val="00A02371"/>
    <w:rsid w:val="00A15320"/>
    <w:rsid w:val="00A239B5"/>
    <w:rsid w:val="00A323E8"/>
    <w:rsid w:val="00A45B3B"/>
    <w:rsid w:val="00A815F0"/>
    <w:rsid w:val="00AC26B0"/>
    <w:rsid w:val="00AF04BE"/>
    <w:rsid w:val="00BF61E9"/>
    <w:rsid w:val="00C35372"/>
    <w:rsid w:val="00C533D3"/>
    <w:rsid w:val="00C53EEB"/>
    <w:rsid w:val="00C80060"/>
    <w:rsid w:val="00C87191"/>
    <w:rsid w:val="00CC1B86"/>
    <w:rsid w:val="00D02A62"/>
    <w:rsid w:val="00D16D09"/>
    <w:rsid w:val="00D327CA"/>
    <w:rsid w:val="00D53B9B"/>
    <w:rsid w:val="00D660E6"/>
    <w:rsid w:val="00DA594B"/>
    <w:rsid w:val="00DD034D"/>
    <w:rsid w:val="00DD4533"/>
    <w:rsid w:val="00DE72C9"/>
    <w:rsid w:val="00E3545B"/>
    <w:rsid w:val="00E61AC9"/>
    <w:rsid w:val="00E90502"/>
    <w:rsid w:val="00EA3CF9"/>
    <w:rsid w:val="00EB0E83"/>
    <w:rsid w:val="00EC0FA7"/>
    <w:rsid w:val="00EF24C7"/>
    <w:rsid w:val="00F35A3D"/>
    <w:rsid w:val="00F639C5"/>
    <w:rsid w:val="00F7250D"/>
    <w:rsid w:val="00F777AD"/>
    <w:rsid w:val="00FA7D98"/>
    <w:rsid w:val="00FD24E5"/>
    <w:rsid w:val="00FD262A"/>
    <w:rsid w:val="00FF6F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3">
    <w:name w:val="heading 3"/>
    <w:basedOn w:val="Normal"/>
    <w:next w:val="Normal"/>
    <w:qFormat/>
    <w:pPr>
      <w:keepNext/>
      <w:tabs>
        <w:tab w:val="left" w:pos="454"/>
        <w:tab w:val="left" w:pos="567"/>
        <w:tab w:val="left" w:pos="851"/>
        <w:tab w:val="left" w:pos="1021"/>
      </w:tabs>
      <w:spacing w:after="240" w:line="360" w:lineRule="auto"/>
      <w:outlineLvl w:val="2"/>
    </w:pPr>
    <w:rPr>
      <w:rFonts w:ascii="Garamond" w:hAnsi="Garamond"/>
      <w:b/>
      <w:noProof/>
    </w:rPr>
  </w:style>
  <w:style w:type="paragraph" w:styleId="Heading4">
    <w:name w:val="heading 4"/>
    <w:basedOn w:val="Normal"/>
    <w:next w:val="Normal"/>
    <w:link w:val="Heading4Char"/>
    <w:uiPriority w:val="9"/>
    <w:semiHidden/>
    <w:unhideWhenUsed/>
    <w:qFormat/>
    <w:rsid w:val="00814E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mplateBase">
    <w:name w:val="(Template_Base)"/>
    <w:pPr>
      <w:spacing w:after="240" w:line="360" w:lineRule="auto"/>
    </w:pPr>
    <w:rPr>
      <w:rFonts w:ascii="Garamond" w:hAnsi="Garamond"/>
      <w:noProof/>
      <w:sz w:val="24"/>
      <w:lang w:val="en-GB" w:eastAsia="en-GB"/>
    </w:rPr>
  </w:style>
  <w:style w:type="paragraph" w:customStyle="1" w:styleId="Addressee">
    <w:name w:val="Addressee"/>
    <w:basedOn w:val="Normal"/>
    <w:next w:val="Subject"/>
    <w:pPr>
      <w:tabs>
        <w:tab w:val="center" w:pos="4536"/>
      </w:tabs>
      <w:spacing w:before="120" w:after="360"/>
      <w:jc w:val="center"/>
    </w:pPr>
    <w:rPr>
      <w:rFonts w:ascii="Garamond" w:hAnsi="Garamond"/>
      <w:b/>
      <w:lang w:val="fr-FR"/>
    </w:rPr>
  </w:style>
  <w:style w:type="paragraph" w:customStyle="1" w:styleId="Subject">
    <w:name w:val="Subject"/>
    <w:basedOn w:val="TemplateBase"/>
    <w:next w:val="Normal"/>
    <w:pPr>
      <w:tabs>
        <w:tab w:val="left" w:pos="851"/>
      </w:tabs>
      <w:spacing w:before="120" w:after="360"/>
      <w:ind w:left="851" w:hanging="851"/>
    </w:pPr>
  </w:style>
  <w:style w:type="paragraph" w:customStyle="1" w:styleId="Dash2">
    <w:name w:val="Dash_2"/>
    <w:basedOn w:val="TemplateBase"/>
    <w:pPr>
      <w:numPr>
        <w:numId w:val="1"/>
      </w:numPr>
    </w:pPr>
  </w:style>
  <w:style w:type="paragraph" w:customStyle="1" w:styleId="Text1">
    <w:name w:val="Text 1"/>
    <w:basedOn w:val="Normal"/>
    <w:pPr>
      <w:tabs>
        <w:tab w:val="left" w:pos="2160"/>
      </w:tabs>
      <w:spacing w:after="240"/>
      <w:ind w:left="1440"/>
      <w:jc w:val="both"/>
    </w:pPr>
    <w:rPr>
      <w:lang w:val="fr-FR"/>
    </w:rPr>
  </w:style>
  <w:style w:type="paragraph" w:customStyle="1" w:styleId="Text2">
    <w:name w:val="Text 2"/>
    <w:basedOn w:val="Normal"/>
    <w:pPr>
      <w:tabs>
        <w:tab w:val="left" w:pos="2160"/>
      </w:tabs>
      <w:spacing w:after="240"/>
      <w:ind w:left="1440"/>
      <w:jc w:val="both"/>
    </w:pPr>
    <w:rPr>
      <w:lang w:val="fr-FR"/>
    </w:rPr>
  </w:style>
  <w:style w:type="paragraph" w:styleId="BalloonText">
    <w:name w:val="Balloon Text"/>
    <w:basedOn w:val="Normal"/>
    <w:semiHidden/>
    <w:rsid w:val="003F7870"/>
    <w:rPr>
      <w:rFonts w:ascii="Tahoma" w:hAnsi="Tahoma" w:cs="Tahoma"/>
      <w:sz w:val="16"/>
      <w:szCs w:val="16"/>
    </w:rPr>
  </w:style>
  <w:style w:type="table" w:styleId="TableGrid">
    <w:name w:val="Table Grid"/>
    <w:basedOn w:val="TableNormal"/>
    <w:rsid w:val="001B01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96323D"/>
    <w:pPr>
      <w:spacing w:after="160" w:line="240" w:lineRule="exact"/>
    </w:pPr>
    <w:rPr>
      <w:rFonts w:ascii="Tahoma" w:hAnsi="Tahoma"/>
      <w:sz w:val="20"/>
      <w:szCs w:val="20"/>
      <w:lang w:val="en-US"/>
    </w:rPr>
  </w:style>
  <w:style w:type="character" w:styleId="Hyperlink">
    <w:name w:val="Hyperlink"/>
    <w:uiPriority w:val="99"/>
    <w:unhideWhenUsed/>
    <w:rsid w:val="00D660E6"/>
    <w:rPr>
      <w:color w:val="0000FF"/>
      <w:u w:val="single"/>
    </w:rPr>
  </w:style>
  <w:style w:type="character" w:styleId="FollowedHyperlink">
    <w:name w:val="FollowedHyperlink"/>
    <w:uiPriority w:val="99"/>
    <w:semiHidden/>
    <w:unhideWhenUsed/>
    <w:rsid w:val="00DD034D"/>
    <w:rPr>
      <w:color w:val="800080"/>
      <w:u w:val="single"/>
    </w:rPr>
  </w:style>
  <w:style w:type="paragraph" w:styleId="FootnoteText">
    <w:name w:val="footnote text"/>
    <w:basedOn w:val="Normal"/>
    <w:link w:val="FootnoteTextChar"/>
    <w:uiPriority w:val="99"/>
    <w:semiHidden/>
    <w:unhideWhenUsed/>
    <w:rsid w:val="00AC26B0"/>
    <w:rPr>
      <w:sz w:val="20"/>
      <w:szCs w:val="20"/>
    </w:rPr>
  </w:style>
  <w:style w:type="character" w:customStyle="1" w:styleId="FootnoteTextChar">
    <w:name w:val="Footnote Text Char"/>
    <w:basedOn w:val="DefaultParagraphFont"/>
    <w:link w:val="FootnoteText"/>
    <w:uiPriority w:val="99"/>
    <w:semiHidden/>
    <w:rsid w:val="00AC26B0"/>
    <w:rPr>
      <w:lang w:val="en-GB" w:eastAsia="en-GB"/>
    </w:rPr>
  </w:style>
  <w:style w:type="character" w:styleId="FootnoteReference">
    <w:name w:val="footnote reference"/>
    <w:basedOn w:val="DefaultParagraphFont"/>
    <w:uiPriority w:val="99"/>
    <w:semiHidden/>
    <w:unhideWhenUsed/>
    <w:rsid w:val="00AC26B0"/>
    <w:rPr>
      <w:vertAlign w:val="superscript"/>
    </w:rPr>
  </w:style>
  <w:style w:type="character" w:customStyle="1" w:styleId="Heading4Char">
    <w:name w:val="Heading 4 Char"/>
    <w:basedOn w:val="DefaultParagraphFont"/>
    <w:link w:val="Heading4"/>
    <w:uiPriority w:val="9"/>
    <w:semiHidden/>
    <w:rsid w:val="00814E13"/>
    <w:rPr>
      <w:rFonts w:asciiTheme="majorHAnsi" w:eastAsiaTheme="majorEastAsia" w:hAnsiTheme="majorHAnsi" w:cstheme="majorBidi"/>
      <w:b/>
      <w:bCs/>
      <w:i/>
      <w:i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3">
    <w:name w:val="heading 3"/>
    <w:basedOn w:val="Normal"/>
    <w:next w:val="Normal"/>
    <w:qFormat/>
    <w:pPr>
      <w:keepNext/>
      <w:tabs>
        <w:tab w:val="left" w:pos="454"/>
        <w:tab w:val="left" w:pos="567"/>
        <w:tab w:val="left" w:pos="851"/>
        <w:tab w:val="left" w:pos="1021"/>
      </w:tabs>
      <w:spacing w:after="240" w:line="360" w:lineRule="auto"/>
      <w:outlineLvl w:val="2"/>
    </w:pPr>
    <w:rPr>
      <w:rFonts w:ascii="Garamond" w:hAnsi="Garamond"/>
      <w:b/>
      <w:noProof/>
    </w:rPr>
  </w:style>
  <w:style w:type="paragraph" w:styleId="Heading4">
    <w:name w:val="heading 4"/>
    <w:basedOn w:val="Normal"/>
    <w:next w:val="Normal"/>
    <w:link w:val="Heading4Char"/>
    <w:uiPriority w:val="9"/>
    <w:semiHidden/>
    <w:unhideWhenUsed/>
    <w:qFormat/>
    <w:rsid w:val="00814E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mplateBase">
    <w:name w:val="(Template_Base)"/>
    <w:pPr>
      <w:spacing w:after="240" w:line="360" w:lineRule="auto"/>
    </w:pPr>
    <w:rPr>
      <w:rFonts w:ascii="Garamond" w:hAnsi="Garamond"/>
      <w:noProof/>
      <w:sz w:val="24"/>
      <w:lang w:val="en-GB" w:eastAsia="en-GB"/>
    </w:rPr>
  </w:style>
  <w:style w:type="paragraph" w:customStyle="1" w:styleId="Addressee">
    <w:name w:val="Addressee"/>
    <w:basedOn w:val="Normal"/>
    <w:next w:val="Subject"/>
    <w:pPr>
      <w:tabs>
        <w:tab w:val="center" w:pos="4536"/>
      </w:tabs>
      <w:spacing w:before="120" w:after="360"/>
      <w:jc w:val="center"/>
    </w:pPr>
    <w:rPr>
      <w:rFonts w:ascii="Garamond" w:hAnsi="Garamond"/>
      <w:b/>
      <w:lang w:val="fr-FR"/>
    </w:rPr>
  </w:style>
  <w:style w:type="paragraph" w:customStyle="1" w:styleId="Subject">
    <w:name w:val="Subject"/>
    <w:basedOn w:val="TemplateBase"/>
    <w:next w:val="Normal"/>
    <w:pPr>
      <w:tabs>
        <w:tab w:val="left" w:pos="851"/>
      </w:tabs>
      <w:spacing w:before="120" w:after="360"/>
      <w:ind w:left="851" w:hanging="851"/>
    </w:pPr>
  </w:style>
  <w:style w:type="paragraph" w:customStyle="1" w:styleId="Dash2">
    <w:name w:val="Dash_2"/>
    <w:basedOn w:val="TemplateBase"/>
    <w:pPr>
      <w:numPr>
        <w:numId w:val="1"/>
      </w:numPr>
    </w:pPr>
  </w:style>
  <w:style w:type="paragraph" w:customStyle="1" w:styleId="Text1">
    <w:name w:val="Text 1"/>
    <w:basedOn w:val="Normal"/>
    <w:pPr>
      <w:tabs>
        <w:tab w:val="left" w:pos="2160"/>
      </w:tabs>
      <w:spacing w:after="240"/>
      <w:ind w:left="1440"/>
      <w:jc w:val="both"/>
    </w:pPr>
    <w:rPr>
      <w:lang w:val="fr-FR"/>
    </w:rPr>
  </w:style>
  <w:style w:type="paragraph" w:customStyle="1" w:styleId="Text2">
    <w:name w:val="Text 2"/>
    <w:basedOn w:val="Normal"/>
    <w:pPr>
      <w:tabs>
        <w:tab w:val="left" w:pos="2160"/>
      </w:tabs>
      <w:spacing w:after="240"/>
      <w:ind w:left="1440"/>
      <w:jc w:val="both"/>
    </w:pPr>
    <w:rPr>
      <w:lang w:val="fr-FR"/>
    </w:rPr>
  </w:style>
  <w:style w:type="paragraph" w:styleId="BalloonText">
    <w:name w:val="Balloon Text"/>
    <w:basedOn w:val="Normal"/>
    <w:semiHidden/>
    <w:rsid w:val="003F7870"/>
    <w:rPr>
      <w:rFonts w:ascii="Tahoma" w:hAnsi="Tahoma" w:cs="Tahoma"/>
      <w:sz w:val="16"/>
      <w:szCs w:val="16"/>
    </w:rPr>
  </w:style>
  <w:style w:type="table" w:styleId="TableGrid">
    <w:name w:val="Table Grid"/>
    <w:basedOn w:val="TableNormal"/>
    <w:rsid w:val="001B01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96323D"/>
    <w:pPr>
      <w:spacing w:after="160" w:line="240" w:lineRule="exact"/>
    </w:pPr>
    <w:rPr>
      <w:rFonts w:ascii="Tahoma" w:hAnsi="Tahoma"/>
      <w:sz w:val="20"/>
      <w:szCs w:val="20"/>
      <w:lang w:val="en-US"/>
    </w:rPr>
  </w:style>
  <w:style w:type="character" w:styleId="Hyperlink">
    <w:name w:val="Hyperlink"/>
    <w:uiPriority w:val="99"/>
    <w:unhideWhenUsed/>
    <w:rsid w:val="00D660E6"/>
    <w:rPr>
      <w:color w:val="0000FF"/>
      <w:u w:val="single"/>
    </w:rPr>
  </w:style>
  <w:style w:type="character" w:styleId="FollowedHyperlink">
    <w:name w:val="FollowedHyperlink"/>
    <w:uiPriority w:val="99"/>
    <w:semiHidden/>
    <w:unhideWhenUsed/>
    <w:rsid w:val="00DD034D"/>
    <w:rPr>
      <w:color w:val="800080"/>
      <w:u w:val="single"/>
    </w:rPr>
  </w:style>
  <w:style w:type="paragraph" w:styleId="FootnoteText">
    <w:name w:val="footnote text"/>
    <w:basedOn w:val="Normal"/>
    <w:link w:val="FootnoteTextChar"/>
    <w:uiPriority w:val="99"/>
    <w:semiHidden/>
    <w:unhideWhenUsed/>
    <w:rsid w:val="00AC26B0"/>
    <w:rPr>
      <w:sz w:val="20"/>
      <w:szCs w:val="20"/>
    </w:rPr>
  </w:style>
  <w:style w:type="character" w:customStyle="1" w:styleId="FootnoteTextChar">
    <w:name w:val="Footnote Text Char"/>
    <w:basedOn w:val="DefaultParagraphFont"/>
    <w:link w:val="FootnoteText"/>
    <w:uiPriority w:val="99"/>
    <w:semiHidden/>
    <w:rsid w:val="00AC26B0"/>
    <w:rPr>
      <w:lang w:val="en-GB" w:eastAsia="en-GB"/>
    </w:rPr>
  </w:style>
  <w:style w:type="character" w:styleId="FootnoteReference">
    <w:name w:val="footnote reference"/>
    <w:basedOn w:val="DefaultParagraphFont"/>
    <w:uiPriority w:val="99"/>
    <w:semiHidden/>
    <w:unhideWhenUsed/>
    <w:rsid w:val="00AC26B0"/>
    <w:rPr>
      <w:vertAlign w:val="superscript"/>
    </w:rPr>
  </w:style>
  <w:style w:type="character" w:customStyle="1" w:styleId="Heading4Char">
    <w:name w:val="Heading 4 Char"/>
    <w:basedOn w:val="DefaultParagraphFont"/>
    <w:link w:val="Heading4"/>
    <w:uiPriority w:val="9"/>
    <w:semiHidden/>
    <w:rsid w:val="00814E13"/>
    <w:rPr>
      <w:rFonts w:asciiTheme="majorHAnsi" w:eastAsiaTheme="majorEastAsia" w:hAnsiTheme="majorHAnsi" w:cstheme="majorBidi"/>
      <w:b/>
      <w:bCs/>
      <w:i/>
      <w:iCs/>
      <w:color w:val="4F81BD" w:themeColor="accen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99572">
      <w:bodyDiv w:val="1"/>
      <w:marLeft w:val="0"/>
      <w:marRight w:val="0"/>
      <w:marTop w:val="0"/>
      <w:marBottom w:val="0"/>
      <w:divBdr>
        <w:top w:val="none" w:sz="0" w:space="0" w:color="auto"/>
        <w:left w:val="none" w:sz="0" w:space="0" w:color="auto"/>
        <w:bottom w:val="none" w:sz="0" w:space="0" w:color="auto"/>
        <w:right w:val="none" w:sz="0" w:space="0" w:color="auto"/>
      </w:divBdr>
    </w:div>
    <w:div w:id="925769572">
      <w:bodyDiv w:val="1"/>
      <w:marLeft w:val="0"/>
      <w:marRight w:val="0"/>
      <w:marTop w:val="0"/>
      <w:marBottom w:val="0"/>
      <w:divBdr>
        <w:top w:val="none" w:sz="0" w:space="0" w:color="auto"/>
        <w:left w:val="none" w:sz="0" w:space="0" w:color="auto"/>
        <w:bottom w:val="none" w:sz="0" w:space="0" w:color="auto"/>
        <w:right w:val="none" w:sz="0" w:space="0" w:color="auto"/>
      </w:divBdr>
    </w:div>
    <w:div w:id="19750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GMR-Appels_doffres@curi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uria.europa.eu/jcms/jcms/Jo2_700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GMR-Appels_doffres@curia.europa.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templates\XPTemplates\Curia\Lettre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2F91-1738-4198-885F-AFA6F3F7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Lettre_Type.dot</Template>
  <TotalTime>31</TotalTime>
  <Pages>8</Pages>
  <Words>2702</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Lettre type</vt:lpstr>
    </vt:vector>
  </TitlesOfParts>
  <Company>Cour de justice</Company>
  <LinksUpToDate>false</LinksUpToDate>
  <CharactersWithSpaces>18270</CharactersWithSpaces>
  <SharedDoc>false</SharedDoc>
  <HLinks>
    <vt:vector size="12" baseType="variant">
      <vt:variant>
        <vt:i4>4784218</vt:i4>
      </vt:variant>
      <vt:variant>
        <vt:i4>3</vt:i4>
      </vt:variant>
      <vt:variant>
        <vt:i4>0</vt:i4>
      </vt:variant>
      <vt:variant>
        <vt:i4>5</vt:i4>
      </vt:variant>
      <vt:variant>
        <vt:lpwstr>http://curia.europa.eu/jcms/jcms/Jo2_7009/</vt:lpwstr>
      </vt:variant>
      <vt:variant>
        <vt:lpwstr>appels_encours</vt:lpwstr>
      </vt:variant>
      <vt:variant>
        <vt:i4>7864445</vt:i4>
      </vt:variant>
      <vt:variant>
        <vt:i4>0</vt:i4>
      </vt:variant>
      <vt:variant>
        <vt:i4>0</vt:i4>
      </vt:variant>
      <vt:variant>
        <vt:i4>5</vt:i4>
      </vt:variant>
      <vt:variant>
        <vt:lpwstr>mailto:SGMR-Appels_doffres@curia.europa.eu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Lettre type</dc:title>
  <dc:creator>as</dc:creator>
  <cp:lastModifiedBy>Moitinho de Almeida Luis</cp:lastModifiedBy>
  <cp:revision>4</cp:revision>
  <cp:lastPrinted>2016-10-21T08:01:00Z</cp:lastPrinted>
  <dcterms:created xsi:type="dcterms:W3CDTF">2016-11-14T12:00:00Z</dcterms:created>
  <dcterms:modified xsi:type="dcterms:W3CDTF">2016-11-15T16:57:00Z</dcterms:modified>
</cp:coreProperties>
</file>