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88" w:rsidRDefault="00B570F1" w:rsidP="00B91058">
      <w:r>
        <w:t>La Corte</w:t>
      </w:r>
      <w:r w:rsidR="00211A31">
        <w:t xml:space="preserve"> costituzionale </w:t>
      </w:r>
      <w:r w:rsidR="009B48AF">
        <w:t xml:space="preserve">giudica non fondata la questione di legittimità costituzionale delle norme che, nel processo penale, precludono il giudizio abbreviato – e, quindi, impongono sempre lo svolgimento della pubblica udienza dibattimentale – per gli imputati di delitti puniti con l’ergastolo, affermando che si tratta di una scelta rimessa alla discrezionalità del legislatore e che non si connota in termini di manifesta irragionevolezza o arbitrarietà. </w:t>
      </w:r>
    </w:p>
    <w:p w:rsidR="009B48AF" w:rsidRDefault="009B48AF" w:rsidP="00B91058">
      <w:r>
        <w:t>In particolare, la Corte evidenzia che proprio grazie alla celebrazione della pubblica udienza “</w:t>
      </w:r>
      <w:r w:rsidRPr="009B48AF">
        <w:rPr>
          <w:i/>
        </w:rPr>
        <w:t>trova piena garanzia il ‘diritto di difendersi provando’, per accertare il fatto e ascrivere le relative responsabilità, nell’interesse dell’intera collettività e delle stesse vittime del reato</w:t>
      </w:r>
      <w:r>
        <w:t>”</w:t>
      </w:r>
      <w:r w:rsidRPr="009B48AF">
        <w:t xml:space="preserve">. </w:t>
      </w:r>
      <w:r>
        <w:t xml:space="preserve">Tra le vittime del reato, peraltro, deve annoverarsi – </w:t>
      </w:r>
      <w:r w:rsidRPr="009B48AF">
        <w:t>ai sensi dell’art. 2, paragrafo 1</w:t>
      </w:r>
      <w:r>
        <w:t>,</w:t>
      </w:r>
      <w:r w:rsidRPr="009B48AF">
        <w:t xml:space="preserve"> della </w:t>
      </w:r>
      <w:r w:rsidRPr="009B48AF">
        <w:rPr>
          <w:b/>
        </w:rPr>
        <w:t>direttiva 2012/29/UE del Parlamento europeo e del Consiglio del 25 ottobre 2012</w:t>
      </w:r>
      <w:r w:rsidRPr="009B48AF">
        <w:t xml:space="preserve"> che istituisce norme minime in materia di diritti, assistenza e protezione delle vittime di reato e che sostituisce la decisione quadro 2001/220/GAI –</w:t>
      </w:r>
      <w:r>
        <w:t xml:space="preserve"> anche il “</w:t>
      </w:r>
      <w:r w:rsidRPr="009B48AF">
        <w:rPr>
          <w:i/>
        </w:rPr>
        <w:t>familiare di una persona la cui morte è stata causata direttamente da un reato e che ha subito un danno in conseguenza della morte di tale persona</w:t>
      </w:r>
      <w:r>
        <w:t>”</w:t>
      </w:r>
      <w:r w:rsidRPr="009B48AF">
        <w:t xml:space="preserve">, al quale l’art. 10 della medesima direttiva garantisce, in linea di principio, il diritto di essere </w:t>
      </w:r>
      <w:r>
        <w:t>“</w:t>
      </w:r>
      <w:proofErr w:type="spellStart"/>
      <w:r w:rsidRPr="009B48AF">
        <w:rPr>
          <w:i/>
        </w:rPr>
        <w:t>sentit</w:t>
      </w:r>
      <w:proofErr w:type="spellEnd"/>
      <w:r w:rsidRPr="009B48AF">
        <w:t>[o]</w:t>
      </w:r>
      <w:r w:rsidRPr="009B48AF">
        <w:rPr>
          <w:i/>
        </w:rPr>
        <w:t xml:space="preserve"> nel corso del procedimento penale</w:t>
      </w:r>
      <w:r>
        <w:t>” e di “</w:t>
      </w:r>
      <w:r w:rsidRPr="009B48AF">
        <w:rPr>
          <w:i/>
        </w:rPr>
        <w:t>fornire elementi di prova</w:t>
      </w:r>
      <w:r>
        <w:t>”</w:t>
      </w:r>
      <w:r w:rsidRPr="009B48AF">
        <w:t>, i</w:t>
      </w:r>
      <w:r>
        <w:t>n conformità alle norme “</w:t>
      </w:r>
      <w:r w:rsidRPr="009B48AF">
        <w:rPr>
          <w:i/>
        </w:rPr>
        <w:t>stabilite dal diritto nazionale</w:t>
      </w:r>
      <w:r>
        <w:t xml:space="preserve">” (così la Corte, punto 7.6 del </w:t>
      </w:r>
      <w:r w:rsidRPr="009B48AF">
        <w:rPr>
          <w:i/>
        </w:rPr>
        <w:t>Considerato in diritto</w:t>
      </w:r>
      <w:r>
        <w:t>).</w:t>
      </w:r>
    </w:p>
    <w:p w:rsidR="00041CFA" w:rsidRDefault="005004D5">
      <w:r>
        <w:t xml:space="preserve">La Corte si sofferma, inoltre, sul principio della pubblicità dei processi, previsto – tra le altre fonti sovranazionali – anche </w:t>
      </w:r>
      <w:r w:rsidRPr="005004D5">
        <w:t>dall’</w:t>
      </w:r>
      <w:r w:rsidRPr="005004D5">
        <w:rPr>
          <w:b/>
        </w:rPr>
        <w:t>art. 47, comma 2, della Carta dei diritti fondamentali dell’Unione europea (CDFUE)</w:t>
      </w:r>
      <w:r>
        <w:t>. Si tratta, afferma la Corte, di un diritto fondamentale che costituisce “</w:t>
      </w:r>
      <w:r w:rsidRPr="005004D5">
        <w:rPr>
          <w:i/>
        </w:rPr>
        <w:t>un connotato identitario dello stato di diritto, in chiave di «garanzia di imparzialità ed obiettività» di un processo che «si svolge sotto il controllo dell’opinione pubblica»</w:t>
      </w:r>
      <w:r>
        <w:t xml:space="preserve">”, specialmente </w:t>
      </w:r>
      <w:r w:rsidRPr="005004D5">
        <w:t>nei process</w:t>
      </w:r>
      <w:r>
        <w:t xml:space="preserve">i relativi ai reati più gravi, </w:t>
      </w:r>
      <w:r w:rsidRPr="005004D5">
        <w:t>che ledono il nucleo dei diritti fondamentali delle vittime, a cominciare dalla loro stessa vita. Di talché</w:t>
      </w:r>
      <w:r>
        <w:t>, precisa la Corte, “</w:t>
      </w:r>
      <w:r w:rsidRPr="005004D5">
        <w:rPr>
          <w:i/>
        </w:rPr>
        <w:t>il mero consenso dell’imputato non basta a fondare un suo diritto costituzionale – opposto, e anzi speculare, al suo diritto alla pubblicità delle udienze – alla celebrazione di un processo ‘a porte chiuse’, al riparo del controllo dell’opinione pubblica</w:t>
      </w:r>
      <w:r>
        <w:t xml:space="preserve">” (punto 8.3 del </w:t>
      </w:r>
      <w:r w:rsidRPr="005004D5">
        <w:rPr>
          <w:i/>
        </w:rPr>
        <w:t>Considerato in diritto</w:t>
      </w:r>
      <w:r>
        <w:t>).</w:t>
      </w:r>
    </w:p>
    <w:p w:rsidR="00770544" w:rsidRDefault="00770544"/>
    <w:p w:rsidR="00770544" w:rsidRDefault="00770544">
      <w:r>
        <w:t>L</w:t>
      </w:r>
      <w:r w:rsidRPr="00770544">
        <w:t>’esclusione del rito abbreviato per i delitti punibili con l’ergastolo non è irragionevole né arbitraria</w:t>
      </w:r>
      <w:r>
        <w:t>.</w:t>
      </w:r>
      <w:bookmarkStart w:id="0" w:name="_GoBack"/>
      <w:bookmarkEnd w:id="0"/>
    </w:p>
    <w:sectPr w:rsidR="007705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30"/>
    <w:rsid w:val="00041CFA"/>
    <w:rsid w:val="00193CC0"/>
    <w:rsid w:val="00211A31"/>
    <w:rsid w:val="004F0D48"/>
    <w:rsid w:val="005004D5"/>
    <w:rsid w:val="00770544"/>
    <w:rsid w:val="009B48AF"/>
    <w:rsid w:val="00B20530"/>
    <w:rsid w:val="00B570F1"/>
    <w:rsid w:val="00B91058"/>
    <w:rsid w:val="00EF6388"/>
    <w:rsid w:val="00F47864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6C7A"/>
  <w15:chartTrackingRefBased/>
  <w15:docId w15:val="{7DE16A24-B5CA-40D1-AE8B-B76FFB4B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78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Masaracchia</dc:creator>
  <cp:keywords/>
  <dc:description/>
  <cp:lastModifiedBy>Antonino Masaracchia</cp:lastModifiedBy>
  <cp:revision>6</cp:revision>
  <dcterms:created xsi:type="dcterms:W3CDTF">2020-12-11T09:59:00Z</dcterms:created>
  <dcterms:modified xsi:type="dcterms:W3CDTF">2020-12-11T10:13:00Z</dcterms:modified>
</cp:coreProperties>
</file>