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5202" w14:textId="77777777" w:rsidR="00B10EF9" w:rsidRPr="00D03309" w:rsidRDefault="00B10EF9" w:rsidP="00D03309">
      <w:pPr>
        <w:rPr>
          <w:sz w:val="32"/>
          <w:szCs w:val="32"/>
          <w:lang w:val="fr-FR"/>
        </w:rPr>
      </w:pPr>
    </w:p>
    <w:p w14:paraId="3089EE18" w14:textId="04641832" w:rsidR="00222343" w:rsidRDefault="00D03309" w:rsidP="00D03309">
      <w:pPr>
        <w:jc w:val="center"/>
        <w:rPr>
          <w:b/>
          <w:sz w:val="32"/>
          <w:szCs w:val="32"/>
        </w:rPr>
      </w:pPr>
      <w:r>
        <w:rPr>
          <w:b/>
          <w:sz w:val="32"/>
        </w:rPr>
        <w:t>Formulär för rättshjälp</w:t>
      </w:r>
    </w:p>
    <w:p w14:paraId="367FE09E" w14:textId="77777777" w:rsidR="00D03309" w:rsidRPr="00D03309" w:rsidRDefault="00414D75" w:rsidP="00414D75">
      <w:pPr>
        <w:jc w:val="center"/>
        <w:rPr>
          <w:b/>
          <w:sz w:val="32"/>
          <w:szCs w:val="32"/>
        </w:rPr>
      </w:pPr>
      <w:r>
        <w:rPr>
          <w:b/>
          <w:sz w:val="32"/>
        </w:rPr>
        <w:t>- DIREKT TALAN</w:t>
      </w:r>
      <w:r w:rsidR="00222343" w:rsidRPr="002B71D4">
        <w:rPr>
          <w:rStyle w:val="FootnoteReference"/>
          <w:b/>
          <w:sz w:val="32"/>
          <w:szCs w:val="32"/>
          <w:lang w:val="fr-FR"/>
        </w:rPr>
        <w:footnoteReference w:id="2"/>
      </w:r>
      <w:r>
        <w:rPr>
          <w:b/>
          <w:sz w:val="32"/>
        </w:rPr>
        <w:t xml:space="preserve"> -</w:t>
      </w:r>
    </w:p>
    <w:p w14:paraId="62D8D554" w14:textId="77777777" w:rsidR="00D03309" w:rsidRPr="0053338E" w:rsidRDefault="00D03309" w:rsidP="00D03309">
      <w:pPr>
        <w:rPr>
          <w:rFonts w:ascii="Arial" w:hAnsi="Arial" w:cs="Arial"/>
          <w:b/>
        </w:rPr>
      </w:pPr>
    </w:p>
    <w:p w14:paraId="337CDFBE" w14:textId="77777777" w:rsidR="00D03309" w:rsidRPr="0053338E" w:rsidRDefault="00D03309" w:rsidP="00D03309">
      <w:pPr>
        <w:rPr>
          <w:rFonts w:ascii="Arial" w:hAnsi="Arial" w:cs="Arial"/>
          <w:b/>
        </w:rPr>
      </w:pPr>
    </w:p>
    <w:p w14:paraId="58A048E6" w14:textId="77777777" w:rsidR="00B10EF9" w:rsidRPr="0053338E" w:rsidRDefault="00B10EF9" w:rsidP="00D03309">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852EFA" w14:paraId="1370F655" w14:textId="77777777" w:rsidTr="006322D0">
        <w:tc>
          <w:tcPr>
            <w:tcW w:w="9103" w:type="dxa"/>
          </w:tcPr>
          <w:p w14:paraId="5E75F205" w14:textId="6DD282D4" w:rsidR="00B327BC" w:rsidRPr="00B327BC" w:rsidRDefault="00D03309" w:rsidP="00B327BC">
            <w:pPr>
              <w:jc w:val="both"/>
              <w:rPr>
                <w:i/>
              </w:rPr>
            </w:pPr>
            <w:r>
              <w:rPr>
                <w:i/>
              </w:rPr>
              <w:t xml:space="preserve">Fysiska eller juridiska personer (företrädda av advokat eller inte) som avser att ansöka om rättshjälp, antingen i syfte att väcka direkt talan vid tribunalen eller </w:t>
            </w:r>
            <w:r w:rsidR="00770884">
              <w:rPr>
                <w:i/>
              </w:rPr>
              <w:t>i samband med ett</w:t>
            </w:r>
            <w:r w:rsidR="003F4CF2">
              <w:rPr>
                <w:i/>
              </w:rPr>
              <w:t xml:space="preserve"> mål </w:t>
            </w:r>
            <w:r>
              <w:rPr>
                <w:i/>
              </w:rPr>
              <w:t>om direkt talan som de redan deltar i, uppmanas att ta del av nedanstående upplysningar innan de fyller i de olika delarna i formuläret. En ”Checklista för rättshjälp” finns även tillgänglig på EU-domstolens webbplats.</w:t>
            </w:r>
            <w:r w:rsidR="00B327BC" w:rsidRPr="00B327BC">
              <w:rPr>
                <w:i/>
              </w:rPr>
              <w:t xml:space="preserve"> </w:t>
            </w:r>
          </w:p>
          <w:p w14:paraId="64A293B9" w14:textId="4C0A01B0" w:rsidR="00B327BC" w:rsidRPr="00B327BC" w:rsidRDefault="00F622AF" w:rsidP="00B327BC">
            <w:pPr>
              <w:jc w:val="both"/>
              <w:rPr>
                <w:i/>
              </w:rPr>
            </w:pPr>
            <w:r>
              <w:rPr>
                <w:i/>
              </w:rPr>
              <w:t>Det</w:t>
            </w:r>
            <w:r w:rsidR="00770884">
              <w:rPr>
                <w:i/>
              </w:rPr>
              <w:t xml:space="preserve"> här</w:t>
            </w:r>
            <w:r>
              <w:rPr>
                <w:i/>
              </w:rPr>
              <w:t xml:space="preserve"> formulär</w:t>
            </w:r>
            <w:r w:rsidR="00770884">
              <w:rPr>
                <w:i/>
              </w:rPr>
              <w:t>et</w:t>
            </w:r>
            <w:r>
              <w:rPr>
                <w:i/>
              </w:rPr>
              <w:t xml:space="preserve"> </w:t>
            </w:r>
            <w:r w:rsidR="00253CE4">
              <w:rPr>
                <w:i/>
              </w:rPr>
              <w:t>ska</w:t>
            </w:r>
            <w:r>
              <w:rPr>
                <w:i/>
              </w:rPr>
              <w:t xml:space="preserve"> användas vid ansökan om rättshjälp</w:t>
            </w:r>
            <w:r w:rsidR="00253CE4">
              <w:rPr>
                <w:i/>
              </w:rPr>
              <w:t xml:space="preserve"> i</w:t>
            </w:r>
            <w:r w:rsidR="003F4CF2">
              <w:rPr>
                <w:i/>
              </w:rPr>
              <w:t xml:space="preserve"> mål </w:t>
            </w:r>
            <w:r w:rsidR="00253CE4">
              <w:rPr>
                <w:i/>
              </w:rPr>
              <w:t>om direkt talan</w:t>
            </w:r>
            <w:r>
              <w:rPr>
                <w:i/>
              </w:rPr>
              <w:t xml:space="preserve">, både om ansökan görs </w:t>
            </w:r>
            <w:r w:rsidR="009B3CBD">
              <w:rPr>
                <w:i/>
              </w:rPr>
              <w:t>innan</w:t>
            </w:r>
            <w:r>
              <w:rPr>
                <w:i/>
              </w:rPr>
              <w:t xml:space="preserve"> en direkt talan väcks och om den görs </w:t>
            </w:r>
            <w:r w:rsidR="00770884">
              <w:rPr>
                <w:i/>
              </w:rPr>
              <w:t>i samband med ett</w:t>
            </w:r>
            <w:r>
              <w:rPr>
                <w:i/>
              </w:rPr>
              <w:t xml:space="preserve"> pågående mål.</w:t>
            </w:r>
            <w:r w:rsidR="00B327BC" w:rsidRPr="00B327BC">
              <w:rPr>
                <w:i/>
              </w:rPr>
              <w:t xml:space="preserve"> </w:t>
            </w:r>
          </w:p>
          <w:p w14:paraId="67E33B90" w14:textId="17C6CE18" w:rsidR="00B20CCF" w:rsidRPr="00D03309" w:rsidRDefault="00F622AF" w:rsidP="00B8143C">
            <w:pPr>
              <w:jc w:val="both"/>
              <w:rPr>
                <w:i/>
              </w:rPr>
            </w:pPr>
            <w:r>
              <w:rPr>
                <w:i/>
              </w:rPr>
              <w:t>Formuläret är däremot inte avsett för rättshjälpsansökningar som görs i samband med ett</w:t>
            </w:r>
            <w:r w:rsidR="003F4CF2">
              <w:rPr>
                <w:i/>
              </w:rPr>
              <w:t xml:space="preserve"> mål </w:t>
            </w:r>
            <w:r>
              <w:rPr>
                <w:i/>
              </w:rPr>
              <w:t xml:space="preserve">om förhandsavgörande. Bestämmelser om vad som gäller för sådana ansökningar finns i </w:t>
            </w:r>
            <w:r w:rsidR="003F4CF2">
              <w:rPr>
                <w:i/>
              </w:rPr>
              <w:t>artiklarna 2</w:t>
            </w:r>
            <w:r>
              <w:rPr>
                <w:i/>
              </w:rPr>
              <w:t xml:space="preserve">39–242 i </w:t>
            </w:r>
            <w:r w:rsidR="00770884">
              <w:rPr>
                <w:i/>
              </w:rPr>
              <w:t xml:space="preserve">tribunalens </w:t>
            </w:r>
            <w:r>
              <w:rPr>
                <w:i/>
              </w:rPr>
              <w:t xml:space="preserve">rättegångsregler och </w:t>
            </w:r>
            <w:r w:rsidR="003E4BD9">
              <w:rPr>
                <w:i/>
              </w:rPr>
              <w:t xml:space="preserve">i </w:t>
            </w:r>
            <w:r w:rsidR="003F4CF2">
              <w:rPr>
                <w:i/>
              </w:rPr>
              <w:t>punkterna </w:t>
            </w:r>
            <w:r>
              <w:rPr>
                <w:i/>
              </w:rPr>
              <w:t>266–270 i Praktiska genomförandebestämmelser till tribunalens rättegångsregler (nedan kallade de praktiska genomförandebestämmelserna) Det finns inget särskilt formulär för rättshjälp i</w:t>
            </w:r>
            <w:r w:rsidR="003F4CF2">
              <w:rPr>
                <w:i/>
              </w:rPr>
              <w:t xml:space="preserve"> mål </w:t>
            </w:r>
            <w:r>
              <w:rPr>
                <w:i/>
              </w:rPr>
              <w:t>om förhandsavgörande.</w:t>
            </w:r>
          </w:p>
        </w:tc>
      </w:tr>
    </w:tbl>
    <w:p w14:paraId="2457562B" w14:textId="77777777" w:rsidR="00D03309" w:rsidRPr="0053338E" w:rsidRDefault="00D03309" w:rsidP="00D03309">
      <w:pPr>
        <w:jc w:val="both"/>
        <w:rPr>
          <w:b/>
          <w:i/>
        </w:rPr>
      </w:pPr>
    </w:p>
    <w:p w14:paraId="6FA6C762" w14:textId="77777777" w:rsidR="00D03309" w:rsidRPr="00D03309" w:rsidRDefault="00D03309" w:rsidP="00D03309">
      <w:pPr>
        <w:jc w:val="both"/>
      </w:pPr>
    </w:p>
    <w:p w14:paraId="7BF11876" w14:textId="77777777" w:rsidR="00D03309" w:rsidRPr="00D03309" w:rsidRDefault="00DB1F16" w:rsidP="00D03309">
      <w:pPr>
        <w:numPr>
          <w:ilvl w:val="0"/>
          <w:numId w:val="8"/>
        </w:numPr>
        <w:ind w:left="284" w:hanging="284"/>
        <w:jc w:val="both"/>
        <w:rPr>
          <w:b/>
        </w:rPr>
      </w:pPr>
      <w:r>
        <w:rPr>
          <w:b/>
        </w:rPr>
        <w:t xml:space="preserve"> Tillämpliga bestämmelser</w:t>
      </w:r>
    </w:p>
    <w:p w14:paraId="6B44706F" w14:textId="77777777" w:rsidR="00D03309" w:rsidRPr="00D03309" w:rsidRDefault="00D03309" w:rsidP="00D03309">
      <w:pPr>
        <w:ind w:left="284"/>
        <w:jc w:val="both"/>
        <w:rPr>
          <w:b/>
          <w:lang w:val="fr-FR"/>
        </w:rPr>
      </w:pPr>
    </w:p>
    <w:p w14:paraId="3B9A3F0C" w14:textId="39762672" w:rsidR="00D03309" w:rsidRPr="00D03309" w:rsidRDefault="00D03309" w:rsidP="00D03309">
      <w:pPr>
        <w:jc w:val="both"/>
      </w:pPr>
      <w:r>
        <w:t xml:space="preserve">Bestämmelserna om rättshjälp </w:t>
      </w:r>
      <w:r w:rsidR="00253CE4">
        <w:t>i</w:t>
      </w:r>
      <w:r w:rsidR="003F4CF2">
        <w:t xml:space="preserve"> mål </w:t>
      </w:r>
      <w:r w:rsidR="00253CE4">
        <w:t xml:space="preserve">om direkt talan </w:t>
      </w:r>
      <w:r>
        <w:t>finns i tribunalens rättegångsregler (</w:t>
      </w:r>
      <w:r w:rsidR="003F4CF2">
        <w:t>artiklarna 1</w:t>
      </w:r>
      <w:r>
        <w:t>46–150) och i de praktiska genomförandebestämmelserna (</w:t>
      </w:r>
      <w:r w:rsidR="003F4CF2">
        <w:t>punkterna </w:t>
      </w:r>
      <w:r>
        <w:t>15–17, 33, 49, 171, 172 och 256–265).</w:t>
      </w:r>
    </w:p>
    <w:p w14:paraId="2771786B" w14:textId="77777777" w:rsidR="00D03309" w:rsidRPr="0053338E" w:rsidRDefault="00D03309" w:rsidP="00D03309">
      <w:pPr>
        <w:jc w:val="both"/>
      </w:pPr>
    </w:p>
    <w:p w14:paraId="4725582B" w14:textId="06301D71" w:rsidR="00D03309" w:rsidRPr="00D03309" w:rsidRDefault="00D03309" w:rsidP="00D03309">
      <w:pPr>
        <w:jc w:val="both"/>
        <w:rPr>
          <w:b/>
        </w:rPr>
      </w:pPr>
      <w:r>
        <w:t>Rättegångsreglerna och de praktiska genomförandebestämmelserna finns tillgängliga på EU-domstolens webbplats (</w:t>
      </w:r>
      <w:hyperlink r:id="rId8" w:history="1">
        <w:r>
          <w:rPr>
            <w:color w:val="0000FF"/>
            <w:u w:val="single"/>
          </w:rPr>
          <w:t>http://curia.europa.eu</w:t>
        </w:r>
      </w:hyperlink>
      <w:r>
        <w:t xml:space="preserve">), under rubriken </w:t>
      </w:r>
      <w:r w:rsidR="00D86646">
        <w:t>”Handläggning av mål/</w:t>
      </w:r>
      <w:r>
        <w:t>Tribunalen/För</w:t>
      </w:r>
      <w:r w:rsidR="00D86646">
        <w:t>eskrifter om för</w:t>
      </w:r>
      <w:r>
        <w:t>farandet</w:t>
      </w:r>
      <w:r w:rsidR="00D86646">
        <w:t xml:space="preserve"> (Texter som reglerar förfarandet)”</w:t>
      </w:r>
      <w:r>
        <w:t>.</w:t>
      </w:r>
    </w:p>
    <w:p w14:paraId="7EB44568" w14:textId="77777777" w:rsidR="00D03309" w:rsidRPr="0053338E" w:rsidRDefault="00D03309" w:rsidP="00D03309">
      <w:pPr>
        <w:jc w:val="both"/>
        <w:rPr>
          <w:b/>
        </w:rPr>
      </w:pPr>
    </w:p>
    <w:p w14:paraId="64D7942D" w14:textId="77777777" w:rsidR="00D03309" w:rsidRPr="0053338E" w:rsidRDefault="00D03309" w:rsidP="00D03309">
      <w:pPr>
        <w:jc w:val="both"/>
        <w:rPr>
          <w:b/>
        </w:rPr>
      </w:pPr>
    </w:p>
    <w:p w14:paraId="3D5C63AE" w14:textId="3E96055A" w:rsidR="00D03309" w:rsidRPr="00D03309" w:rsidRDefault="00DB1F16" w:rsidP="00D03309">
      <w:pPr>
        <w:numPr>
          <w:ilvl w:val="0"/>
          <w:numId w:val="8"/>
        </w:numPr>
        <w:ind w:left="284" w:hanging="284"/>
        <w:jc w:val="both"/>
        <w:rPr>
          <w:b/>
        </w:rPr>
      </w:pPr>
      <w:r>
        <w:rPr>
          <w:b/>
        </w:rPr>
        <w:t xml:space="preserve"> Bestämmelser om företräd</w:t>
      </w:r>
      <w:r w:rsidR="007E4247">
        <w:rPr>
          <w:b/>
        </w:rPr>
        <w:t>and</w:t>
      </w:r>
      <w:r w:rsidR="004D5DCD">
        <w:rPr>
          <w:b/>
        </w:rPr>
        <w:t>e</w:t>
      </w:r>
      <w:r w:rsidR="007E4247">
        <w:rPr>
          <w:b/>
        </w:rPr>
        <w:t xml:space="preserve"> vid</w:t>
      </w:r>
      <w:r w:rsidR="004D5DCD">
        <w:rPr>
          <w:b/>
        </w:rPr>
        <w:t xml:space="preserve"> </w:t>
      </w:r>
      <w:r>
        <w:rPr>
          <w:b/>
        </w:rPr>
        <w:t>tribunalen</w:t>
      </w:r>
    </w:p>
    <w:p w14:paraId="1C68E22E" w14:textId="77777777" w:rsidR="00D03309" w:rsidRPr="004D5DCD" w:rsidRDefault="00D03309" w:rsidP="00D03309">
      <w:pPr>
        <w:jc w:val="both"/>
      </w:pPr>
    </w:p>
    <w:p w14:paraId="7EB9BBA0" w14:textId="76495A64" w:rsidR="00D03309" w:rsidRPr="00D03309" w:rsidRDefault="00712988" w:rsidP="00D03309">
      <w:pPr>
        <w:jc w:val="both"/>
      </w:pPr>
      <w:r>
        <w:t xml:space="preserve">Principen om </w:t>
      </w:r>
      <w:r>
        <w:rPr>
          <w:b/>
          <w:bCs/>
        </w:rPr>
        <w:t>advokattvång</w:t>
      </w:r>
      <w:r>
        <w:t xml:space="preserve">, det vill säga att en part saknar rätt att själv utföra sin talan och måste låta sig företrädas av en advokat, kommer till uttryck i </w:t>
      </w:r>
      <w:r w:rsidR="003F4CF2">
        <w:t>artikel </w:t>
      </w:r>
      <w:r>
        <w:t xml:space="preserve">19 i protokollet om stadgan för Europeiska unionens domstol (nedan kallad domstolens stadga). Advokattvånget gäller dock inte för medlemsstaterna, Europeiska unionens institutioner, de stater som är parter i avtalet om Europeiska ekonomiska samarbetsområdet och Eftas </w:t>
      </w:r>
      <w:r>
        <w:lastRenderedPageBreak/>
        <w:t>övervakningsmyndighet</w:t>
      </w:r>
      <w:r w:rsidR="009B3CBD">
        <w:t xml:space="preserve">. </w:t>
      </w:r>
      <w:r>
        <w:t>Fysiska eller juridiska personer måste således låta sig företrädas av en advokat för att ha rätt att väcka talan vid tribunalen. Advokaten måste vara behörig att uppträda inför domstol i någon av medlemsstaterna eller i en annan stat som är part i avtalet om Europeiska ekonomiska samarbetsområdet (</w:t>
      </w:r>
      <w:r w:rsidR="003F4CF2">
        <w:t>artikel </w:t>
      </w:r>
      <w:r>
        <w:t>51 i rättegångsreglerna).</w:t>
      </w:r>
    </w:p>
    <w:p w14:paraId="365FDCD1" w14:textId="77777777" w:rsidR="00D03309" w:rsidRPr="0053338E" w:rsidRDefault="00D03309" w:rsidP="00D03309">
      <w:pPr>
        <w:jc w:val="both"/>
      </w:pPr>
    </w:p>
    <w:p w14:paraId="16A702CA" w14:textId="187BA1BB" w:rsidR="00D03309" w:rsidRPr="00D03309" w:rsidRDefault="00D03309" w:rsidP="00D03309">
      <w:pPr>
        <w:jc w:val="both"/>
      </w:pPr>
      <w:r>
        <w:t>Personer som på grund av sin ekonomiska situation helt eller delvis saknar möjlighet att bära kostnaderna för rättegången ska enligt rättegångsreglerna ha rätt till rättshjälp (</w:t>
      </w:r>
      <w:r w:rsidR="003F4CF2">
        <w:t>artikel </w:t>
      </w:r>
      <w:r>
        <w:t xml:space="preserve">146.1 i rättegångsreglerna). </w:t>
      </w:r>
      <w:r>
        <w:rPr>
          <w:b/>
          <w:bCs/>
        </w:rPr>
        <w:t>En ansökan om rättshjälp kan ges in med eller utan hjälp av en advokat. En ansökan varigenom talan väcks måste däremot ges in av en advokat som företräder sökanden.</w:t>
      </w:r>
    </w:p>
    <w:p w14:paraId="2022B017" w14:textId="77777777" w:rsidR="00B10EF9" w:rsidRPr="0053338E" w:rsidRDefault="00B10EF9" w:rsidP="00D03309">
      <w:pPr>
        <w:jc w:val="both"/>
      </w:pPr>
    </w:p>
    <w:p w14:paraId="6DCA1860" w14:textId="77777777" w:rsidR="00B10EF9" w:rsidRPr="0053338E" w:rsidRDefault="00B10EF9" w:rsidP="00D03309">
      <w:pPr>
        <w:jc w:val="both"/>
      </w:pPr>
    </w:p>
    <w:p w14:paraId="7D1619A6" w14:textId="77777777" w:rsidR="00D03309" w:rsidRPr="00D03309" w:rsidRDefault="00D03309" w:rsidP="00D03309">
      <w:pPr>
        <w:ind w:left="360" w:hanging="360"/>
        <w:jc w:val="both"/>
        <w:rPr>
          <w:b/>
        </w:rPr>
      </w:pPr>
      <w:r>
        <w:rPr>
          <w:b/>
        </w:rPr>
        <w:t>3)</w:t>
      </w:r>
      <w:r>
        <w:rPr>
          <w:b/>
        </w:rPr>
        <w:tab/>
        <w:t>Tribunalens behörighet och villkor för upptagande till prövning</w:t>
      </w:r>
    </w:p>
    <w:p w14:paraId="53E30265" w14:textId="77777777" w:rsidR="00D03309" w:rsidRPr="0053338E" w:rsidRDefault="00D03309" w:rsidP="00D03309">
      <w:pPr>
        <w:jc w:val="both"/>
      </w:pPr>
    </w:p>
    <w:p w14:paraId="46DFB7BB" w14:textId="5170A423" w:rsidR="00D03309" w:rsidRPr="00D03309" w:rsidRDefault="00D03309" w:rsidP="00D03309">
      <w:pPr>
        <w:jc w:val="both"/>
      </w:pPr>
      <w:r>
        <w:t>Rättshjälp kan inte beviljas om det är uppenbart att tribunalen saknar behörighet att pröva den talan som ansökan om rättshjälp avser (</w:t>
      </w:r>
      <w:r w:rsidR="003F4CF2">
        <w:t>artikel </w:t>
      </w:r>
      <w:r>
        <w:t>146.2 i rättegångsreglerna).</w:t>
      </w:r>
    </w:p>
    <w:p w14:paraId="0F984F03" w14:textId="77777777" w:rsidR="00D03309" w:rsidRPr="0053338E" w:rsidRDefault="00D03309" w:rsidP="00D03309">
      <w:pPr>
        <w:jc w:val="both"/>
      </w:pPr>
    </w:p>
    <w:p w14:paraId="611BE3E7" w14:textId="4D71702C" w:rsidR="00D03309" w:rsidRPr="00D03309" w:rsidRDefault="00DF7019" w:rsidP="00D03309">
      <w:pPr>
        <w:jc w:val="both"/>
      </w:pPr>
      <w:r>
        <w:t xml:space="preserve">Av </w:t>
      </w:r>
      <w:r w:rsidR="00D03309">
        <w:t xml:space="preserve">fördragen och domstolens stadga </w:t>
      </w:r>
      <w:r>
        <w:t xml:space="preserve">framgår att </w:t>
      </w:r>
      <w:r w:rsidR="00D03309">
        <w:rPr>
          <w:b/>
          <w:bCs/>
        </w:rPr>
        <w:t>tribunalen</w:t>
      </w:r>
      <w:r w:rsidR="00D03309">
        <w:t xml:space="preserve"> </w:t>
      </w:r>
      <w:r w:rsidRPr="00DF7019">
        <w:rPr>
          <w:b/>
        </w:rPr>
        <w:t>är</w:t>
      </w:r>
      <w:r>
        <w:t xml:space="preserve"> </w:t>
      </w:r>
      <w:r w:rsidR="00D03309">
        <w:rPr>
          <w:b/>
          <w:bCs/>
        </w:rPr>
        <w:t>behörig</w:t>
      </w:r>
      <w:r w:rsidR="00D03309">
        <w:t xml:space="preserve"> att pröva </w:t>
      </w:r>
      <w:r w:rsidR="00056CF6">
        <w:t xml:space="preserve">bland annat </w:t>
      </w:r>
      <w:r w:rsidR="00D03309">
        <w:t>följande</w:t>
      </w:r>
      <w:r w:rsidR="003F4CF2">
        <w:t xml:space="preserve"> mål </w:t>
      </w:r>
      <w:r w:rsidR="00C54642">
        <w:t>om direkt talan</w:t>
      </w:r>
      <w:r w:rsidR="00D03309">
        <w:t>:</w:t>
      </w:r>
    </w:p>
    <w:p w14:paraId="06030F81" w14:textId="77777777" w:rsidR="00D03309" w:rsidRPr="0053338E" w:rsidRDefault="00D03309" w:rsidP="00D03309">
      <w:pPr>
        <w:jc w:val="both"/>
        <w:rPr>
          <w:lang w:eastAsia="en-US"/>
        </w:rPr>
      </w:pPr>
    </w:p>
    <w:p w14:paraId="3E7681A2" w14:textId="68DFDA1F" w:rsidR="00D03309" w:rsidRPr="0017303C" w:rsidRDefault="00D03309" w:rsidP="00D03309">
      <w:pPr>
        <w:numPr>
          <w:ilvl w:val="0"/>
          <w:numId w:val="14"/>
        </w:numPr>
        <w:spacing w:after="240"/>
        <w:ind w:left="284" w:hanging="284"/>
        <w:jc w:val="both"/>
      </w:pPr>
      <w:r>
        <w:t>Mål där talan väcks av enskilda</w:t>
      </w:r>
      <w:r w:rsidR="00F170CA">
        <w:t xml:space="preserve"> </w:t>
      </w:r>
      <w:r>
        <w:t xml:space="preserve">i syfte att få till stånd en ogiltigförklaring av </w:t>
      </w:r>
      <w:r>
        <w:rPr>
          <w:b/>
          <w:bCs/>
        </w:rPr>
        <w:t>akter som antagits av Europeiska unionens institutioner, organ och byråer</w:t>
      </w:r>
      <w:r w:rsidR="00AD09C0">
        <w:rPr>
          <w:b/>
          <w:bCs/>
        </w:rPr>
        <w:t xml:space="preserve"> </w:t>
      </w:r>
      <w:r>
        <w:t>eller i syfte att få fastställt att unionens institutioner, organ och byråer på ett rättsstridigt sätt har underlåtit att vidta åtgärder eller i syfte att få ersättning för liden skada samt</w:t>
      </w:r>
      <w:r w:rsidR="003F4CF2">
        <w:t xml:space="preserve"> mål </w:t>
      </w:r>
      <w:r>
        <w:t>där talan väckts med stöd av en skiljedomsklausul.</w:t>
      </w:r>
    </w:p>
    <w:p w14:paraId="6357FF69" w14:textId="4FF8C25A" w:rsidR="008A66AD" w:rsidRPr="0017303C" w:rsidRDefault="00D03309" w:rsidP="008A66AD">
      <w:pPr>
        <w:numPr>
          <w:ilvl w:val="0"/>
          <w:numId w:val="14"/>
        </w:numPr>
        <w:spacing w:after="240"/>
        <w:ind w:left="284" w:hanging="284"/>
        <w:jc w:val="both"/>
      </w:pPr>
      <w:r>
        <w:t xml:space="preserve">Mål om överklaganden i ärenden om immateriella rättigheter med yrkande om ogiltigförklaring av beslut som meddelats av överklagandenämnderna vid Europeiska unionens immaterialrättsmyndighet (EUIPO) respektive vid Gemenskapens </w:t>
      </w:r>
      <w:proofErr w:type="spellStart"/>
      <w:r>
        <w:t>växtsortsmyndighet</w:t>
      </w:r>
      <w:proofErr w:type="spellEnd"/>
      <w:r>
        <w:t xml:space="preserve"> (</w:t>
      </w:r>
      <w:proofErr w:type="spellStart"/>
      <w:r>
        <w:t>växtsortsmyndigheten</w:t>
      </w:r>
      <w:proofErr w:type="spellEnd"/>
      <w:r>
        <w:t>).</w:t>
      </w:r>
    </w:p>
    <w:p w14:paraId="41EE5E00" w14:textId="23D87D0E" w:rsidR="00D03309" w:rsidRPr="008A66AD" w:rsidRDefault="008A66AD" w:rsidP="008A66AD">
      <w:pPr>
        <w:numPr>
          <w:ilvl w:val="0"/>
          <w:numId w:val="14"/>
        </w:numPr>
        <w:spacing w:after="240"/>
        <w:ind w:left="284" w:hanging="284"/>
        <w:jc w:val="both"/>
      </w:pPr>
      <w:r>
        <w:t>Mål som rör tvister mellan Europeiska unionens institutioner och deras anställda angående deras anställningsförhållanden och frågor som rör systemet för social trygghet.</w:t>
      </w:r>
    </w:p>
    <w:p w14:paraId="7098ED54" w14:textId="5935C8A7" w:rsidR="00D03309" w:rsidRPr="00D03309" w:rsidRDefault="00D03309" w:rsidP="00D03309">
      <w:pPr>
        <w:jc w:val="both"/>
      </w:pPr>
      <w:r>
        <w:t xml:space="preserve">Av detta följer att en ansökan om rättshjälp kommer att </w:t>
      </w:r>
      <w:r>
        <w:rPr>
          <w:b/>
          <w:bCs/>
        </w:rPr>
        <w:t>avslås på grund av att tribunalen saknar behörighet</w:t>
      </w:r>
      <w:r>
        <w:t xml:space="preserve"> att pröva målet, om ansökan avser </w:t>
      </w:r>
      <w:r w:rsidR="00DF7019">
        <w:t xml:space="preserve">en talan som </w:t>
      </w:r>
      <w:r>
        <w:t>syftar till</w:t>
      </w:r>
    </w:p>
    <w:p w14:paraId="35D5ACB9" w14:textId="77777777" w:rsidR="00D03309" w:rsidRPr="0053338E" w:rsidRDefault="00D03309" w:rsidP="00D03309">
      <w:pPr>
        <w:jc w:val="both"/>
      </w:pPr>
    </w:p>
    <w:p w14:paraId="614FFCC3" w14:textId="77777777" w:rsidR="00D03309" w:rsidRPr="00D03309" w:rsidRDefault="00D03309" w:rsidP="00D03309">
      <w:pPr>
        <w:numPr>
          <w:ilvl w:val="0"/>
          <w:numId w:val="14"/>
        </w:numPr>
        <w:ind w:left="284" w:hanging="284"/>
        <w:jc w:val="both"/>
      </w:pPr>
      <w:r>
        <w:t xml:space="preserve">att bestrida lagenligheten av </w:t>
      </w:r>
      <w:r>
        <w:rPr>
          <w:b/>
          <w:bCs/>
        </w:rPr>
        <w:t>nationella myndigheters beslut eller åtgärder</w:t>
      </w:r>
      <w:r>
        <w:t xml:space="preserve"> (oavsett om det rör sig om förvaltningsmyndigheter eller rättsliga myndigheter) eller</w:t>
      </w:r>
    </w:p>
    <w:p w14:paraId="54A0B096" w14:textId="77777777" w:rsidR="00D03309" w:rsidRPr="0053338E" w:rsidRDefault="00D03309" w:rsidP="00D03309">
      <w:pPr>
        <w:ind w:left="284" w:hanging="284"/>
        <w:jc w:val="both"/>
      </w:pPr>
    </w:p>
    <w:p w14:paraId="33A34BFA" w14:textId="77777777" w:rsidR="00D03309" w:rsidRPr="00D03309" w:rsidRDefault="00D03309" w:rsidP="00D03309">
      <w:pPr>
        <w:numPr>
          <w:ilvl w:val="0"/>
          <w:numId w:val="14"/>
        </w:numPr>
        <w:ind w:left="284" w:hanging="284"/>
        <w:jc w:val="both"/>
      </w:pPr>
      <w:r>
        <w:t xml:space="preserve">att angripa ett </w:t>
      </w:r>
      <w:r>
        <w:rPr>
          <w:b/>
          <w:bCs/>
        </w:rPr>
        <w:t>beslut eller avgörande som fattats av ett internationellt organ</w:t>
      </w:r>
      <w:r>
        <w:t xml:space="preserve"> som inte omfattas av Europeiska unionens institutionella system (som till exempel Europeiska domstolen för de mänskliga rättigheterna).</w:t>
      </w:r>
    </w:p>
    <w:p w14:paraId="1AA6755D" w14:textId="77777777" w:rsidR="00D03309" w:rsidRPr="0053338E" w:rsidRDefault="00D03309" w:rsidP="00D03309">
      <w:pPr>
        <w:jc w:val="both"/>
      </w:pPr>
    </w:p>
    <w:p w14:paraId="33598D8C" w14:textId="751A11EC" w:rsidR="00BB6A32" w:rsidRPr="00D03309" w:rsidRDefault="00D03309" w:rsidP="00D03309">
      <w:pPr>
        <w:jc w:val="both"/>
      </w:pPr>
      <w:r>
        <w:t xml:space="preserve">Rättshjälp kan inte heller beviljas om det är </w:t>
      </w:r>
      <w:r>
        <w:rPr>
          <w:b/>
          <w:bCs/>
        </w:rPr>
        <w:t xml:space="preserve">uppenbart att den talan som </w:t>
      </w:r>
      <w:r w:rsidR="00B2751C" w:rsidRPr="00B2751C">
        <w:rPr>
          <w:b/>
          <w:bCs/>
        </w:rPr>
        <w:t xml:space="preserve">rättshjälpsansökan </w:t>
      </w:r>
      <w:r>
        <w:rPr>
          <w:b/>
          <w:bCs/>
        </w:rPr>
        <w:t>avser inte kan tas upp till prövning eller att den helt saknar rättslig grund</w:t>
      </w:r>
      <w:r>
        <w:t xml:space="preserve"> (</w:t>
      </w:r>
      <w:r w:rsidR="003F4CF2">
        <w:t>artikel </w:t>
      </w:r>
      <w:r>
        <w:t>146.2 i rättegångsreglerna).</w:t>
      </w:r>
    </w:p>
    <w:p w14:paraId="713B0BE4" w14:textId="5A20B70F" w:rsidR="00D03309" w:rsidRPr="0053338E" w:rsidRDefault="00D03309" w:rsidP="00D03309">
      <w:pPr>
        <w:jc w:val="both"/>
      </w:pPr>
    </w:p>
    <w:p w14:paraId="1544E5F7" w14:textId="77777777" w:rsidR="00D03309" w:rsidRPr="0053338E" w:rsidRDefault="00D03309" w:rsidP="00D03309">
      <w:pPr>
        <w:jc w:val="both"/>
      </w:pPr>
    </w:p>
    <w:p w14:paraId="2EC28A04" w14:textId="6A6E4C23" w:rsidR="00D03309" w:rsidRPr="00D03309" w:rsidRDefault="00A05A3C" w:rsidP="00D03309">
      <w:pPr>
        <w:ind w:left="360" w:hanging="360"/>
        <w:jc w:val="both"/>
        <w:rPr>
          <w:b/>
        </w:rPr>
      </w:pPr>
      <w:r>
        <w:rPr>
          <w:b/>
        </w:rPr>
        <w:br w:type="page"/>
      </w:r>
      <w:r w:rsidR="00D03309">
        <w:rPr>
          <w:b/>
        </w:rPr>
        <w:lastRenderedPageBreak/>
        <w:t>4)</w:t>
      </w:r>
      <w:r w:rsidR="00D03309">
        <w:rPr>
          <w:b/>
        </w:rPr>
        <w:tab/>
        <w:t>Obligatoriskt formulär för rättshjälp</w:t>
      </w:r>
    </w:p>
    <w:p w14:paraId="783593DE" w14:textId="77777777" w:rsidR="00D03309" w:rsidRPr="0053338E" w:rsidRDefault="00D03309" w:rsidP="00D03309">
      <w:pPr>
        <w:jc w:val="both"/>
      </w:pPr>
    </w:p>
    <w:p w14:paraId="3A769DE1" w14:textId="41C63444" w:rsidR="00D03309" w:rsidRPr="00D03309" w:rsidRDefault="00D03309" w:rsidP="00D03309">
      <w:pPr>
        <w:jc w:val="both"/>
      </w:pPr>
      <w:r>
        <w:t xml:space="preserve">Formuläret för rättshjälp har offentliggjorts i </w:t>
      </w:r>
      <w:r>
        <w:rPr>
          <w:i/>
          <w:iCs/>
        </w:rPr>
        <w:t>Europeiska unionens officiella tidning</w:t>
      </w:r>
      <w:r>
        <w:t xml:space="preserve"> och </w:t>
      </w:r>
      <w:r w:rsidR="002D0879">
        <w:t>finns</w:t>
      </w:r>
      <w:r>
        <w:t xml:space="preserve"> tillgängligt på EU-domstolens webbplats, under rubriken </w:t>
      </w:r>
      <w:r w:rsidR="00D86646">
        <w:t>”Handläggning av mål/Tribunalen/Föreskrifter om förfarandet (Annan användbar information)”</w:t>
      </w:r>
      <w:r>
        <w:t>.</w:t>
      </w:r>
    </w:p>
    <w:p w14:paraId="73938419" w14:textId="77777777" w:rsidR="00D03309" w:rsidRPr="0053338E" w:rsidRDefault="00D03309" w:rsidP="00D03309">
      <w:pPr>
        <w:jc w:val="both"/>
      </w:pPr>
    </w:p>
    <w:p w14:paraId="7D3F983B" w14:textId="6ACBD1E5" w:rsidR="00D03309" w:rsidRPr="00D03309" w:rsidRDefault="00D03309" w:rsidP="00D03309">
      <w:pPr>
        <w:jc w:val="both"/>
      </w:pPr>
      <w:r>
        <w:t xml:space="preserve">Den som ansöker om rättshjälp </w:t>
      </w:r>
      <w:r>
        <w:rPr>
          <w:b/>
          <w:bCs/>
        </w:rPr>
        <w:t>måste använda formuläret</w:t>
      </w:r>
      <w:r>
        <w:t xml:space="preserve">, både om ansökan görs </w:t>
      </w:r>
      <w:r w:rsidR="00EF516A">
        <w:t>innan</w:t>
      </w:r>
      <w:r>
        <w:t xml:space="preserve"> en direkt talan väcks och om den görs i </w:t>
      </w:r>
      <w:r w:rsidR="004A6C9F">
        <w:t xml:space="preserve">samband med </w:t>
      </w:r>
      <w:r>
        <w:t>ett pågående</w:t>
      </w:r>
      <w:r w:rsidR="003F4CF2">
        <w:t xml:space="preserve"> mål </w:t>
      </w:r>
      <w:r>
        <w:t>om direkt talan. En ansökan om rättshjälp avseende en direkt talan som ges in utan formuläret kommer inte att beaktas (</w:t>
      </w:r>
      <w:r w:rsidR="003F4CF2">
        <w:t>artikel </w:t>
      </w:r>
      <w:r>
        <w:t>147 i rättegångsreglerna och</w:t>
      </w:r>
      <w:r w:rsidR="003F4CF2">
        <w:t xml:space="preserve"> punkt </w:t>
      </w:r>
      <w:r>
        <w:t>256 i de praktiska genomförandebestämmelserna).</w:t>
      </w:r>
    </w:p>
    <w:p w14:paraId="0BC01808" w14:textId="77777777" w:rsidR="00D03309" w:rsidRPr="0053338E" w:rsidRDefault="00D03309" w:rsidP="00D03309">
      <w:pPr>
        <w:jc w:val="both"/>
      </w:pPr>
    </w:p>
    <w:p w14:paraId="6366A37A" w14:textId="4003E68A" w:rsidR="00D03309" w:rsidRPr="00D03309" w:rsidRDefault="00D03309" w:rsidP="00D03309">
      <w:pPr>
        <w:jc w:val="both"/>
      </w:pPr>
      <w:r>
        <w:t>En ansökan om rättshjälp som ges in efter det att tribunalen har meddelat sitt avgörande om den talan som ansökan avser kommer inte att beaktas.</w:t>
      </w:r>
      <w:r w:rsidR="00617AA1">
        <w:t xml:space="preserve"> En ansökan om rättshjälp som ges in </w:t>
      </w:r>
      <w:r w:rsidR="004740CF">
        <w:t>i syfte</w:t>
      </w:r>
      <w:r w:rsidR="00617AA1">
        <w:t xml:space="preserve"> att överklaga ett avgörande från tribunalen till domstolen ska ges in till domstolen.</w:t>
      </w:r>
    </w:p>
    <w:p w14:paraId="739A5E7A" w14:textId="77777777" w:rsidR="00D03309" w:rsidRPr="0053338E" w:rsidRDefault="00D03309" w:rsidP="00D03309">
      <w:pPr>
        <w:ind w:left="360" w:hanging="360"/>
        <w:jc w:val="both"/>
        <w:rPr>
          <w:b/>
        </w:rPr>
      </w:pPr>
    </w:p>
    <w:p w14:paraId="04276263" w14:textId="77777777" w:rsidR="000F3419" w:rsidRPr="0053338E" w:rsidRDefault="000F3419" w:rsidP="00D03309">
      <w:pPr>
        <w:ind w:left="360" w:hanging="360"/>
        <w:jc w:val="both"/>
        <w:rPr>
          <w:b/>
        </w:rPr>
      </w:pPr>
    </w:p>
    <w:p w14:paraId="75F63160" w14:textId="77777777" w:rsidR="00D03309" w:rsidRPr="00D03309" w:rsidRDefault="00D03309" w:rsidP="00D03309">
      <w:pPr>
        <w:ind w:left="360" w:hanging="360"/>
        <w:jc w:val="both"/>
        <w:rPr>
          <w:b/>
        </w:rPr>
      </w:pPr>
      <w:r>
        <w:rPr>
          <w:b/>
        </w:rPr>
        <w:t>5)</w:t>
      </w:r>
      <w:r>
        <w:rPr>
          <w:b/>
        </w:rPr>
        <w:tab/>
        <w:t>Vad ansökan om rättshjälp ska innehålla och vilka bestyrkande handlingar som ska ges in</w:t>
      </w:r>
    </w:p>
    <w:p w14:paraId="00D11FAC" w14:textId="77777777" w:rsidR="00D03309" w:rsidRPr="0053338E" w:rsidRDefault="00D03309" w:rsidP="00D03309">
      <w:pPr>
        <w:jc w:val="both"/>
        <w:rPr>
          <w:b/>
        </w:rPr>
      </w:pPr>
    </w:p>
    <w:p w14:paraId="71B8BD42" w14:textId="466B404A" w:rsidR="00D03309" w:rsidRPr="00D03309" w:rsidRDefault="00D03309" w:rsidP="00D03309">
      <w:pPr>
        <w:jc w:val="both"/>
      </w:pPr>
      <w:r>
        <w:t>Syftet med formuläret för rättshjälp är att tribunalen ska ha tillgång till alla upplysningar som behövs för att den ska kunna göra en ändamålsenlig prövning av ansökan om rättshjälp (</w:t>
      </w:r>
      <w:r w:rsidR="003F4CF2">
        <w:t>artikel </w:t>
      </w:r>
      <w:r>
        <w:t>147.3 och 147.4 i rättegångsreglerna). Dessa upplysningar utgörs av</w:t>
      </w:r>
    </w:p>
    <w:p w14:paraId="57417A86" w14:textId="77777777" w:rsidR="00D03309" w:rsidRPr="009B3CBD" w:rsidRDefault="00D03309" w:rsidP="00D03309">
      <w:pPr>
        <w:jc w:val="both"/>
      </w:pPr>
    </w:p>
    <w:p w14:paraId="06063B21" w14:textId="77777777" w:rsidR="00D03309" w:rsidRPr="00D03309" w:rsidRDefault="00D03309" w:rsidP="00D46296">
      <w:pPr>
        <w:numPr>
          <w:ilvl w:val="0"/>
          <w:numId w:val="7"/>
        </w:numPr>
        <w:ind w:left="426" w:hanging="426"/>
        <w:jc w:val="both"/>
      </w:pPr>
      <w:r>
        <w:t xml:space="preserve">uppgifter om rättshjälpssökandens </w:t>
      </w:r>
      <w:r>
        <w:rPr>
          <w:b/>
          <w:bCs/>
        </w:rPr>
        <w:t>ekonomiska situation</w:t>
      </w:r>
    </w:p>
    <w:p w14:paraId="3817094D" w14:textId="77777777" w:rsidR="00D03309" w:rsidRPr="00D03309" w:rsidRDefault="00D03309" w:rsidP="00D03309">
      <w:pPr>
        <w:ind w:left="284" w:hanging="284"/>
        <w:jc w:val="both"/>
        <w:rPr>
          <w:lang w:val="fr-FR"/>
        </w:rPr>
      </w:pPr>
    </w:p>
    <w:p w14:paraId="66CC9E2B" w14:textId="77777777" w:rsidR="00D03309" w:rsidRPr="00D03309" w:rsidRDefault="00D03309" w:rsidP="00D03309">
      <w:pPr>
        <w:ind w:left="284" w:hanging="284"/>
        <w:jc w:val="both"/>
      </w:pPr>
      <w:r>
        <w:t>och,</w:t>
      </w:r>
    </w:p>
    <w:p w14:paraId="52DCD799" w14:textId="77777777" w:rsidR="00D03309" w:rsidRPr="00D03309" w:rsidRDefault="00D03309" w:rsidP="00D03309">
      <w:pPr>
        <w:ind w:left="284" w:hanging="284"/>
        <w:jc w:val="both"/>
        <w:rPr>
          <w:lang w:val="fr-FR"/>
        </w:rPr>
      </w:pPr>
    </w:p>
    <w:p w14:paraId="1CFB02F8" w14:textId="7F9CF043" w:rsidR="008E1C99" w:rsidRPr="00D03309" w:rsidRDefault="00D03309" w:rsidP="008E1C99">
      <w:pPr>
        <w:numPr>
          <w:ilvl w:val="0"/>
          <w:numId w:val="7"/>
        </w:numPr>
        <w:ind w:left="426" w:hanging="426"/>
        <w:jc w:val="both"/>
      </w:pPr>
      <w:r>
        <w:t xml:space="preserve">för det fall talan ännu inte väckts, uppgifter om </w:t>
      </w:r>
      <w:r>
        <w:rPr>
          <w:b/>
          <w:bCs/>
        </w:rPr>
        <w:t>ändamålet med den talan</w:t>
      </w:r>
      <w:r>
        <w:t xml:space="preserve"> som rättshjälpssökanden avser att väcka, de faktiska omständigheterna och de argument som anförs till stöd för talan (punkt 259 i de praktiska genomförandebestämmelserna).</w:t>
      </w:r>
    </w:p>
    <w:p w14:paraId="4B2A8ADF" w14:textId="77777777" w:rsidR="00D03309" w:rsidRPr="0053338E" w:rsidRDefault="00D03309" w:rsidP="00D03309">
      <w:pPr>
        <w:jc w:val="both"/>
        <w:rPr>
          <w:b/>
        </w:rPr>
      </w:pPr>
    </w:p>
    <w:p w14:paraId="3A1E5A43" w14:textId="77777777" w:rsidR="00D03309" w:rsidRPr="00D03309" w:rsidRDefault="00D03309" w:rsidP="00D03309">
      <w:pPr>
        <w:numPr>
          <w:ilvl w:val="0"/>
          <w:numId w:val="6"/>
        </w:numPr>
        <w:ind w:left="426" w:hanging="426"/>
        <w:jc w:val="both"/>
        <w:rPr>
          <w:b/>
          <w:i/>
        </w:rPr>
      </w:pPr>
      <w:r>
        <w:rPr>
          <w:b/>
          <w:i/>
        </w:rPr>
        <w:t>Rättshjälpssökandens ekonomiska situation</w:t>
      </w:r>
    </w:p>
    <w:p w14:paraId="3979A098" w14:textId="77777777" w:rsidR="00D03309" w:rsidRPr="00D03309" w:rsidRDefault="00D03309" w:rsidP="00D03309">
      <w:pPr>
        <w:jc w:val="both"/>
        <w:rPr>
          <w:lang w:val="fr-FR"/>
        </w:rPr>
      </w:pPr>
    </w:p>
    <w:p w14:paraId="0A12C269" w14:textId="48F2F1B2" w:rsidR="00D03309" w:rsidRPr="00D03309" w:rsidRDefault="00D03309" w:rsidP="00D03309">
      <w:pPr>
        <w:jc w:val="both"/>
      </w:pPr>
      <w:r>
        <w:t xml:space="preserve">Ansökan om rättshjälp ska åtföljas av </w:t>
      </w:r>
      <w:r>
        <w:rPr>
          <w:b/>
          <w:bCs/>
        </w:rPr>
        <w:t>upplysningar och bestyrkande handlingar</w:t>
      </w:r>
      <w:r>
        <w:t xml:space="preserve"> som gör det möjligt att bedöma rättshjälpssökandens ekonomiska situation, såsom ett intyg </w:t>
      </w:r>
      <w:r w:rsidR="001F5E9C">
        <w:t>från</w:t>
      </w:r>
      <w:r>
        <w:t xml:space="preserve"> behörig nationell myndighet som visar sökandens ekonomiska situation (</w:t>
      </w:r>
      <w:r w:rsidR="003F4CF2">
        <w:t>artikel </w:t>
      </w:r>
      <w:r>
        <w:t>147.3 i rättegångsreglerna).</w:t>
      </w:r>
    </w:p>
    <w:p w14:paraId="0CB8EBCC" w14:textId="77777777" w:rsidR="00D03309" w:rsidRPr="0053338E" w:rsidRDefault="00D03309" w:rsidP="00D03309">
      <w:pPr>
        <w:jc w:val="both"/>
      </w:pPr>
    </w:p>
    <w:p w14:paraId="2D3AA6AF" w14:textId="682855A1" w:rsidR="00D03309" w:rsidRPr="00D03309" w:rsidRDefault="00D03309" w:rsidP="00D03309">
      <w:pPr>
        <w:jc w:val="both"/>
      </w:pPr>
      <w:r>
        <w:t>Rättshjälpssökandens ekonomiska förmåga bedöms på grundval av de omständigheter som sökanden anför till stöd för att denn</w:t>
      </w:r>
      <w:r w:rsidR="00A46A52">
        <w:t>e</w:t>
      </w:r>
      <w:r>
        <w:t xml:space="preserve"> saknar medel. Detta innebär följande:</w:t>
      </w:r>
    </w:p>
    <w:p w14:paraId="3E195C8B" w14:textId="77777777" w:rsidR="00D03309" w:rsidRPr="00A46A52" w:rsidRDefault="00D03309" w:rsidP="00D03309">
      <w:pPr>
        <w:jc w:val="both"/>
      </w:pPr>
    </w:p>
    <w:p w14:paraId="6E001995" w14:textId="42BA4914" w:rsidR="00D03309" w:rsidRPr="00D03309" w:rsidRDefault="00D03309" w:rsidP="00E027D4">
      <w:pPr>
        <w:numPr>
          <w:ilvl w:val="0"/>
          <w:numId w:val="13"/>
        </w:numPr>
        <w:ind w:left="426" w:hanging="426"/>
        <w:jc w:val="both"/>
      </w:pPr>
      <w:r>
        <w:t xml:space="preserve">En fysisk person som ansöker om rättshjälp kan inte nöja sig med att lämna uppgifter till tribunalen om sina inkomster och bidrag av olika slag som han eller hon uppbär. Rättshjälpssökanden måste även ge in handlingar som till exempel skattedeklarationer, lönebesked, intyg från ett socialkontor eller liknande, intyg från en arbetslöshetskassa, bankbesked eller kontoutdrag samt uppgifter som gör det möjligt att bedöma värdet av sökandens kapitaltillgångar (värdet av innehav av lös eller fast egendom). Även handlingar som visar vilka utgifter som sökanden har ska ges in (till exempel i form av </w:t>
      </w:r>
      <w:r>
        <w:lastRenderedPageBreak/>
        <w:t>hyres- eller kreditavtal, intyg om skolavgifter för ett underhållsberättigat barn, arvodesräkning från advokat eller fakturor av annat slag).</w:t>
      </w:r>
    </w:p>
    <w:p w14:paraId="14E26836" w14:textId="7F925F26" w:rsidR="00D03309" w:rsidRPr="0053338E" w:rsidRDefault="00D03309" w:rsidP="00D03309">
      <w:pPr>
        <w:ind w:left="426"/>
        <w:jc w:val="both"/>
      </w:pPr>
    </w:p>
    <w:p w14:paraId="4CC4957D" w14:textId="7ABE3F69" w:rsidR="00D03309" w:rsidRPr="00D03309" w:rsidRDefault="00D03309" w:rsidP="00D03309">
      <w:pPr>
        <w:numPr>
          <w:ilvl w:val="0"/>
          <w:numId w:val="13"/>
        </w:numPr>
        <w:ind w:left="426" w:hanging="426"/>
        <w:jc w:val="both"/>
      </w:pPr>
      <w:r>
        <w:t xml:space="preserve">En juridisk person kan inte endast åberopa sin bristande betalningsförmåga, utan måste </w:t>
      </w:r>
      <w:r w:rsidR="00A46A52">
        <w:t xml:space="preserve">även </w:t>
      </w:r>
      <w:r>
        <w:t>lämna upplysningar om sin rättsliga form, huruvida den bedriver verksamhet i vinstsyfte, om vilken finansiell förmåga dess delägare eller aktieägare har och ska ge in till exempel balansräkning eller annan handling som styrker personens räkenskaper samt bevis om konkurs eller förenklad konkurs, betalningsinställelse eller likvidation.</w:t>
      </w:r>
    </w:p>
    <w:p w14:paraId="2CA7CD41" w14:textId="77777777" w:rsidR="00D03309" w:rsidRPr="0053338E" w:rsidRDefault="00D03309" w:rsidP="00D03309">
      <w:pPr>
        <w:jc w:val="both"/>
      </w:pPr>
    </w:p>
    <w:p w14:paraId="3C79FF38" w14:textId="77777777" w:rsidR="00D03309" w:rsidRPr="00D03309" w:rsidRDefault="00D03309" w:rsidP="00D03309">
      <w:pPr>
        <w:jc w:val="both"/>
      </w:pPr>
      <w:r>
        <w:t>En försäkran på heder och samvete som rättshjälpssökanden har fyllt i och undertecknat räcker inte som bevis för att medel saknas.</w:t>
      </w:r>
    </w:p>
    <w:p w14:paraId="2F40E18F" w14:textId="77777777" w:rsidR="00D03309" w:rsidRPr="0053338E" w:rsidRDefault="00D03309" w:rsidP="00D03309">
      <w:pPr>
        <w:jc w:val="both"/>
      </w:pPr>
    </w:p>
    <w:p w14:paraId="6719F919" w14:textId="77777777" w:rsidR="00D03309" w:rsidRDefault="00D03309" w:rsidP="00D03309">
      <w:pPr>
        <w:jc w:val="both"/>
      </w:pPr>
      <w:r>
        <w:t>De uppgifter som lämnas i formuläret angående rättshjälpssökandens ekonomiska situation och de bestyrkande handlingar som ges in till stöd för dessa uppgifter syftar till att ge en fullständig bild av sökandens ekonomiska situation.</w:t>
      </w:r>
    </w:p>
    <w:p w14:paraId="6A761F3A" w14:textId="77777777" w:rsidR="00E027D4" w:rsidRPr="0053338E" w:rsidRDefault="00E027D4" w:rsidP="00D03309">
      <w:pPr>
        <w:jc w:val="both"/>
      </w:pPr>
    </w:p>
    <w:p w14:paraId="5098EA88" w14:textId="25A4FD34" w:rsidR="00D03309" w:rsidRDefault="00D03309" w:rsidP="00D03309">
      <w:pPr>
        <w:jc w:val="both"/>
      </w:pPr>
      <w:r>
        <w:t xml:space="preserve">En ansökan som inte innehåller tillräckligt underlag för att visa att rättshjälpssökanden saknar möjlighet att bära kostnaderna </w:t>
      </w:r>
      <w:r w:rsidR="00896955">
        <w:t xml:space="preserve">för rättegången </w:t>
      </w:r>
      <w:r>
        <w:t>vid tribunalen kommer att avslås.</w:t>
      </w:r>
    </w:p>
    <w:p w14:paraId="156A43EB" w14:textId="77777777" w:rsidR="00E027D4" w:rsidRPr="0053338E" w:rsidRDefault="00E027D4" w:rsidP="00D03309">
      <w:pPr>
        <w:jc w:val="both"/>
      </w:pPr>
    </w:p>
    <w:p w14:paraId="28BC400D" w14:textId="77777777" w:rsidR="00D03309" w:rsidRPr="00D03309" w:rsidRDefault="00D03309" w:rsidP="00D03309">
      <w:pPr>
        <w:numPr>
          <w:ilvl w:val="0"/>
          <w:numId w:val="6"/>
        </w:numPr>
        <w:ind w:left="426" w:hanging="426"/>
        <w:jc w:val="both"/>
        <w:rPr>
          <w:b/>
          <w:i/>
        </w:rPr>
      </w:pPr>
      <w:r>
        <w:rPr>
          <w:b/>
          <w:i/>
        </w:rPr>
        <w:t>Ändamålet med den talan som rättshjälpssökanden avser att väcka</w:t>
      </w:r>
    </w:p>
    <w:p w14:paraId="58F1F69B" w14:textId="77777777" w:rsidR="00D03309" w:rsidRPr="0053338E" w:rsidRDefault="00D03309" w:rsidP="00D03309">
      <w:pPr>
        <w:jc w:val="both"/>
      </w:pPr>
    </w:p>
    <w:p w14:paraId="558E87E0" w14:textId="77777777" w:rsidR="00D03309" w:rsidRPr="00D03309" w:rsidRDefault="00D03309" w:rsidP="00D03309">
      <w:pPr>
        <w:jc w:val="both"/>
      </w:pPr>
      <w:r>
        <w:t xml:space="preserve">Om ansökan om rättshjälp ges in innan den talan som den avser har väckts, ska sökanden kortfattat redogöra för </w:t>
      </w:r>
      <w:r>
        <w:rPr>
          <w:b/>
          <w:bCs/>
        </w:rPr>
        <w:t>ändamålet med talan, de faktiska omständigheterna och de argument</w:t>
      </w:r>
      <w:r>
        <w:t xml:space="preserve"> som sökanden avser att anföra till stöd för sin talan. Formuläret om rättshjälp innehåller ett särskilt avsnitt för detta.</w:t>
      </w:r>
    </w:p>
    <w:p w14:paraId="57FF87F9" w14:textId="77777777" w:rsidR="00D03309" w:rsidRPr="0053338E" w:rsidRDefault="00D03309" w:rsidP="00D03309">
      <w:pPr>
        <w:jc w:val="both"/>
      </w:pPr>
    </w:p>
    <w:p w14:paraId="01102F02" w14:textId="14D85C31" w:rsidR="00D03309" w:rsidRPr="00D03309" w:rsidRDefault="00D03309" w:rsidP="00D03309">
      <w:pPr>
        <w:jc w:val="both"/>
      </w:pPr>
      <w:r>
        <w:t xml:space="preserve">En kopia av varje </w:t>
      </w:r>
      <w:r>
        <w:rPr>
          <w:b/>
          <w:bCs/>
        </w:rPr>
        <w:t>bestyrkande handling</w:t>
      </w:r>
      <w:r>
        <w:t xml:space="preserve"> som är av betydelse för bedömningen av huruvida talan kan tas upp till prövning och huruvida den är välgrundad ska bifogas. Det kan till exempel röra sig om skriftväxling mellan rättshjälpssökanden och den</w:t>
      </w:r>
      <w:r w:rsidR="00781B3C">
        <w:t xml:space="preserve"> som sökanden avser att väcka talan mot</w:t>
      </w:r>
      <w:r>
        <w:t xml:space="preserve"> eller, vid talan om ogiltigförklaring, det beslut som påstås vara rättsstridigt.</w:t>
      </w:r>
    </w:p>
    <w:p w14:paraId="64E80125" w14:textId="77777777" w:rsidR="00D03309" w:rsidRPr="0053338E" w:rsidRDefault="00D03309" w:rsidP="00D03309">
      <w:pPr>
        <w:jc w:val="both"/>
      </w:pPr>
    </w:p>
    <w:p w14:paraId="3380C2BB" w14:textId="77777777" w:rsidR="00D03309" w:rsidRDefault="00D03309" w:rsidP="00D03309">
      <w:pPr>
        <w:jc w:val="both"/>
      </w:pPr>
      <w:r>
        <w:t>Det korrekt ifyllda rättshjälpsformuläret och de bestyrkande handlingarna ska vara begripliga i sig.</w:t>
      </w:r>
    </w:p>
    <w:p w14:paraId="6DBB6084" w14:textId="77777777" w:rsidR="000F3419" w:rsidRPr="0053338E" w:rsidRDefault="000F3419" w:rsidP="00D03309">
      <w:pPr>
        <w:jc w:val="both"/>
      </w:pPr>
    </w:p>
    <w:p w14:paraId="487286F6" w14:textId="77777777" w:rsidR="00D03309" w:rsidRPr="00D03309" w:rsidRDefault="00D03309" w:rsidP="00D03309">
      <w:pPr>
        <w:numPr>
          <w:ilvl w:val="0"/>
          <w:numId w:val="6"/>
        </w:numPr>
        <w:ind w:left="426" w:hanging="426"/>
        <w:jc w:val="both"/>
        <w:rPr>
          <w:b/>
          <w:i/>
        </w:rPr>
      </w:pPr>
      <w:r>
        <w:rPr>
          <w:b/>
          <w:i/>
        </w:rPr>
        <w:t>Kompletteringar</w:t>
      </w:r>
    </w:p>
    <w:p w14:paraId="6CB0717E" w14:textId="77777777" w:rsidR="00D03309" w:rsidRPr="00D03309" w:rsidRDefault="00D03309" w:rsidP="00D03309">
      <w:pPr>
        <w:ind w:left="360" w:hanging="360"/>
        <w:jc w:val="both"/>
        <w:rPr>
          <w:lang w:val="fr-FR"/>
        </w:rPr>
      </w:pPr>
    </w:p>
    <w:p w14:paraId="47FEDEB7" w14:textId="2D5941AC" w:rsidR="00D03309" w:rsidRPr="00D03309" w:rsidRDefault="00D03309" w:rsidP="00D03309">
      <w:pPr>
        <w:jc w:val="both"/>
      </w:pPr>
      <w:r>
        <w:t>En ansökan om rättshjälp</w:t>
      </w:r>
      <w:r>
        <w:rPr>
          <w:b/>
          <w:bCs/>
        </w:rPr>
        <w:t xml:space="preserve"> kan inte kompletteras genom att ytterligare handlingar ges in vid ett senare tillfälle</w:t>
      </w:r>
      <w:r>
        <w:t>. Sådana handlingar kommer att återsändas såvida de inte har insänts på tribunalens begäran. Det är således viktigt att lämna alla nödvändiga upplysningar i formuläret och bifoga en kopia av alla handlingar som kan styrka dessa upplysningar.</w:t>
      </w:r>
    </w:p>
    <w:p w14:paraId="17B2FAB5" w14:textId="77777777" w:rsidR="00D03309" w:rsidRPr="0053338E" w:rsidRDefault="00D03309" w:rsidP="00D03309">
      <w:pPr>
        <w:jc w:val="both"/>
      </w:pPr>
    </w:p>
    <w:p w14:paraId="4848BEA1" w14:textId="5439298B" w:rsidR="00D03309" w:rsidRPr="00D03309" w:rsidRDefault="00D03309" w:rsidP="00D03309">
      <w:pPr>
        <w:jc w:val="both"/>
        <w:rPr>
          <w:b/>
          <w:bCs/>
        </w:rPr>
      </w:pPr>
      <w:r>
        <w:t>I undantagsfall kan dock handlingar till styrkande av att rättshjälpssökanden saknar medel godtas senare, om det finns en godtagbar förklaring till förseningen (punkt 264 i de praktiska genomförandebestämmelserna).</w:t>
      </w:r>
    </w:p>
    <w:p w14:paraId="29C60E44" w14:textId="77777777" w:rsidR="00D03309" w:rsidRPr="0053338E" w:rsidRDefault="00D03309" w:rsidP="00D03309">
      <w:pPr>
        <w:ind w:right="-622"/>
        <w:rPr>
          <w:b/>
          <w:bCs/>
        </w:rPr>
      </w:pPr>
    </w:p>
    <w:p w14:paraId="4400AA64" w14:textId="399CF676" w:rsidR="00852EFA" w:rsidRPr="0053338E" w:rsidRDefault="00852EFA" w:rsidP="00D03309">
      <w:pPr>
        <w:ind w:right="-622"/>
        <w:rPr>
          <w:b/>
          <w:bCs/>
        </w:rPr>
      </w:pPr>
    </w:p>
    <w:p w14:paraId="525DC27D" w14:textId="246BB9A7" w:rsidR="00D03309" w:rsidRPr="00D03309" w:rsidRDefault="00A05A3C" w:rsidP="00D03309">
      <w:pPr>
        <w:ind w:left="360" w:hanging="360"/>
        <w:jc w:val="both"/>
        <w:rPr>
          <w:b/>
        </w:rPr>
      </w:pPr>
      <w:r>
        <w:rPr>
          <w:b/>
        </w:rPr>
        <w:br w:type="page"/>
      </w:r>
      <w:r w:rsidR="00D03309">
        <w:rPr>
          <w:b/>
        </w:rPr>
        <w:lastRenderedPageBreak/>
        <w:t xml:space="preserve">6) </w:t>
      </w:r>
      <w:r w:rsidR="00D03309">
        <w:rPr>
          <w:b/>
        </w:rPr>
        <w:tab/>
        <w:t>Ingivande av ansökan</w:t>
      </w:r>
    </w:p>
    <w:p w14:paraId="71FB22F4" w14:textId="77777777" w:rsidR="00D03309" w:rsidRPr="00D03309" w:rsidRDefault="00D03309" w:rsidP="00D03309">
      <w:pPr>
        <w:ind w:left="360" w:hanging="360"/>
        <w:jc w:val="both"/>
        <w:rPr>
          <w:lang w:val="fr-FR"/>
        </w:rPr>
      </w:pPr>
    </w:p>
    <w:p w14:paraId="4A78D9E9"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Om ansökan ges in av rättshjälpssökanden själv</w:t>
      </w:r>
    </w:p>
    <w:p w14:paraId="194C8F72" w14:textId="77777777" w:rsidR="00D03309" w:rsidRPr="0053338E" w:rsidRDefault="00D03309" w:rsidP="00D03309">
      <w:pPr>
        <w:autoSpaceDE w:val="0"/>
        <w:autoSpaceDN w:val="0"/>
        <w:adjustRightInd w:val="0"/>
        <w:jc w:val="both"/>
        <w:rPr>
          <w:color w:val="000000"/>
          <w:lang w:eastAsia="fr-BE"/>
        </w:rPr>
      </w:pPr>
    </w:p>
    <w:p w14:paraId="2927CD0D" w14:textId="28403362" w:rsidR="00D03309" w:rsidRPr="00D03309" w:rsidRDefault="00D03309" w:rsidP="00D03309">
      <w:pPr>
        <w:autoSpaceDE w:val="0"/>
        <w:autoSpaceDN w:val="0"/>
        <w:adjustRightInd w:val="0"/>
        <w:jc w:val="both"/>
        <w:rPr>
          <w:color w:val="000000"/>
        </w:rPr>
      </w:pPr>
      <w:r>
        <w:rPr>
          <w:color w:val="000000"/>
        </w:rPr>
        <w:t xml:space="preserve">En rättshjälpssökande som inte företräds av advokat ska, </w:t>
      </w:r>
      <w:r w:rsidR="00473CF9">
        <w:rPr>
          <w:color w:val="000000"/>
        </w:rPr>
        <w:t xml:space="preserve">per </w:t>
      </w:r>
      <w:r>
        <w:rPr>
          <w:color w:val="000000"/>
        </w:rPr>
        <w:t xml:space="preserve">post eller direkt på plats, ge in ett korrekt ifyllt och undertecknat formulär i pappersform samt de i formuläret angivna bestyrkande handlingarna till tribunalens kansli, som har följande adress: </w:t>
      </w:r>
    </w:p>
    <w:p w14:paraId="76F22DE2" w14:textId="77777777" w:rsidR="00D03309" w:rsidRPr="00D03309" w:rsidRDefault="00D03309" w:rsidP="00D03309">
      <w:pPr>
        <w:autoSpaceDE w:val="0"/>
        <w:autoSpaceDN w:val="0"/>
        <w:adjustRightInd w:val="0"/>
        <w:jc w:val="both"/>
        <w:rPr>
          <w:color w:val="000000"/>
        </w:rPr>
      </w:pPr>
      <w:r>
        <w:rPr>
          <w:color w:val="000000"/>
        </w:rPr>
        <w:t xml:space="preserve"> </w:t>
      </w:r>
    </w:p>
    <w:p w14:paraId="43D71FDA" w14:textId="77777777" w:rsidR="00D03309" w:rsidRPr="0053338E" w:rsidRDefault="00D03309" w:rsidP="00D03309">
      <w:pPr>
        <w:jc w:val="center"/>
        <w:rPr>
          <w:lang w:val="fr-BE"/>
        </w:rPr>
      </w:pPr>
      <w:r w:rsidRPr="0053338E">
        <w:rPr>
          <w:lang w:val="fr-BE"/>
        </w:rPr>
        <w:t>Greffe du Tribunal de l’Union européenne</w:t>
      </w:r>
    </w:p>
    <w:p w14:paraId="2EEDC5A3" w14:textId="77777777" w:rsidR="00D03309" w:rsidRPr="0053338E" w:rsidRDefault="00D03309" w:rsidP="00D03309">
      <w:pPr>
        <w:jc w:val="center"/>
        <w:rPr>
          <w:lang w:val="de-DE"/>
        </w:rPr>
      </w:pPr>
      <w:r w:rsidRPr="0053338E">
        <w:rPr>
          <w:lang w:val="de-DE"/>
        </w:rPr>
        <w:t xml:space="preserve">Rue du Fort </w:t>
      </w:r>
      <w:proofErr w:type="spellStart"/>
      <w:r w:rsidRPr="0053338E">
        <w:rPr>
          <w:lang w:val="de-DE"/>
        </w:rPr>
        <w:t>Niedergrünewald</w:t>
      </w:r>
      <w:proofErr w:type="spellEnd"/>
    </w:p>
    <w:p w14:paraId="72C3D714" w14:textId="77777777" w:rsidR="00D03309" w:rsidRPr="0053338E" w:rsidRDefault="00D03309" w:rsidP="00D03309">
      <w:pPr>
        <w:jc w:val="center"/>
        <w:rPr>
          <w:lang w:val="de-DE"/>
        </w:rPr>
      </w:pPr>
      <w:r w:rsidRPr="0053338E">
        <w:rPr>
          <w:lang w:val="de-DE"/>
        </w:rPr>
        <w:t>L-2925 Luxembourg</w:t>
      </w:r>
    </w:p>
    <w:p w14:paraId="5E1F0470" w14:textId="77777777" w:rsidR="00D03309" w:rsidRPr="0053338E" w:rsidRDefault="00D03309" w:rsidP="00D03309">
      <w:pPr>
        <w:autoSpaceDE w:val="0"/>
        <w:autoSpaceDN w:val="0"/>
        <w:adjustRightInd w:val="0"/>
        <w:jc w:val="both"/>
        <w:rPr>
          <w:lang w:val="de-DE"/>
        </w:rPr>
      </w:pPr>
    </w:p>
    <w:p w14:paraId="66FA255C" w14:textId="7E1212A3" w:rsidR="007727F7" w:rsidRDefault="007727F7" w:rsidP="00D03309">
      <w:pPr>
        <w:autoSpaceDE w:val="0"/>
        <w:autoSpaceDN w:val="0"/>
        <w:adjustRightInd w:val="0"/>
        <w:jc w:val="both"/>
      </w:pPr>
      <w:r>
        <w:t xml:space="preserve">Formuläret ska vara </w:t>
      </w:r>
      <w:r>
        <w:rPr>
          <w:b/>
          <w:bCs/>
        </w:rPr>
        <w:t>egenhändigt undertecknat av rättshjälpssökanden</w:t>
      </w:r>
      <w:r>
        <w:t xml:space="preserve"> (</w:t>
      </w:r>
      <w:r w:rsidR="003F4CF2">
        <w:t>artikel </w:t>
      </w:r>
      <w:r>
        <w:t>147.6 i rättegångsreglerna och</w:t>
      </w:r>
      <w:r w:rsidR="003F4CF2">
        <w:t xml:space="preserve"> punkt </w:t>
      </w:r>
      <w:r>
        <w:t>257 i de praktiska genomförandebestämmelserna). Ett formulär som inte uppfyller kravet på egenhändig underskrift kommer inte att behandlas.</w:t>
      </w:r>
    </w:p>
    <w:p w14:paraId="2578311C" w14:textId="77777777" w:rsidR="00517656" w:rsidRPr="0053338E" w:rsidRDefault="00517656" w:rsidP="00D03309">
      <w:pPr>
        <w:autoSpaceDE w:val="0"/>
        <w:autoSpaceDN w:val="0"/>
        <w:adjustRightInd w:val="0"/>
        <w:jc w:val="both"/>
      </w:pPr>
    </w:p>
    <w:p w14:paraId="0F00CE39"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Om ansökan ges in av sökandens advokat</w:t>
      </w:r>
    </w:p>
    <w:p w14:paraId="2CF42C63" w14:textId="77777777" w:rsidR="00D03309" w:rsidRPr="0053338E" w:rsidRDefault="00D03309" w:rsidP="00D03309">
      <w:pPr>
        <w:autoSpaceDE w:val="0"/>
        <w:autoSpaceDN w:val="0"/>
        <w:adjustRightInd w:val="0"/>
        <w:jc w:val="both"/>
        <w:rPr>
          <w:color w:val="000000"/>
          <w:lang w:eastAsia="fr-BE"/>
        </w:rPr>
      </w:pPr>
    </w:p>
    <w:p w14:paraId="2E5796FA" w14:textId="7896ACAC" w:rsidR="00D03309" w:rsidRDefault="00D03309" w:rsidP="00D03309">
      <w:pPr>
        <w:autoSpaceDE w:val="0"/>
        <w:autoSpaceDN w:val="0"/>
        <w:adjustRightInd w:val="0"/>
        <w:jc w:val="both"/>
        <w:rPr>
          <w:color w:val="000000"/>
        </w:rPr>
      </w:pPr>
      <w:r>
        <w:rPr>
          <w:color w:val="000000"/>
        </w:rPr>
        <w:t>Om en rättshjälpssökande företräds av advokat när rättshjälpsformuläret ges in, ska advokaten ge in formuläret med hjälp av applikationen e-Curia, med iakttagande av de krav som följer av användarvillkoren för e-Curia (punkt 258 i de praktiska genomförandebestämmelserna).</w:t>
      </w:r>
    </w:p>
    <w:p w14:paraId="7147B375" w14:textId="2C6A90E9" w:rsidR="00823370" w:rsidRPr="0053338E" w:rsidRDefault="00823370" w:rsidP="00D03309">
      <w:pPr>
        <w:autoSpaceDE w:val="0"/>
        <w:autoSpaceDN w:val="0"/>
        <w:adjustRightInd w:val="0"/>
        <w:jc w:val="both"/>
        <w:rPr>
          <w:color w:val="000000"/>
          <w:lang w:eastAsia="fr-BE"/>
        </w:rPr>
      </w:pPr>
    </w:p>
    <w:p w14:paraId="0F4612EA" w14:textId="77777777" w:rsidR="00852EFA" w:rsidRPr="0053338E" w:rsidRDefault="00852EFA" w:rsidP="00D03309">
      <w:pPr>
        <w:autoSpaceDE w:val="0"/>
        <w:autoSpaceDN w:val="0"/>
        <w:adjustRightInd w:val="0"/>
        <w:jc w:val="both"/>
        <w:rPr>
          <w:color w:val="000000"/>
          <w:lang w:eastAsia="fr-BE"/>
        </w:rPr>
      </w:pPr>
    </w:p>
    <w:p w14:paraId="66BC8A02" w14:textId="77777777" w:rsidR="00D03309" w:rsidRPr="00D03309" w:rsidRDefault="00D03309" w:rsidP="00D03309">
      <w:pPr>
        <w:ind w:left="360" w:hanging="360"/>
        <w:jc w:val="both"/>
        <w:rPr>
          <w:b/>
        </w:rPr>
      </w:pPr>
      <w:r>
        <w:rPr>
          <w:b/>
        </w:rPr>
        <w:t>7)</w:t>
      </w:r>
      <w:r>
        <w:rPr>
          <w:b/>
        </w:rPr>
        <w:tab/>
        <w:t xml:space="preserve">Vad som gäller angående fristen för att väcka talan </w:t>
      </w:r>
    </w:p>
    <w:p w14:paraId="6A076E54" w14:textId="77777777" w:rsidR="00D03309" w:rsidRPr="0053338E" w:rsidRDefault="00D03309" w:rsidP="00D03309">
      <w:pPr>
        <w:jc w:val="both"/>
      </w:pPr>
    </w:p>
    <w:p w14:paraId="3A20732B" w14:textId="41FFED60" w:rsidR="00D03309" w:rsidRPr="00D03309" w:rsidRDefault="00D03309" w:rsidP="00D03309">
      <w:pPr>
        <w:jc w:val="both"/>
      </w:pPr>
      <w:r>
        <w:t>När en ansökan om rättshjälp ges in avbryts fristen för att väcka talan och börjar åter löpa från dagen för delgivning av det särskilt uppsatta beslut genom vilket ansökan prövats (nedan kallat beslutet om rättshjälp) eller, om rättshjälpssökanden i detta beslut inte har förordnats någon advokat, från dagen för delgivning av beslutet om att utse den advokat som ska företräda sökanden (nedan kallat beslutet om förordnande av advokat) (</w:t>
      </w:r>
      <w:r w:rsidR="003F4CF2">
        <w:t>artikel </w:t>
      </w:r>
      <w:r>
        <w:t xml:space="preserve">147.7 i rättegångsreglerna). </w:t>
      </w:r>
    </w:p>
    <w:p w14:paraId="09EF0C9F" w14:textId="77777777" w:rsidR="00D03309" w:rsidRPr="0053338E" w:rsidRDefault="00D03309" w:rsidP="00D03309">
      <w:pPr>
        <w:jc w:val="both"/>
      </w:pPr>
    </w:p>
    <w:p w14:paraId="32C3D4A1" w14:textId="39EFA0CE" w:rsidR="00D03309" w:rsidRPr="00D03309" w:rsidRDefault="00E7310F" w:rsidP="00D03309">
      <w:pPr>
        <w:jc w:val="both"/>
      </w:pPr>
      <w:r>
        <w:t>Fristen</w:t>
      </w:r>
      <w:r w:rsidR="00D03309">
        <w:t xml:space="preserve"> för att väcka talan löper således inte så länge en ansökan om rättshjälp är under prövning av tribunalen. </w:t>
      </w:r>
    </w:p>
    <w:p w14:paraId="1DC0E60E" w14:textId="77777777" w:rsidR="00D03309" w:rsidRPr="0053338E" w:rsidRDefault="00D03309" w:rsidP="00D03309">
      <w:pPr>
        <w:jc w:val="both"/>
      </w:pPr>
    </w:p>
    <w:p w14:paraId="0C465818" w14:textId="3BEA90B1" w:rsidR="00D03309" w:rsidRPr="00D03309" w:rsidRDefault="00D03309" w:rsidP="00D03309">
      <w:pPr>
        <w:jc w:val="both"/>
      </w:pPr>
      <w:r>
        <w:t>Efter delgivningen av beslutet om rättshjälp eller, om rättshjälpssökanden i detta beslut inte har förordnats någon advokat, efter delgivningen av beslutet om förordnande av advokat,</w:t>
      </w:r>
      <w:r>
        <w:rPr>
          <w:b/>
          <w:bCs/>
        </w:rPr>
        <w:t xml:space="preserve"> kan den tid som återstår av fristen för att väcka talan komma att bli synnerligen kort</w:t>
      </w:r>
      <w:r>
        <w:t xml:space="preserve">. Rättshjälpsmottagarna – företrädda av advokat enligt gällande regler – rekommenderas därför att vara </w:t>
      </w:r>
      <w:r>
        <w:rPr>
          <w:b/>
          <w:bCs/>
        </w:rPr>
        <w:t>särskilt uppmärksamma, så att den föreskrivna fristen inte överskrids</w:t>
      </w:r>
      <w:r>
        <w:t xml:space="preserve"> (punkt 265 i de praktiska genomförandebestämmelserna).</w:t>
      </w:r>
    </w:p>
    <w:p w14:paraId="01AE3C42" w14:textId="77777777" w:rsidR="00D03309" w:rsidRPr="0053338E" w:rsidRDefault="00D03309" w:rsidP="00D03309">
      <w:pPr>
        <w:ind w:right="-622"/>
        <w:rPr>
          <w:b/>
          <w:bCs/>
        </w:rPr>
      </w:pPr>
    </w:p>
    <w:p w14:paraId="144A518C" w14:textId="77777777" w:rsidR="00572FBF" w:rsidRPr="0053338E" w:rsidRDefault="00572FBF" w:rsidP="00D03309">
      <w:pPr>
        <w:ind w:right="-622"/>
        <w:rPr>
          <w:b/>
          <w:bCs/>
        </w:rPr>
      </w:pPr>
    </w:p>
    <w:p w14:paraId="022729BA" w14:textId="04E5581D" w:rsidR="00D03309" w:rsidRPr="00D03309" w:rsidRDefault="00FA4D0F" w:rsidP="00FA4D0F">
      <w:pPr>
        <w:ind w:left="284" w:right="-622" w:hanging="284"/>
        <w:rPr>
          <w:b/>
          <w:bCs/>
        </w:rPr>
      </w:pPr>
      <w:r>
        <w:rPr>
          <w:b/>
        </w:rPr>
        <w:t>8)</w:t>
      </w:r>
      <w:r>
        <w:rPr>
          <w:b/>
        </w:rPr>
        <w:tab/>
        <w:t xml:space="preserve"> Ytterligare precisering</w:t>
      </w:r>
      <w:r w:rsidR="004E3FEB">
        <w:rPr>
          <w:b/>
        </w:rPr>
        <w:t>ar</w:t>
      </w:r>
    </w:p>
    <w:p w14:paraId="33788216" w14:textId="77777777" w:rsidR="00D03309" w:rsidRPr="0053338E" w:rsidRDefault="00D03309" w:rsidP="00D03309">
      <w:pPr>
        <w:ind w:left="360" w:right="-622" w:hanging="360"/>
      </w:pPr>
    </w:p>
    <w:p w14:paraId="312364B5" w14:textId="30BDAB0C" w:rsidR="00D03309" w:rsidRDefault="00D03309" w:rsidP="00D03309">
      <w:pPr>
        <w:jc w:val="both"/>
      </w:pPr>
      <w:r>
        <w:t>Originalen till bestyrkande handlingar som ges in kommer inte att återsändas. Tribunalen rekommenderar därför att rättshjälpssökanden ger in kopior av bestyrkande handlingar.</w:t>
      </w:r>
    </w:p>
    <w:p w14:paraId="35DB2EA6" w14:textId="77777777" w:rsidR="00DB18BD" w:rsidRPr="0053338E" w:rsidRDefault="00DB18BD" w:rsidP="00D03309">
      <w:pPr>
        <w:jc w:val="both"/>
      </w:pPr>
    </w:p>
    <w:p w14:paraId="3499674E" w14:textId="3E5BA0FB" w:rsidR="00DB18BD" w:rsidRPr="00852EFA" w:rsidRDefault="00DB18BD" w:rsidP="00D03309">
      <w:pPr>
        <w:jc w:val="both"/>
      </w:pPr>
      <w:r>
        <w:rPr>
          <w:b/>
          <w:bCs/>
        </w:rPr>
        <w:lastRenderedPageBreak/>
        <w:t>Om rättshjälpssökanden ger in en ny ansökan som inte grundas på några nya omständigheter, kommer ansökan inte att registreras och sökanden ska underrättas om detta</w:t>
      </w:r>
      <w:r>
        <w:t xml:space="preserve"> (punkt 263 i de praktiska de praktiska genomförandebestämmelserna).</w:t>
      </w:r>
    </w:p>
    <w:p w14:paraId="7C1CDC5F" w14:textId="77777777" w:rsidR="00D03309" w:rsidRPr="00D03309" w:rsidRDefault="00D03309" w:rsidP="00D03309">
      <w:pPr>
        <w:jc w:val="both"/>
      </w:pPr>
      <w:r>
        <w:br w:type="page"/>
      </w:r>
    </w:p>
    <w:p w14:paraId="7A3F1BD3" w14:textId="77777777" w:rsidR="00D03309" w:rsidRPr="00D03309" w:rsidRDefault="00D03309" w:rsidP="00D03309">
      <w:pPr>
        <w:spacing w:after="240"/>
        <w:jc w:val="center"/>
        <w:rPr>
          <w:b/>
          <w:sz w:val="28"/>
          <w:szCs w:val="28"/>
        </w:rPr>
      </w:pPr>
      <w:r>
        <w:rPr>
          <w:b/>
          <w:sz w:val="28"/>
        </w:rPr>
        <w:t>ANSÖKAN OM RÄTTSHJÄLP</w:t>
      </w:r>
    </w:p>
    <w:p w14:paraId="621B5C78" w14:textId="77777777" w:rsidR="00D03309" w:rsidRPr="0053338E" w:rsidRDefault="00D03309" w:rsidP="00D03309">
      <w:pPr>
        <w:jc w:val="center"/>
        <w:rPr>
          <w:b/>
        </w:rPr>
      </w:pPr>
    </w:p>
    <w:p w14:paraId="4EB75A4F" w14:textId="77777777" w:rsidR="00D03309" w:rsidRPr="00D03309" w:rsidRDefault="00D03309" w:rsidP="00D03309">
      <w:pPr>
        <w:jc w:val="center"/>
        <w:rPr>
          <w:b/>
        </w:rPr>
      </w:pPr>
      <w:r>
        <w:rPr>
          <w:b/>
        </w:rPr>
        <w:t>RÄTTSHJÄLPSSÖKANDE</w:t>
      </w:r>
    </w:p>
    <w:p w14:paraId="6B10660F" w14:textId="77777777" w:rsidR="00D03309" w:rsidRPr="0053338E" w:rsidRDefault="00D03309" w:rsidP="00D03309">
      <w:pPr>
        <w:jc w:val="center"/>
        <w:rPr>
          <w:b/>
        </w:rPr>
      </w:pPr>
    </w:p>
    <w:p w14:paraId="6F2833B9" w14:textId="77777777" w:rsidR="00D03309" w:rsidRPr="00D03309" w:rsidRDefault="00D03309" w:rsidP="00D03309">
      <w:pPr>
        <w:jc w:val="center"/>
        <w:rPr>
          <w:b/>
        </w:rPr>
      </w:pPr>
      <w:r>
        <w:rPr>
          <w:b/>
        </w:rPr>
        <w:t>FYSISK PERSON</w:t>
      </w:r>
    </w:p>
    <w:p w14:paraId="74553E29" w14:textId="77777777" w:rsidR="00D03309" w:rsidRPr="0053338E" w:rsidRDefault="00D03309" w:rsidP="00D03309"/>
    <w:p w14:paraId="053E91C6" w14:textId="77777777" w:rsidR="00D03309" w:rsidRPr="0053338E" w:rsidRDefault="00D03309" w:rsidP="00D03309"/>
    <w:tbl>
      <w:tblPr>
        <w:tblW w:w="0" w:type="auto"/>
        <w:tblLook w:val="01E0" w:firstRow="1" w:lastRow="1" w:firstColumn="1" w:lastColumn="1" w:noHBand="0" w:noVBand="0"/>
      </w:tblPr>
      <w:tblGrid>
        <w:gridCol w:w="2302"/>
        <w:gridCol w:w="2302"/>
        <w:gridCol w:w="4604"/>
      </w:tblGrid>
      <w:tr w:rsidR="00D03309" w:rsidRPr="00D03309" w14:paraId="29E50298" w14:textId="77777777" w:rsidTr="003C493C">
        <w:trPr>
          <w:trHeight w:val="510"/>
        </w:trPr>
        <w:tc>
          <w:tcPr>
            <w:tcW w:w="2302" w:type="dxa"/>
          </w:tcPr>
          <w:p w14:paraId="4C6B1B8A" w14:textId="7757AF8B" w:rsidR="00D03309" w:rsidRPr="00D03309" w:rsidRDefault="00D03309" w:rsidP="00D03309">
            <w:pPr>
              <w:tabs>
                <w:tab w:val="left" w:pos="2835"/>
              </w:tabs>
            </w:pPr>
            <w:r>
              <w:t xml:space="preserve">Fru </w:t>
            </w:r>
            <w:r w:rsidR="00351115">
              <w:fldChar w:fldCharType="begin"/>
            </w:r>
            <w:r w:rsidR="00351115">
              <w:instrText xml:space="preserve"> FORMCHEC</w:instrText>
            </w:r>
            <w:r w:rsidR="00351115">
              <w:instrText xml:space="preserve">KBOX </w:instrText>
            </w:r>
            <w:r w:rsidR="00351115">
              <w:fldChar w:fldCharType="separate"/>
            </w:r>
            <w:r w:rsidR="00351115">
              <w:fldChar w:fldCharType="end"/>
            </w:r>
          </w:p>
        </w:tc>
        <w:tc>
          <w:tcPr>
            <w:tcW w:w="2302" w:type="dxa"/>
          </w:tcPr>
          <w:p w14:paraId="440C6954" w14:textId="79F64C92" w:rsidR="00D03309" w:rsidRPr="00D03309" w:rsidRDefault="00D03309" w:rsidP="00D03309">
            <w:pPr>
              <w:tabs>
                <w:tab w:val="left" w:pos="2835"/>
              </w:tabs>
            </w:pPr>
            <w:r>
              <w:t xml:space="preserve">Herr </w:t>
            </w:r>
            <w:r w:rsidR="00351115">
              <w:fldChar w:fldCharType="begin"/>
            </w:r>
            <w:r w:rsidR="00351115">
              <w:instrText xml:space="preserve"> FORMCHECKBOX </w:instrText>
            </w:r>
            <w:r w:rsidR="00351115">
              <w:fldChar w:fldCharType="separate"/>
            </w:r>
            <w:r w:rsidR="00351115">
              <w:fldChar w:fldCharType="end"/>
            </w:r>
          </w:p>
        </w:tc>
        <w:tc>
          <w:tcPr>
            <w:tcW w:w="4604" w:type="dxa"/>
          </w:tcPr>
          <w:p w14:paraId="2B31A072" w14:textId="77777777" w:rsidR="00D03309" w:rsidRPr="00D03309" w:rsidRDefault="00D03309" w:rsidP="00D03309">
            <w:pPr>
              <w:rPr>
                <w:lang w:val="fr-FR"/>
              </w:rPr>
            </w:pPr>
          </w:p>
        </w:tc>
      </w:tr>
      <w:tr w:rsidR="00D03309" w:rsidRPr="00D03309" w14:paraId="30F39C63" w14:textId="77777777" w:rsidTr="003C493C">
        <w:trPr>
          <w:trHeight w:val="510"/>
        </w:trPr>
        <w:tc>
          <w:tcPr>
            <w:tcW w:w="9208" w:type="dxa"/>
            <w:gridSpan w:val="3"/>
          </w:tcPr>
          <w:p w14:paraId="51A13824" w14:textId="78E47E96" w:rsidR="00D03309" w:rsidRPr="00D03309" w:rsidRDefault="00D03309">
            <w:pPr>
              <w:tabs>
                <w:tab w:val="left" w:pos="8992"/>
                <w:tab w:val="left" w:pos="11340"/>
              </w:tabs>
              <w:jc w:val="both"/>
            </w:pPr>
            <w:r>
              <w:t xml:space="preserve">Efternamn: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3DEABC68" w14:textId="77777777" w:rsidTr="003C493C">
        <w:trPr>
          <w:trHeight w:val="510"/>
        </w:trPr>
        <w:tc>
          <w:tcPr>
            <w:tcW w:w="9208" w:type="dxa"/>
            <w:gridSpan w:val="3"/>
          </w:tcPr>
          <w:p w14:paraId="0CC35D9B" w14:textId="70D942F1" w:rsidR="00D03309" w:rsidRPr="00D03309" w:rsidRDefault="00724E76" w:rsidP="00D03309">
            <w:pPr>
              <w:tabs>
                <w:tab w:val="left" w:pos="8992"/>
                <w:tab w:val="left" w:leader="dot" w:pos="28350"/>
              </w:tabs>
            </w:pPr>
            <w:r>
              <w:t xml:space="preserve">Samtliga förnamn (markera tilltalsnamn): </w:t>
            </w:r>
            <w:r w:rsidR="00D03309" w:rsidRPr="00D03309">
              <w:rPr>
                <w:u w:val="dotted"/>
              </w:rPr>
              <w:fldChar w:fldCharType="begin" w:fldLock="1">
                <w:ffData>
                  <w:name w:val="Text4"/>
                  <w:enabled/>
                  <w:calcOnExit w:val="0"/>
                  <w:textInput>
                    <w:maxLength w:val="75"/>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r w:rsidR="00D03309" w:rsidRPr="00D03309" w14:paraId="57A87B7D" w14:textId="77777777" w:rsidTr="003C493C">
        <w:trPr>
          <w:trHeight w:val="510"/>
        </w:trPr>
        <w:tc>
          <w:tcPr>
            <w:tcW w:w="9208" w:type="dxa"/>
            <w:gridSpan w:val="3"/>
          </w:tcPr>
          <w:p w14:paraId="714AA4FD" w14:textId="59E9FA88" w:rsidR="00D03309" w:rsidRPr="00D03309" w:rsidRDefault="00D03309" w:rsidP="00D03309">
            <w:pPr>
              <w:tabs>
                <w:tab w:val="left" w:pos="8992"/>
              </w:tabs>
            </w:pPr>
            <w:r>
              <w:t xml:space="preserve">Adress: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9766339" w14:textId="77777777" w:rsidTr="003C493C">
        <w:trPr>
          <w:trHeight w:val="510"/>
        </w:trPr>
        <w:tc>
          <w:tcPr>
            <w:tcW w:w="4604" w:type="dxa"/>
            <w:gridSpan w:val="2"/>
          </w:tcPr>
          <w:p w14:paraId="759654BB" w14:textId="003D0B4D" w:rsidR="00D03309" w:rsidRPr="00D03309" w:rsidRDefault="00D03309" w:rsidP="00D03309">
            <w:pPr>
              <w:tabs>
                <w:tab w:val="left" w:pos="4100"/>
                <w:tab w:val="left" w:leader="dot" w:pos="4200"/>
              </w:tabs>
              <w:ind w:right="88"/>
            </w:pPr>
            <w:r>
              <w:t xml:space="preserve">Postnummer: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tcPr>
          <w:p w14:paraId="233D8079" w14:textId="40E73EEC" w:rsidR="00D03309" w:rsidRPr="00D03309" w:rsidRDefault="00D03309" w:rsidP="00D03309">
            <w:pPr>
              <w:tabs>
                <w:tab w:val="left" w:pos="4388"/>
              </w:tabs>
            </w:pPr>
            <w:r>
              <w:t xml:space="preserve">Ort: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4C3DAFE8" w14:textId="77777777" w:rsidTr="003C493C">
        <w:trPr>
          <w:trHeight w:val="510"/>
        </w:trPr>
        <w:tc>
          <w:tcPr>
            <w:tcW w:w="9208" w:type="dxa"/>
            <w:gridSpan w:val="3"/>
          </w:tcPr>
          <w:p w14:paraId="1DC93D34" w14:textId="0265B530" w:rsidR="00D03309" w:rsidRPr="00D03309" w:rsidRDefault="00D03309" w:rsidP="00D03309">
            <w:pPr>
              <w:tabs>
                <w:tab w:val="left" w:pos="8992"/>
              </w:tabs>
            </w:pPr>
            <w:r>
              <w:t xml:space="preserve">Land: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74A8338" w14:textId="77777777" w:rsidTr="003C493C">
        <w:trPr>
          <w:trHeight w:val="510"/>
        </w:trPr>
        <w:tc>
          <w:tcPr>
            <w:tcW w:w="9208" w:type="dxa"/>
            <w:gridSpan w:val="3"/>
          </w:tcPr>
          <w:p w14:paraId="75924413" w14:textId="12E49EF3" w:rsidR="00D03309" w:rsidRPr="00D03309" w:rsidRDefault="00D03309" w:rsidP="00D03309">
            <w:pPr>
              <w:tabs>
                <w:tab w:val="left" w:pos="8992"/>
              </w:tabs>
            </w:pPr>
            <w:r>
              <w:t xml:space="preserve">Telefon (frivilligt):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BA7029" w:rsidRPr="00BF08A2" w14:paraId="0B638C61" w14:textId="77777777" w:rsidTr="003C493C">
        <w:trPr>
          <w:trHeight w:val="510"/>
        </w:trPr>
        <w:tc>
          <w:tcPr>
            <w:tcW w:w="9208" w:type="dxa"/>
            <w:gridSpan w:val="3"/>
          </w:tcPr>
          <w:p w14:paraId="5098A7A0" w14:textId="149A4DC5" w:rsidR="00BA7029" w:rsidRPr="00BF08A2" w:rsidRDefault="00BA7029" w:rsidP="00473CF9">
            <w:pPr>
              <w:tabs>
                <w:tab w:val="left" w:pos="8992"/>
              </w:tabs>
            </w:pPr>
            <w:r>
              <w:t>E-post (frivillig</w:t>
            </w:r>
            <w:r w:rsidR="00473CF9">
              <w:t>t</w:t>
            </w:r>
            <w:r>
              <w:t>): ……………………………………</w:t>
            </w:r>
          </w:p>
        </w:tc>
      </w:tr>
      <w:tr w:rsidR="00D03309" w:rsidRPr="000611CE" w14:paraId="6434A23C" w14:textId="77777777" w:rsidTr="003C493C">
        <w:trPr>
          <w:trHeight w:val="510"/>
        </w:trPr>
        <w:tc>
          <w:tcPr>
            <w:tcW w:w="9208" w:type="dxa"/>
            <w:gridSpan w:val="3"/>
          </w:tcPr>
          <w:p w14:paraId="050D2442" w14:textId="67B27FB5" w:rsidR="00D03309" w:rsidRPr="00D03309" w:rsidRDefault="00D03309" w:rsidP="00D03309">
            <w:pPr>
              <w:tabs>
                <w:tab w:val="left" w:pos="8992"/>
              </w:tabs>
            </w:pPr>
            <w:r>
              <w:t xml:space="preserve">Nuvarande yrke eller sysselsättning: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bl>
    <w:p w14:paraId="5240C2B8" w14:textId="77777777" w:rsidR="00D03309" w:rsidRPr="00D03309" w:rsidRDefault="00D03309" w:rsidP="00D03309">
      <w:pPr>
        <w:rPr>
          <w:lang w:val="fr-FR"/>
        </w:rPr>
      </w:pPr>
    </w:p>
    <w:p w14:paraId="197AEE67" w14:textId="77777777" w:rsidR="00D03309" w:rsidRPr="00D03309" w:rsidRDefault="00D03309" w:rsidP="00D03309">
      <w:pPr>
        <w:jc w:val="center"/>
        <w:rPr>
          <w:b/>
        </w:rPr>
      </w:pPr>
      <w:r>
        <w:rPr>
          <w:b/>
        </w:rPr>
        <w:t>JURIDISK PERSON</w:t>
      </w:r>
      <w:r w:rsidRPr="002B71D4">
        <w:rPr>
          <w:b/>
          <w:vertAlign w:val="superscript"/>
          <w:lang w:val="fr-FR"/>
        </w:rPr>
        <w:footnoteReference w:id="3"/>
      </w:r>
    </w:p>
    <w:p w14:paraId="1C18ABEE" w14:textId="77777777" w:rsidR="00D03309" w:rsidRPr="00D03309" w:rsidRDefault="00D03309" w:rsidP="00D03309">
      <w:pPr>
        <w:rPr>
          <w:lang w:val="fr-FR"/>
        </w:rPr>
      </w:pPr>
    </w:p>
    <w:tbl>
      <w:tblPr>
        <w:tblW w:w="0" w:type="auto"/>
        <w:tblLook w:val="01E0" w:firstRow="1" w:lastRow="1" w:firstColumn="1" w:lastColumn="1" w:noHBand="0" w:noVBand="0"/>
      </w:tblPr>
      <w:tblGrid>
        <w:gridCol w:w="3069"/>
        <w:gridCol w:w="1535"/>
        <w:gridCol w:w="1534"/>
        <w:gridCol w:w="3070"/>
      </w:tblGrid>
      <w:tr w:rsidR="00D03309" w:rsidRPr="00D03309" w14:paraId="03BDB9E8" w14:textId="77777777" w:rsidTr="003C493C">
        <w:trPr>
          <w:trHeight w:val="510"/>
        </w:trPr>
        <w:tc>
          <w:tcPr>
            <w:tcW w:w="9208" w:type="dxa"/>
            <w:gridSpan w:val="4"/>
          </w:tcPr>
          <w:p w14:paraId="79887A03" w14:textId="45DA32C6" w:rsidR="00D03309" w:rsidRPr="00D03309" w:rsidRDefault="00D03309">
            <w:pPr>
              <w:tabs>
                <w:tab w:val="left" w:pos="8992"/>
                <w:tab w:val="left" w:pos="11340"/>
              </w:tabs>
              <w:jc w:val="both"/>
            </w:pPr>
            <w:r>
              <w:t xml:space="preserve">Firma: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0A5D441" w14:textId="77777777" w:rsidTr="003C493C">
        <w:trPr>
          <w:trHeight w:val="510"/>
        </w:trPr>
        <w:tc>
          <w:tcPr>
            <w:tcW w:w="9208" w:type="dxa"/>
            <w:gridSpan w:val="4"/>
          </w:tcPr>
          <w:p w14:paraId="2091B3A7" w14:textId="5EDA9E9C" w:rsidR="00D03309" w:rsidRPr="00D03309" w:rsidRDefault="00D03309" w:rsidP="00793E4D">
            <w:pPr>
              <w:tabs>
                <w:tab w:val="left" w:pos="8992"/>
              </w:tabs>
            </w:pPr>
            <w:r>
              <w:t xml:space="preserve">Rättslig form: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31B36813" w14:textId="77777777" w:rsidTr="003C493C">
        <w:trPr>
          <w:trHeight w:val="510"/>
        </w:trPr>
        <w:tc>
          <w:tcPr>
            <w:tcW w:w="3069" w:type="dxa"/>
          </w:tcPr>
          <w:p w14:paraId="44CC7923" w14:textId="7BF3EB9A" w:rsidR="00D03309" w:rsidRPr="00D03309" w:rsidRDefault="00D03309" w:rsidP="00ED4CF3">
            <w:pPr>
              <w:tabs>
                <w:tab w:val="left" w:pos="8992"/>
              </w:tabs>
            </w:pPr>
            <w:r>
              <w:t xml:space="preserve">Vinstdrivande </w:t>
            </w:r>
            <w:r w:rsidR="00ED4CF3">
              <w:t>verksamhet</w:t>
            </w:r>
            <w:r>
              <w:t>:</w:t>
            </w:r>
          </w:p>
        </w:tc>
        <w:tc>
          <w:tcPr>
            <w:tcW w:w="3069" w:type="dxa"/>
            <w:gridSpan w:val="2"/>
          </w:tcPr>
          <w:p w14:paraId="734FFE0A" w14:textId="0403A7DC" w:rsidR="00D03309" w:rsidRPr="00D03309" w:rsidRDefault="00D03309" w:rsidP="00793E4D">
            <w:pPr>
              <w:tabs>
                <w:tab w:val="left" w:pos="8992"/>
              </w:tabs>
            </w:pPr>
            <w:r w:rsidRPr="00D03309">
              <w:rPr>
                <w:rFonts w:ascii="Arial" w:hAnsi="Arial" w:cs="Arial"/>
              </w:rPr>
              <w:fldChar w:fldCharType="begin">
                <w:ffData>
                  <w:name w:val=""/>
                  <w:enabled/>
                  <w:calcOnExit w:val="0"/>
                  <w:checkBox>
                    <w:sizeAuto/>
                    <w:default w:val="0"/>
                  </w:checkBox>
                </w:ffData>
              </w:fldChar>
            </w:r>
            <w:r w:rsidRPr="00D03309">
              <w:rPr>
                <w:rFonts w:ascii="Arial" w:hAnsi="Arial" w:cs="Arial"/>
              </w:rPr>
              <w:instrText xml:space="preserve"> FORMCHECKBOX </w:instrText>
            </w:r>
            <w:r w:rsidR="00351115">
              <w:rPr>
                <w:rFonts w:ascii="Arial" w:hAnsi="Arial" w:cs="Arial"/>
              </w:rPr>
            </w:r>
            <w:r w:rsidR="00351115">
              <w:rPr>
                <w:rFonts w:ascii="Arial" w:hAnsi="Arial" w:cs="Arial"/>
              </w:rPr>
              <w:fldChar w:fldCharType="separate"/>
            </w:r>
            <w:r w:rsidRPr="00D03309">
              <w:rPr>
                <w:rFonts w:ascii="Arial" w:hAnsi="Arial" w:cs="Arial"/>
              </w:rPr>
              <w:fldChar w:fldCharType="end"/>
            </w:r>
            <w:r>
              <w:t xml:space="preserve"> Ja</w:t>
            </w:r>
          </w:p>
        </w:tc>
        <w:tc>
          <w:tcPr>
            <w:tcW w:w="3070" w:type="dxa"/>
          </w:tcPr>
          <w:p w14:paraId="5ED1CD07" w14:textId="1B4B4697" w:rsidR="00D03309" w:rsidRPr="00D03309" w:rsidRDefault="00D03309">
            <w:pPr>
              <w:tabs>
                <w:tab w:val="left" w:pos="8992"/>
              </w:tabs>
            </w:pPr>
            <w:r w:rsidRPr="00D03309">
              <w:rPr>
                <w:rFonts w:ascii="Arial" w:hAnsi="Arial" w:cs="Arial"/>
              </w:rPr>
              <w:fldChar w:fldCharType="begin">
                <w:ffData>
                  <w:name w:val="Check1"/>
                  <w:enabled/>
                  <w:calcOnExit w:val="0"/>
                  <w:checkBox>
                    <w:sizeAuto/>
                    <w:default w:val="0"/>
                  </w:checkBox>
                </w:ffData>
              </w:fldChar>
            </w:r>
            <w:r w:rsidRPr="00D03309">
              <w:rPr>
                <w:rFonts w:ascii="Arial" w:hAnsi="Arial" w:cs="Arial"/>
              </w:rPr>
              <w:instrText xml:space="preserve"> FORMCHECKBOX </w:instrText>
            </w:r>
            <w:r w:rsidR="00351115">
              <w:rPr>
                <w:rFonts w:ascii="Arial" w:hAnsi="Arial" w:cs="Arial"/>
              </w:rPr>
            </w:r>
            <w:r w:rsidR="00351115">
              <w:rPr>
                <w:rFonts w:ascii="Arial" w:hAnsi="Arial" w:cs="Arial"/>
              </w:rPr>
              <w:fldChar w:fldCharType="separate"/>
            </w:r>
            <w:r w:rsidRPr="00D03309">
              <w:rPr>
                <w:rFonts w:ascii="Arial" w:hAnsi="Arial" w:cs="Arial"/>
              </w:rPr>
              <w:fldChar w:fldCharType="end"/>
            </w:r>
            <w:r>
              <w:t xml:space="preserve"> Nej</w:t>
            </w:r>
          </w:p>
        </w:tc>
      </w:tr>
      <w:tr w:rsidR="00D03309" w:rsidRPr="00D03309" w14:paraId="551BC623" w14:textId="77777777" w:rsidTr="003C493C">
        <w:trPr>
          <w:trHeight w:val="510"/>
        </w:trPr>
        <w:tc>
          <w:tcPr>
            <w:tcW w:w="9208" w:type="dxa"/>
            <w:gridSpan w:val="4"/>
          </w:tcPr>
          <w:p w14:paraId="4AAC7545" w14:textId="31DFD404" w:rsidR="00D03309" w:rsidRPr="00D03309" w:rsidRDefault="00D03309" w:rsidP="00D03309">
            <w:pPr>
              <w:tabs>
                <w:tab w:val="left" w:pos="8992"/>
              </w:tabs>
            </w:pPr>
            <w:r>
              <w:t xml:space="preserve">Adress: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F698BE1" w14:textId="77777777" w:rsidTr="003C493C">
        <w:trPr>
          <w:trHeight w:val="510"/>
        </w:trPr>
        <w:tc>
          <w:tcPr>
            <w:tcW w:w="4604" w:type="dxa"/>
            <w:gridSpan w:val="2"/>
          </w:tcPr>
          <w:p w14:paraId="258D0009" w14:textId="72D56A07" w:rsidR="00D03309" w:rsidRPr="00D03309" w:rsidRDefault="00D03309" w:rsidP="00D03309">
            <w:pPr>
              <w:tabs>
                <w:tab w:val="left" w:pos="4100"/>
                <w:tab w:val="left" w:leader="dot" w:pos="4200"/>
              </w:tabs>
              <w:ind w:right="88"/>
            </w:pPr>
            <w:r>
              <w:t xml:space="preserve">Postnummer: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gridSpan w:val="2"/>
          </w:tcPr>
          <w:p w14:paraId="2D473283" w14:textId="005180D0" w:rsidR="00D03309" w:rsidRPr="00D03309" w:rsidRDefault="00D03309" w:rsidP="00D03309">
            <w:pPr>
              <w:tabs>
                <w:tab w:val="left" w:pos="4388"/>
              </w:tabs>
            </w:pPr>
            <w:r>
              <w:t xml:space="preserve">Ort: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2E309987" w14:textId="77777777" w:rsidTr="003C493C">
        <w:trPr>
          <w:trHeight w:val="510"/>
        </w:trPr>
        <w:tc>
          <w:tcPr>
            <w:tcW w:w="9208" w:type="dxa"/>
            <w:gridSpan w:val="4"/>
          </w:tcPr>
          <w:p w14:paraId="2F280ABC" w14:textId="51C75F30" w:rsidR="00D03309" w:rsidRPr="00D03309" w:rsidRDefault="00D03309" w:rsidP="00D03309">
            <w:pPr>
              <w:tabs>
                <w:tab w:val="left" w:pos="8992"/>
              </w:tabs>
            </w:pPr>
            <w:r>
              <w:t xml:space="preserve">Land: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27A4BEAD" w14:textId="77777777" w:rsidTr="003C493C">
        <w:trPr>
          <w:trHeight w:val="510"/>
        </w:trPr>
        <w:tc>
          <w:tcPr>
            <w:tcW w:w="9208" w:type="dxa"/>
            <w:gridSpan w:val="4"/>
          </w:tcPr>
          <w:p w14:paraId="197E919C" w14:textId="689B940C" w:rsidR="00D03309" w:rsidRPr="00D03309" w:rsidRDefault="00D03309" w:rsidP="00D03309">
            <w:pPr>
              <w:tabs>
                <w:tab w:val="left" w:pos="8992"/>
              </w:tabs>
            </w:pPr>
            <w:r>
              <w:t xml:space="preserve">Telefon (frivilligt):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BA7029" w:rsidRPr="00BF08A2" w14:paraId="3B0F9B52" w14:textId="77777777" w:rsidTr="003C493C">
        <w:trPr>
          <w:trHeight w:val="510"/>
        </w:trPr>
        <w:tc>
          <w:tcPr>
            <w:tcW w:w="9208" w:type="dxa"/>
            <w:gridSpan w:val="4"/>
          </w:tcPr>
          <w:p w14:paraId="7633C4BE" w14:textId="49957943" w:rsidR="00BA7029" w:rsidRPr="00BF08A2" w:rsidRDefault="00BA7029" w:rsidP="00E23585">
            <w:pPr>
              <w:tabs>
                <w:tab w:val="left" w:pos="8992"/>
              </w:tabs>
            </w:pPr>
            <w:r>
              <w:t>E-post (frivillig</w:t>
            </w:r>
            <w:r w:rsidR="00E23585">
              <w:t>t</w:t>
            </w:r>
            <w:r>
              <w:t>):…………………………… …………………………………....</w:t>
            </w:r>
          </w:p>
        </w:tc>
      </w:tr>
    </w:tbl>
    <w:p w14:paraId="60C65AA6" w14:textId="49BC449C" w:rsidR="00D03309" w:rsidRPr="00D03309" w:rsidRDefault="00D03309" w:rsidP="00D03309">
      <w:pPr>
        <w:jc w:val="center"/>
        <w:rPr>
          <w:b/>
          <w:bCs/>
        </w:rPr>
      </w:pPr>
      <w:r>
        <w:rPr>
          <w:b/>
        </w:rPr>
        <w:br w:type="page"/>
      </w:r>
      <w:r w:rsidR="00ED4CF3">
        <w:rPr>
          <w:b/>
        </w:rPr>
        <w:lastRenderedPageBreak/>
        <w:t>UPPGIFT OM MOT VEM</w:t>
      </w:r>
      <w:r>
        <w:rPr>
          <w:b/>
        </w:rPr>
        <w:t xml:space="preserve"> TALAN SKA VÄCKAS</w:t>
      </w:r>
      <w:r w:rsidRPr="00ED4CF3">
        <w:rPr>
          <w:b/>
          <w:bCs/>
          <w:vertAlign w:val="superscript"/>
        </w:rPr>
        <w:footnoteReference w:id="4"/>
      </w:r>
    </w:p>
    <w:p w14:paraId="3490858C" w14:textId="77777777" w:rsidR="00D03309" w:rsidRPr="0053338E" w:rsidRDefault="00D03309" w:rsidP="00D03309">
      <w:pPr>
        <w:rPr>
          <w:b/>
          <w:bCs/>
          <w:sz w:val="20"/>
          <w:szCs w:val="20"/>
        </w:rPr>
      </w:pPr>
    </w:p>
    <w:p w14:paraId="27600D46" w14:textId="77777777" w:rsidR="00D03309" w:rsidRPr="0053338E" w:rsidRDefault="00D03309" w:rsidP="00D03309"/>
    <w:p w14:paraId="2AE9FFDC" w14:textId="15CCEFAE" w:rsidR="00D03309" w:rsidRPr="00D03309" w:rsidRDefault="00D03309" w:rsidP="00D03309">
      <w:pPr>
        <w:jc w:val="both"/>
      </w:pPr>
      <w:r>
        <w:t>S</w:t>
      </w:r>
      <w:r w:rsidR="00A2535D">
        <w:t>ås</w:t>
      </w:r>
      <w:r>
        <w:t>om angetts ovan är tribunalen behörig att pröva talan som väcks av fysiska eller juridiska personer mot någon av unionens institutioner eller byråer eller något av dess organ. Tribunalen saknar behörighet att pröva lagenligheten av beslut eller avgöranden från</w:t>
      </w:r>
    </w:p>
    <w:p w14:paraId="6E09750F" w14:textId="77777777" w:rsidR="00D03309" w:rsidRPr="0053338E" w:rsidRDefault="00D03309" w:rsidP="00D03309">
      <w:pPr>
        <w:jc w:val="both"/>
      </w:pPr>
    </w:p>
    <w:p w14:paraId="7BDCADFE" w14:textId="77777777" w:rsidR="00D03309" w:rsidRPr="00D03309" w:rsidRDefault="00D03309" w:rsidP="00D03309">
      <w:pPr>
        <w:ind w:left="360" w:hanging="360"/>
        <w:jc w:val="both"/>
      </w:pPr>
      <w:r>
        <w:t>–</w:t>
      </w:r>
      <w:r>
        <w:tab/>
        <w:t>internationella instanser som inte ingår i Europeiska unionens institutionella system, såsom Europeiska domstolen för de mänskliga rättigheterna,</w:t>
      </w:r>
    </w:p>
    <w:p w14:paraId="5C0BD8B1" w14:textId="77777777" w:rsidR="00D03309" w:rsidRPr="0053338E" w:rsidRDefault="00D03309" w:rsidP="00D03309">
      <w:pPr>
        <w:jc w:val="both"/>
      </w:pPr>
    </w:p>
    <w:p w14:paraId="4D84DC09" w14:textId="77777777" w:rsidR="00D03309" w:rsidRPr="00D03309" w:rsidRDefault="00D03309" w:rsidP="00D03309">
      <w:pPr>
        <w:ind w:left="360" w:hanging="360"/>
        <w:jc w:val="both"/>
      </w:pPr>
      <w:r>
        <w:t>–</w:t>
      </w:r>
      <w:r>
        <w:tab/>
        <w:t>nationella myndigheter i en medlemsstat, eller</w:t>
      </w:r>
    </w:p>
    <w:p w14:paraId="7CFA2806" w14:textId="77777777" w:rsidR="00D03309" w:rsidRPr="0053338E" w:rsidRDefault="00D03309" w:rsidP="00D03309">
      <w:pPr>
        <w:jc w:val="both"/>
      </w:pPr>
    </w:p>
    <w:p w14:paraId="23DE5775" w14:textId="77777777" w:rsidR="00D03309" w:rsidRPr="00D03309" w:rsidRDefault="00D03309" w:rsidP="00D03309">
      <w:pPr>
        <w:ind w:left="360" w:hanging="360"/>
        <w:jc w:val="both"/>
      </w:pPr>
      <w:r>
        <w:t>–</w:t>
      </w:r>
      <w:r>
        <w:tab/>
        <w:t>nationella domstolar.</w:t>
      </w:r>
    </w:p>
    <w:p w14:paraId="23CDDEED" w14:textId="77777777" w:rsidR="00D03309" w:rsidRPr="0053338E" w:rsidRDefault="00D03309" w:rsidP="00D03309"/>
    <w:p w14:paraId="2BEDDF26" w14:textId="77777777" w:rsidR="00D03309" w:rsidRPr="0053338E" w:rsidRDefault="00D03309" w:rsidP="00D03309"/>
    <w:p w14:paraId="5F967F5B" w14:textId="77777777" w:rsidR="00D03309" w:rsidRPr="0053338E" w:rsidRDefault="00D03309" w:rsidP="00D03309"/>
    <w:p w14:paraId="2BA0BBFF" w14:textId="7CD0D38C" w:rsidR="00D03309" w:rsidRPr="00D03309" w:rsidRDefault="00781B3C" w:rsidP="00D03309">
      <w:pPr>
        <w:jc w:val="both"/>
        <w:rPr>
          <w:b/>
        </w:rPr>
      </w:pPr>
      <w:r>
        <w:rPr>
          <w:b/>
        </w:rPr>
        <w:t xml:space="preserve">Uppgift om </w:t>
      </w:r>
      <w:r w:rsidRPr="00781B3C">
        <w:rPr>
          <w:b/>
        </w:rPr>
        <w:t xml:space="preserve">mot vem eller vilka talan </w:t>
      </w:r>
      <w:r w:rsidR="00D03309">
        <w:rPr>
          <w:b/>
        </w:rPr>
        <w:t>ska väckas:</w:t>
      </w:r>
    </w:p>
    <w:p w14:paraId="5058FBBB" w14:textId="77777777" w:rsidR="00D03309" w:rsidRPr="0053338E" w:rsidRDefault="00D03309" w:rsidP="00D03309">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D03309" w14:paraId="5BA4119D" w14:textId="77777777" w:rsidTr="00E25BF9">
        <w:trPr>
          <w:cantSplit/>
        </w:trPr>
        <w:tc>
          <w:tcPr>
            <w:tcW w:w="4536" w:type="dxa"/>
            <w:tcBorders>
              <w:top w:val="nil"/>
              <w:left w:val="nil"/>
              <w:bottom w:val="single" w:sz="4" w:space="0" w:color="auto"/>
            </w:tcBorders>
          </w:tcPr>
          <w:p w14:paraId="00BE0376" w14:textId="77777777" w:rsidR="00D03309" w:rsidRPr="0053338E" w:rsidRDefault="00D03309" w:rsidP="00D03309">
            <w:pPr>
              <w:jc w:val="center"/>
            </w:pPr>
          </w:p>
          <w:p w14:paraId="14978722" w14:textId="77777777" w:rsidR="00D03309" w:rsidRPr="00D03309" w:rsidRDefault="00D03309" w:rsidP="00D03309">
            <w:pPr>
              <w:jc w:val="center"/>
            </w:pPr>
            <w:r>
              <w:t>SVARANDE</w:t>
            </w:r>
          </w:p>
          <w:p w14:paraId="1427DED9" w14:textId="77777777" w:rsidR="00D03309" w:rsidRPr="00D03309" w:rsidRDefault="00D03309" w:rsidP="00D03309">
            <w:pPr>
              <w:jc w:val="center"/>
            </w:pPr>
          </w:p>
        </w:tc>
        <w:tc>
          <w:tcPr>
            <w:tcW w:w="4536" w:type="dxa"/>
            <w:tcBorders>
              <w:top w:val="nil"/>
              <w:bottom w:val="single" w:sz="4" w:space="0" w:color="auto"/>
              <w:right w:val="nil"/>
            </w:tcBorders>
          </w:tcPr>
          <w:p w14:paraId="589CF25A" w14:textId="77777777" w:rsidR="00D03309" w:rsidRPr="00D03309" w:rsidRDefault="00D03309" w:rsidP="00D03309">
            <w:pPr>
              <w:jc w:val="center"/>
            </w:pPr>
          </w:p>
          <w:p w14:paraId="180A3BC7" w14:textId="77777777" w:rsidR="00D03309" w:rsidRPr="00D03309" w:rsidRDefault="00D03309" w:rsidP="00D03309">
            <w:pPr>
              <w:jc w:val="center"/>
            </w:pPr>
            <w:r>
              <w:t>ADRESS</w:t>
            </w:r>
          </w:p>
        </w:tc>
      </w:tr>
      <w:tr w:rsidR="00D03309" w:rsidRPr="00D03309" w14:paraId="27BE8984" w14:textId="77777777" w:rsidTr="00E25BF9">
        <w:trPr>
          <w:trHeight w:hRule="exact" w:val="2268"/>
        </w:trPr>
        <w:tc>
          <w:tcPr>
            <w:tcW w:w="4536" w:type="dxa"/>
            <w:tcBorders>
              <w:left w:val="nil"/>
            </w:tcBorders>
            <w:vAlign w:val="center"/>
          </w:tcPr>
          <w:p w14:paraId="4044A973" w14:textId="338B6FE5"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Text26"/>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536" w:type="dxa"/>
            <w:tcBorders>
              <w:right w:val="nil"/>
            </w:tcBorders>
            <w:vAlign w:val="center"/>
          </w:tcPr>
          <w:p w14:paraId="25256C75" w14:textId="07506E60"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maxLength w:val="150"/>
                  </w:textInput>
                </w:ffData>
              </w:fldChar>
            </w:r>
            <w:r w:rsidRPr="00D03309">
              <w:instrText xml:space="preserve"> FORMTEXT </w:instrText>
            </w:r>
            <w:r w:rsidRPr="00D03309">
              <w:fldChar w:fldCharType="separate"/>
            </w:r>
            <w:r>
              <w:t>     </w:t>
            </w:r>
            <w:r w:rsidRPr="00D03309">
              <w:fldChar w:fldCharType="end"/>
            </w:r>
          </w:p>
        </w:tc>
      </w:tr>
      <w:tr w:rsidR="00D03309" w:rsidRPr="00D03309" w14:paraId="1643FAF4" w14:textId="77777777" w:rsidTr="00E25BF9">
        <w:trPr>
          <w:trHeight w:val="2268"/>
        </w:trPr>
        <w:tc>
          <w:tcPr>
            <w:tcW w:w="4536" w:type="dxa"/>
            <w:tcBorders>
              <w:left w:val="nil"/>
            </w:tcBorders>
            <w:vAlign w:val="center"/>
          </w:tcPr>
          <w:p w14:paraId="53AE4B98" w14:textId="33A7059C"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536" w:type="dxa"/>
            <w:tcBorders>
              <w:right w:val="nil"/>
            </w:tcBorders>
            <w:vAlign w:val="center"/>
          </w:tcPr>
          <w:p w14:paraId="6096DA5D" w14:textId="298EF602"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ffData>
              </w:fldChar>
            </w:r>
            <w:r w:rsidRPr="00D03309">
              <w:instrText xml:space="preserve"> FORMTEXT </w:instrText>
            </w:r>
            <w:r w:rsidRPr="00D03309">
              <w:fldChar w:fldCharType="separate"/>
            </w:r>
            <w:r>
              <w:t>     </w:t>
            </w:r>
            <w:r w:rsidRPr="00D03309">
              <w:fldChar w:fldCharType="end"/>
            </w:r>
          </w:p>
        </w:tc>
      </w:tr>
    </w:tbl>
    <w:p w14:paraId="48FF1BF6" w14:textId="77777777" w:rsidR="003C493C" w:rsidRDefault="003C493C" w:rsidP="00D03309">
      <w:pPr>
        <w:rPr>
          <w:sz w:val="16"/>
          <w:szCs w:val="16"/>
          <w:lang w:val="fr-FR"/>
        </w:rPr>
      </w:pPr>
    </w:p>
    <w:p w14:paraId="7DE0847B" w14:textId="05081928" w:rsidR="00D03309" w:rsidRPr="00D03309" w:rsidRDefault="00D03309" w:rsidP="00D03309">
      <w:pPr>
        <w:rPr>
          <w:sz w:val="16"/>
          <w:szCs w:val="16"/>
        </w:rPr>
      </w:pPr>
      <w:r>
        <w:rPr>
          <w:sz w:val="16"/>
        </w:rPr>
        <w:t xml:space="preserve">Om utrymme saknas </w:t>
      </w:r>
      <w:r w:rsidR="00EE00C8">
        <w:rPr>
          <w:sz w:val="16"/>
        </w:rPr>
        <w:t xml:space="preserve">kan </w:t>
      </w:r>
      <w:r>
        <w:rPr>
          <w:sz w:val="16"/>
        </w:rPr>
        <w:t xml:space="preserve">denna förteckning </w:t>
      </w:r>
      <w:r w:rsidR="00EE00C8">
        <w:rPr>
          <w:sz w:val="16"/>
        </w:rPr>
        <w:t xml:space="preserve">kompletteras </w:t>
      </w:r>
      <w:r>
        <w:rPr>
          <w:sz w:val="16"/>
        </w:rPr>
        <w:t xml:space="preserve">på ett vitt </w:t>
      </w:r>
      <w:r w:rsidR="007D658E">
        <w:rPr>
          <w:sz w:val="16"/>
        </w:rPr>
        <w:t>papper som bifogas till ansökan</w:t>
      </w:r>
      <w:r>
        <w:rPr>
          <w:sz w:val="16"/>
        </w:rPr>
        <w:t>.</w:t>
      </w:r>
    </w:p>
    <w:p w14:paraId="294753E7" w14:textId="77777777" w:rsidR="00D03309" w:rsidRPr="0053338E" w:rsidRDefault="00D03309" w:rsidP="00D03309">
      <w:pPr>
        <w:rPr>
          <w:sz w:val="20"/>
          <w:szCs w:val="20"/>
        </w:rPr>
      </w:pPr>
    </w:p>
    <w:p w14:paraId="306A8A14" w14:textId="77777777" w:rsidR="00D03309" w:rsidRPr="00D03309" w:rsidRDefault="00D03309" w:rsidP="00D03309">
      <w:pPr>
        <w:jc w:val="center"/>
        <w:rPr>
          <w:b/>
          <w:bCs/>
        </w:rPr>
      </w:pPr>
      <w:r>
        <w:br w:type="page"/>
      </w:r>
      <w:r>
        <w:rPr>
          <w:b/>
        </w:rPr>
        <w:lastRenderedPageBreak/>
        <w:t>ÄNDAMÅLET MED TALAN</w:t>
      </w:r>
      <w:r w:rsidRPr="00ED4CF3">
        <w:rPr>
          <w:b/>
          <w:bCs/>
          <w:vertAlign w:val="superscript"/>
        </w:rPr>
        <w:footnoteReference w:id="5"/>
      </w:r>
    </w:p>
    <w:p w14:paraId="023FEDD9" w14:textId="77777777" w:rsidR="00D03309" w:rsidRPr="0053338E" w:rsidRDefault="00D03309" w:rsidP="00D03309">
      <w:pPr>
        <w:jc w:val="center"/>
        <w:rPr>
          <w:sz w:val="20"/>
          <w:szCs w:val="20"/>
        </w:rPr>
      </w:pPr>
    </w:p>
    <w:p w14:paraId="6994435E" w14:textId="64C9DED2" w:rsidR="00D03309" w:rsidRPr="00D03309" w:rsidRDefault="00D03309" w:rsidP="00D03309">
      <w:pPr>
        <w:jc w:val="both"/>
        <w:rPr>
          <w:bCs/>
        </w:rPr>
      </w:pPr>
      <w:r>
        <w:t xml:space="preserve">Om ansökan om rättshjälp ges in innan talan väcks, ska sökanden kortfattat redogöra för ändamålet med den talan denne avser att väcka, </w:t>
      </w:r>
      <w:r w:rsidR="00C54642">
        <w:t>de faktiska omständigheterna</w:t>
      </w:r>
      <w:r>
        <w:t xml:space="preserve"> och de argument som anförs till stöd för talan. </w:t>
      </w:r>
      <w:r w:rsidR="00D44FE6">
        <w:t>Ansökan ska åtföljas av b</w:t>
      </w:r>
      <w:r>
        <w:t>estyrkande handlingar i detta avseende (</w:t>
      </w:r>
      <w:r w:rsidR="003F4CF2">
        <w:t>artikel </w:t>
      </w:r>
      <w:r>
        <w:t>147.4 i rättegångsreglerna).</w:t>
      </w:r>
    </w:p>
    <w:p w14:paraId="77E96D6D" w14:textId="77777777" w:rsidR="00D03309" w:rsidRPr="0053338E" w:rsidRDefault="00D03309" w:rsidP="00D03309">
      <w:pPr>
        <w:jc w:val="both"/>
        <w:rPr>
          <w:b/>
          <w:bCs/>
        </w:rPr>
      </w:pPr>
    </w:p>
    <w:p w14:paraId="5117DE3D" w14:textId="4FD8E6FB" w:rsidR="00D03309" w:rsidRPr="00D03309" w:rsidRDefault="00C54642" w:rsidP="00D03309">
      <w:pPr>
        <w:jc w:val="both"/>
        <w:rPr>
          <w:b/>
          <w:bCs/>
        </w:rPr>
      </w:pPr>
      <w:r>
        <w:t xml:space="preserve">I rutan nedan ska rättshjälpssökanden </w:t>
      </w:r>
      <w:r w:rsidR="00D03309">
        <w:t>beskriv</w:t>
      </w:r>
      <w:r>
        <w:t>a</w:t>
      </w:r>
      <w:r w:rsidR="00D03309">
        <w:t xml:space="preserve"> ändamålet med den talan som </w:t>
      </w:r>
      <w:r>
        <w:t>denne</w:t>
      </w:r>
      <w:r w:rsidR="00D03309">
        <w:t xml:space="preserve"> </w:t>
      </w:r>
      <w:r>
        <w:t>avser att</w:t>
      </w:r>
      <w:r w:rsidR="00D03309">
        <w:t xml:space="preserve"> väcka</w:t>
      </w:r>
      <w:r w:rsidR="00DD5799">
        <w:t xml:space="preserve"> samt redogöra för</w:t>
      </w:r>
      <w:r w:rsidR="00D03309">
        <w:t xml:space="preserve"> </w:t>
      </w:r>
      <w:r>
        <w:t>de faktiska omständigheterna</w:t>
      </w:r>
      <w:r w:rsidR="00D03309">
        <w:t xml:space="preserve"> och de argument som åberopas till stöd för talan (om utrymme saknas kan beskrivningen av ändamålet med talan kompletteras på ytterligare blad):</w:t>
      </w:r>
    </w:p>
    <w:p w14:paraId="1BB5BCE1" w14:textId="77777777" w:rsidR="00D03309" w:rsidRPr="0053338E" w:rsidRDefault="00D03309" w:rsidP="00D03309">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0D7A494" w14:textId="77777777" w:rsidTr="00DB1F16">
        <w:trPr>
          <w:trHeight w:val="7810"/>
        </w:trPr>
        <w:tc>
          <w:tcPr>
            <w:tcW w:w="9135" w:type="dxa"/>
          </w:tcPr>
          <w:p w14:paraId="261BBABD" w14:textId="1770971D" w:rsidR="00D03309" w:rsidRPr="00D03309" w:rsidRDefault="00D03309" w:rsidP="00D03309">
            <w:pPr>
              <w:spacing w:before="120"/>
              <w:jc w:val="both"/>
              <w:rPr>
                <w:bCs/>
              </w:rPr>
            </w:pPr>
            <w:r w:rsidRPr="00D03309">
              <w:fldChar w:fldCharType="begin" w:fldLock="1">
                <w:ffData>
                  <w:name w:val="Text27"/>
                  <w:enabled/>
                  <w:calcOnExit w:val="0"/>
                  <w:textInput/>
                </w:ffData>
              </w:fldChar>
            </w:r>
            <w:r w:rsidRPr="00D03309">
              <w:instrText xml:space="preserve"> FORMTEXT </w:instrText>
            </w:r>
            <w:r w:rsidRPr="00D03309">
              <w:fldChar w:fldCharType="separate"/>
            </w:r>
            <w:r>
              <w:t>     </w:t>
            </w:r>
            <w:r w:rsidRPr="00D03309">
              <w:fldChar w:fldCharType="end"/>
            </w:r>
          </w:p>
        </w:tc>
      </w:tr>
    </w:tbl>
    <w:p w14:paraId="3BD172EB" w14:textId="77777777" w:rsidR="00D03309" w:rsidRPr="00D03309" w:rsidRDefault="00D03309" w:rsidP="00D03309">
      <w:pPr>
        <w:rPr>
          <w:b/>
          <w:bCs/>
          <w:sz w:val="20"/>
          <w:szCs w:val="20"/>
          <w:lang w:val="fr-FR"/>
        </w:rPr>
      </w:pPr>
    </w:p>
    <w:p w14:paraId="6D328134" w14:textId="323CA3FF" w:rsidR="00D03309" w:rsidRPr="00D03309" w:rsidRDefault="00D03309" w:rsidP="00D03309">
      <w:pPr>
        <w:jc w:val="both"/>
        <w:rPr>
          <w:b/>
          <w:bCs/>
        </w:rPr>
      </w:pPr>
      <w:r>
        <w:rPr>
          <w:b/>
        </w:rPr>
        <w:t xml:space="preserve">Varje bestyrkande handling som är av betydelse för bedömningen av huruvida talan kan upptas till prövning och huruvida den är välgrundad ska bifogas </w:t>
      </w:r>
      <w:r w:rsidR="00BF21AB">
        <w:rPr>
          <w:b/>
        </w:rPr>
        <w:t xml:space="preserve">till </w:t>
      </w:r>
      <w:r>
        <w:rPr>
          <w:b/>
        </w:rPr>
        <w:t>detta formulär och anges i förteckningen över bestyrkande handlingar.</w:t>
      </w:r>
    </w:p>
    <w:p w14:paraId="45938DF1" w14:textId="77777777" w:rsidR="00D03309" w:rsidRPr="0053338E" w:rsidRDefault="00D03309" w:rsidP="00D03309">
      <w:pPr>
        <w:jc w:val="both"/>
        <w:rPr>
          <w:b/>
          <w:bCs/>
        </w:rPr>
      </w:pPr>
    </w:p>
    <w:p w14:paraId="48B93FAD" w14:textId="44747974" w:rsidR="00D03309" w:rsidRPr="00D03309" w:rsidRDefault="00D03309" w:rsidP="00D03309">
      <w:pPr>
        <w:jc w:val="both"/>
        <w:rPr>
          <w:b/>
          <w:bCs/>
        </w:rPr>
      </w:pPr>
      <w:r>
        <w:rPr>
          <w:b/>
        </w:rPr>
        <w:lastRenderedPageBreak/>
        <w:t>Originalen till bestyrkande handlingar som ges in kommer inte att återsändas. Tribunalen rekommenderar därför att rättshjälpssökanden ger in kopior av de aktuella handlingarna.</w:t>
      </w:r>
    </w:p>
    <w:p w14:paraId="05CCA39F" w14:textId="7C92B10A" w:rsidR="00D03309" w:rsidRPr="00D03309" w:rsidRDefault="00D03309" w:rsidP="00D03309">
      <w:pPr>
        <w:jc w:val="center"/>
        <w:rPr>
          <w:b/>
          <w:bCs/>
        </w:rPr>
      </w:pPr>
      <w:r>
        <w:br w:type="page"/>
      </w:r>
      <w:r>
        <w:rPr>
          <w:b/>
        </w:rPr>
        <w:lastRenderedPageBreak/>
        <w:t>EKONOMISK</w:t>
      </w:r>
      <w:r w:rsidR="006D4741">
        <w:rPr>
          <w:b/>
        </w:rPr>
        <w:t>T</w:t>
      </w:r>
      <w:r>
        <w:rPr>
          <w:b/>
        </w:rPr>
        <w:t xml:space="preserve"> </w:t>
      </w:r>
      <w:r w:rsidR="006D4741">
        <w:rPr>
          <w:b/>
        </w:rPr>
        <w:t>UNDERLAG</w:t>
      </w:r>
    </w:p>
    <w:p w14:paraId="16ADC116" w14:textId="77777777" w:rsidR="00D03309" w:rsidRPr="0053338E" w:rsidRDefault="00D03309" w:rsidP="00D03309">
      <w:pPr>
        <w:rPr>
          <w:b/>
          <w:bCs/>
        </w:rPr>
      </w:pPr>
    </w:p>
    <w:p w14:paraId="22D536EB" w14:textId="77777777" w:rsidR="00D03309" w:rsidRPr="00E2265A" w:rsidRDefault="00D03309" w:rsidP="00D03309">
      <w:pPr>
        <w:jc w:val="center"/>
        <w:rPr>
          <w:b/>
          <w:bCs/>
          <w:color w:val="1F497D"/>
        </w:rPr>
      </w:pPr>
      <w:r>
        <w:rPr>
          <w:b/>
          <w:color w:val="1F497D"/>
        </w:rPr>
        <w:t>FYSISK PERSON</w:t>
      </w:r>
    </w:p>
    <w:p w14:paraId="68A8AB9D" w14:textId="77777777" w:rsidR="00D03309" w:rsidRPr="0053338E" w:rsidRDefault="00D03309" w:rsidP="00D03309">
      <w:pPr>
        <w:rPr>
          <w:b/>
          <w:bCs/>
        </w:rPr>
      </w:pPr>
    </w:p>
    <w:p w14:paraId="29CC8280" w14:textId="698B3724" w:rsidR="00D03309" w:rsidRPr="00D03309" w:rsidRDefault="006D4741" w:rsidP="00D03309">
      <w:pPr>
        <w:ind w:left="540" w:hanging="540"/>
        <w:jc w:val="both"/>
        <w:rPr>
          <w:b/>
          <w:bCs/>
          <w:i/>
        </w:rPr>
      </w:pPr>
      <w:r>
        <w:rPr>
          <w:b/>
          <w:i/>
        </w:rPr>
        <w:t>INKOMSTER OCH TILLGÅNGAR</w:t>
      </w:r>
    </w:p>
    <w:p w14:paraId="25B72186" w14:textId="77777777" w:rsidR="00D03309" w:rsidRPr="0053338E" w:rsidRDefault="00D03309" w:rsidP="00D03309">
      <w:pPr>
        <w:ind w:left="540" w:hanging="540"/>
        <w:jc w:val="both"/>
        <w:rPr>
          <w:b/>
          <w:bCs/>
        </w:rPr>
      </w:pPr>
    </w:p>
    <w:p w14:paraId="7D8DCDEB" w14:textId="0ABB8837" w:rsidR="00D03309" w:rsidRPr="00D03309" w:rsidRDefault="00D03309" w:rsidP="00B91930">
      <w:pPr>
        <w:spacing w:after="120"/>
        <w:jc w:val="both"/>
        <w:rPr>
          <w:bCs/>
        </w:rPr>
      </w:pPr>
      <w:r>
        <w:t xml:space="preserve">Ansökan om rättshjälp ska åtföljas av upplysningar och bestyrkande handlingar som gör det möjligt att bedöma sökandens ekonomiska situation, såsom ett intyg </w:t>
      </w:r>
      <w:r w:rsidR="00521637">
        <w:t>från</w:t>
      </w:r>
      <w:r>
        <w:t xml:space="preserve"> behörig nationell myndighet som visar den ekonomiska situationen (</w:t>
      </w:r>
      <w:r w:rsidR="003F4CF2">
        <w:t>artikel </w:t>
      </w:r>
      <w:r>
        <w:t>147.3 i rättegångsreglerna).</w:t>
      </w:r>
    </w:p>
    <w:p w14:paraId="5561E31D" w14:textId="77777777" w:rsidR="00D03309" w:rsidRPr="0053338E" w:rsidRDefault="00D03309" w:rsidP="00B91930">
      <w:pPr>
        <w:spacing w:after="120"/>
        <w:ind w:left="539" w:hanging="539"/>
        <w:jc w:val="both"/>
        <w:rPr>
          <w:b/>
          <w:bCs/>
        </w:rPr>
      </w:pPr>
    </w:p>
    <w:p w14:paraId="2752B67D" w14:textId="77777777" w:rsidR="00D03309" w:rsidRPr="0053338E" w:rsidRDefault="00D03309" w:rsidP="00D03309">
      <w:pPr>
        <w:ind w:left="540" w:hanging="540"/>
        <w:jc w:val="both"/>
        <w:rPr>
          <w:bCs/>
          <w:i/>
        </w:rPr>
      </w:pPr>
    </w:p>
    <w:p w14:paraId="6DD4DCF9" w14:textId="77777777" w:rsidR="00D03309" w:rsidRPr="0053338E" w:rsidRDefault="00D03309" w:rsidP="00D03309">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D03309" w14:paraId="60E8F6AA" w14:textId="77777777" w:rsidTr="007D6F11">
        <w:trPr>
          <w:cantSplit/>
          <w:trHeight w:val="1879"/>
          <w:jc w:val="center"/>
        </w:trPr>
        <w:tc>
          <w:tcPr>
            <w:tcW w:w="540" w:type="dxa"/>
            <w:tcBorders>
              <w:bottom w:val="single" w:sz="4" w:space="0" w:color="auto"/>
              <w:right w:val="nil"/>
            </w:tcBorders>
          </w:tcPr>
          <w:p w14:paraId="1A2E346B" w14:textId="77777777" w:rsidR="00D03309" w:rsidRPr="0053338E" w:rsidRDefault="00D03309" w:rsidP="00D03309">
            <w:pPr>
              <w:rPr>
                <w:b/>
                <w:bCs/>
                <w:sz w:val="20"/>
                <w:szCs w:val="20"/>
              </w:rPr>
            </w:pPr>
          </w:p>
        </w:tc>
        <w:tc>
          <w:tcPr>
            <w:tcW w:w="3420" w:type="dxa"/>
            <w:tcBorders>
              <w:top w:val="nil"/>
              <w:left w:val="nil"/>
              <w:bottom w:val="single" w:sz="4" w:space="0" w:color="auto"/>
            </w:tcBorders>
          </w:tcPr>
          <w:p w14:paraId="799DBF5D" w14:textId="77777777" w:rsidR="00D03309" w:rsidRPr="0053338E" w:rsidRDefault="00D03309" w:rsidP="00D03309">
            <w:pPr>
              <w:rPr>
                <w:b/>
                <w:bCs/>
                <w:sz w:val="20"/>
                <w:szCs w:val="20"/>
              </w:rPr>
            </w:pPr>
          </w:p>
        </w:tc>
        <w:tc>
          <w:tcPr>
            <w:tcW w:w="1620" w:type="dxa"/>
            <w:tcBorders>
              <w:top w:val="single" w:sz="4" w:space="0" w:color="auto"/>
              <w:bottom w:val="single" w:sz="4" w:space="0" w:color="auto"/>
            </w:tcBorders>
          </w:tcPr>
          <w:p w14:paraId="33C35277" w14:textId="23AAA515" w:rsidR="00D03309" w:rsidRPr="00D03309" w:rsidRDefault="00D03309" w:rsidP="00D03309">
            <w:pPr>
              <w:spacing w:before="120"/>
              <w:jc w:val="center"/>
              <w:rPr>
                <w:b/>
                <w:bCs/>
                <w:sz w:val="20"/>
                <w:szCs w:val="20"/>
              </w:rPr>
            </w:pPr>
            <w:r>
              <w:rPr>
                <w:b/>
                <w:sz w:val="20"/>
              </w:rPr>
              <w:t>Inkomster</w:t>
            </w:r>
            <w:r w:rsidR="007D658E">
              <w:rPr>
                <w:b/>
                <w:sz w:val="20"/>
              </w:rPr>
              <w:t xml:space="preserve"> och tillgångar</w:t>
            </w:r>
          </w:p>
        </w:tc>
        <w:tc>
          <w:tcPr>
            <w:tcW w:w="1620" w:type="dxa"/>
            <w:tcBorders>
              <w:top w:val="single" w:sz="4" w:space="0" w:color="auto"/>
              <w:bottom w:val="single" w:sz="4" w:space="0" w:color="auto"/>
            </w:tcBorders>
          </w:tcPr>
          <w:p w14:paraId="673F667C" w14:textId="4F03C06F" w:rsidR="00D03309" w:rsidRPr="00D03309" w:rsidRDefault="00D03309" w:rsidP="00D03309">
            <w:pPr>
              <w:spacing w:before="120"/>
              <w:jc w:val="center"/>
              <w:rPr>
                <w:b/>
                <w:sz w:val="20"/>
                <w:szCs w:val="20"/>
              </w:rPr>
            </w:pPr>
            <w:r>
              <w:rPr>
                <w:b/>
                <w:sz w:val="20"/>
              </w:rPr>
              <w:t>Makes/makas eller sambos inkomster</w:t>
            </w:r>
            <w:r w:rsidR="007D658E">
              <w:rPr>
                <w:b/>
                <w:sz w:val="20"/>
              </w:rPr>
              <w:t xml:space="preserve"> och tillgångar</w:t>
            </w:r>
          </w:p>
        </w:tc>
        <w:tc>
          <w:tcPr>
            <w:tcW w:w="2880" w:type="dxa"/>
            <w:tcBorders>
              <w:top w:val="single" w:sz="4" w:space="0" w:color="auto"/>
              <w:bottom w:val="single" w:sz="4" w:space="0" w:color="auto"/>
              <w:right w:val="single" w:sz="4" w:space="0" w:color="auto"/>
            </w:tcBorders>
          </w:tcPr>
          <w:p w14:paraId="064B994A" w14:textId="6525056F" w:rsidR="00D03309" w:rsidRPr="00D03309" w:rsidRDefault="00014B0B" w:rsidP="00D03309">
            <w:pPr>
              <w:tabs>
                <w:tab w:val="left" w:leader="dot" w:pos="2392"/>
                <w:tab w:val="left" w:leader="dot" w:pos="9639"/>
              </w:tabs>
              <w:spacing w:before="120" w:after="100" w:afterAutospacing="1"/>
              <w:rPr>
                <w:b/>
                <w:sz w:val="20"/>
                <w:szCs w:val="20"/>
              </w:rPr>
            </w:pPr>
            <w:r>
              <w:rPr>
                <w:b/>
                <w:sz w:val="20"/>
              </w:rPr>
              <w:t>A</w:t>
            </w:r>
            <w:r w:rsidR="00D03309">
              <w:rPr>
                <w:b/>
                <w:sz w:val="20"/>
              </w:rPr>
              <w:t>nnan hemmavarande person</w:t>
            </w:r>
            <w:r>
              <w:rPr>
                <w:b/>
                <w:sz w:val="20"/>
              </w:rPr>
              <w:t>s inkomster och tillgångar</w:t>
            </w:r>
            <w:r w:rsidR="00D03309">
              <w:rPr>
                <w:b/>
                <w:sz w:val="20"/>
              </w:rPr>
              <w:t xml:space="preserve"> (barn eller annan person som sökanden försörjer). </w:t>
            </w:r>
            <w:r w:rsidR="005D6BDC">
              <w:rPr>
                <w:b/>
                <w:sz w:val="20"/>
              </w:rPr>
              <w:t>Lämna</w:t>
            </w:r>
            <w:r w:rsidR="00D03309">
              <w:rPr>
                <w:b/>
                <w:sz w:val="20"/>
              </w:rPr>
              <w:t xml:space="preserve"> närmare upplysningar:</w:t>
            </w:r>
          </w:p>
          <w:p w14:paraId="1D445120" w14:textId="2B2FA2EB" w:rsidR="00D03309" w:rsidRPr="00D03309" w:rsidRDefault="00D03309" w:rsidP="00D03309">
            <w:pPr>
              <w:tabs>
                <w:tab w:val="left" w:pos="2192"/>
                <w:tab w:val="left" w:leader="dot" w:pos="9639"/>
              </w:tabs>
              <w:spacing w:before="120" w:after="100" w:afterAutospacing="1"/>
              <w:rPr>
                <w:sz w:val="20"/>
                <w:szCs w:val="20"/>
                <w:u w:val="dotted"/>
              </w:rPr>
            </w:pPr>
            <w:r w:rsidRPr="00D03309">
              <w:rPr>
                <w:sz w:val="20"/>
                <w:u w:val="dotted"/>
              </w:rPr>
              <w:fldChar w:fldCharType="begin" w:fldLock="1">
                <w:ffData>
                  <w:name w:val="Text33"/>
                  <w:enabled/>
                  <w:calcOnExit w:val="0"/>
                  <w:textInput>
                    <w:maxLength w:val="30"/>
                  </w:textInput>
                </w:ffData>
              </w:fldChar>
            </w:r>
            <w:r w:rsidRPr="00D03309">
              <w:rPr>
                <w:sz w:val="20"/>
                <w:u w:val="dotted"/>
              </w:rPr>
              <w:instrText xml:space="preserve"> FORMTEXT </w:instrText>
            </w:r>
            <w:r w:rsidRPr="00D03309">
              <w:rPr>
                <w:sz w:val="20"/>
                <w:u w:val="dotted"/>
              </w:rPr>
            </w:r>
            <w:r w:rsidRPr="00D03309">
              <w:rPr>
                <w:sz w:val="20"/>
                <w:u w:val="dotted"/>
              </w:rPr>
              <w:fldChar w:fldCharType="separate"/>
            </w:r>
            <w:r>
              <w:rPr>
                <w:sz w:val="20"/>
                <w:u w:val="dotted"/>
              </w:rPr>
              <w:t>     </w:t>
            </w:r>
            <w:r w:rsidRPr="00D03309">
              <w:rPr>
                <w:sz w:val="20"/>
                <w:u w:val="dotted"/>
              </w:rPr>
              <w:fldChar w:fldCharType="end"/>
            </w:r>
            <w:r>
              <w:rPr>
                <w:sz w:val="20"/>
                <w:u w:val="dotted"/>
              </w:rPr>
              <w:tab/>
            </w:r>
          </w:p>
        </w:tc>
      </w:tr>
      <w:tr w:rsidR="00D03309" w:rsidRPr="00D03309" w14:paraId="0E570C9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44BC0E1" w14:textId="77777777" w:rsidR="00D03309" w:rsidRPr="00D03309" w:rsidRDefault="00D03309" w:rsidP="00D03309">
            <w:pPr>
              <w:spacing w:before="120" w:after="120"/>
              <w:jc w:val="center"/>
              <w:rPr>
                <w:b/>
                <w:bCs/>
                <w:sz w:val="20"/>
                <w:szCs w:val="20"/>
              </w:rPr>
            </w:pPr>
            <w:r>
              <w:rPr>
                <w:b/>
                <w:sz w:val="20"/>
              </w:rPr>
              <w:t>a.</w:t>
            </w:r>
          </w:p>
        </w:tc>
        <w:tc>
          <w:tcPr>
            <w:tcW w:w="3420" w:type="dxa"/>
            <w:tcBorders>
              <w:top w:val="single" w:sz="4" w:space="0" w:color="auto"/>
              <w:left w:val="single" w:sz="4" w:space="0" w:color="auto"/>
              <w:bottom w:val="single" w:sz="4" w:space="0" w:color="auto"/>
            </w:tcBorders>
          </w:tcPr>
          <w:p w14:paraId="493371DF" w14:textId="77777777" w:rsidR="00D03309" w:rsidRPr="00D03309" w:rsidRDefault="00D03309" w:rsidP="00D03309">
            <w:pPr>
              <w:spacing w:before="120" w:after="120"/>
              <w:rPr>
                <w:b/>
                <w:bCs/>
                <w:sz w:val="20"/>
                <w:szCs w:val="20"/>
              </w:rPr>
            </w:pPr>
            <w:r>
              <w:rPr>
                <w:b/>
                <w:sz w:val="20"/>
              </w:rPr>
              <w:t>Inkomst saknas</w:t>
            </w:r>
          </w:p>
        </w:tc>
        <w:tc>
          <w:tcPr>
            <w:tcW w:w="1620" w:type="dxa"/>
            <w:tcBorders>
              <w:top w:val="single" w:sz="4" w:space="0" w:color="auto"/>
            </w:tcBorders>
            <w:vAlign w:val="center"/>
          </w:tcPr>
          <w:p w14:paraId="55A454B2" w14:textId="5D89CC1D" w:rsidR="00D03309" w:rsidRPr="00D03309" w:rsidRDefault="00D03309" w:rsidP="00D03309">
            <w:pPr>
              <w:jc w:val="center"/>
              <w:rPr>
                <w:bCs/>
                <w:sz w:val="20"/>
                <w:szCs w:val="20"/>
              </w:rPr>
            </w:pPr>
            <w:r w:rsidRPr="00D03309">
              <w:rPr>
                <w:sz w:val="20"/>
              </w:rPr>
              <w:fldChar w:fldCharType="begin"/>
            </w:r>
            <w:r w:rsidRPr="00D03309">
              <w:rPr>
                <w:sz w:val="20"/>
              </w:rPr>
              <w:instrText xml:space="preserve"> FORMCHECKBOX </w:instrText>
            </w:r>
            <w:r w:rsidR="00351115">
              <w:rPr>
                <w:sz w:val="20"/>
              </w:rPr>
              <w:fldChar w:fldCharType="separate"/>
            </w:r>
            <w:r w:rsidRPr="00D03309">
              <w:rPr>
                <w:sz w:val="20"/>
              </w:rPr>
              <w:fldChar w:fldCharType="end"/>
            </w:r>
            <w:r w:rsidRPr="00D03309">
              <w:rPr>
                <w:bCs/>
                <w:sz w:val="20"/>
                <w:szCs w:val="20"/>
                <w:vertAlign w:val="superscript"/>
                <w:lang w:val="fr-FR"/>
              </w:rPr>
              <w:footnoteReference w:id="6"/>
            </w:r>
          </w:p>
        </w:tc>
        <w:tc>
          <w:tcPr>
            <w:tcW w:w="1620" w:type="dxa"/>
            <w:tcBorders>
              <w:top w:val="single" w:sz="4" w:space="0" w:color="auto"/>
            </w:tcBorders>
            <w:vAlign w:val="center"/>
          </w:tcPr>
          <w:p w14:paraId="1C5224F5" w14:textId="60E96FA5" w:rsidR="00D03309" w:rsidRPr="00D03309" w:rsidRDefault="00D03309" w:rsidP="00D03309">
            <w:pPr>
              <w:jc w:val="center"/>
              <w:rPr>
                <w:b/>
                <w:bCs/>
                <w:sz w:val="20"/>
                <w:szCs w:val="20"/>
              </w:rPr>
            </w:pPr>
            <w:r w:rsidRPr="00D03309">
              <w:rPr>
                <w:b/>
                <w:sz w:val="20"/>
              </w:rPr>
              <w:fldChar w:fldCharType="begin"/>
            </w:r>
            <w:r w:rsidRPr="00D03309">
              <w:rPr>
                <w:b/>
                <w:sz w:val="20"/>
              </w:rPr>
              <w:instrText xml:space="preserve"> FORMCHECKBOX </w:instrText>
            </w:r>
            <w:r w:rsidR="00351115">
              <w:rPr>
                <w:b/>
                <w:sz w:val="20"/>
              </w:rPr>
              <w:fldChar w:fldCharType="separate"/>
            </w:r>
            <w:r w:rsidRPr="00D03309">
              <w:rPr>
                <w:b/>
                <w:sz w:val="20"/>
              </w:rPr>
              <w:fldChar w:fldCharType="end"/>
            </w:r>
          </w:p>
        </w:tc>
        <w:tc>
          <w:tcPr>
            <w:tcW w:w="2880" w:type="dxa"/>
            <w:tcBorders>
              <w:top w:val="single" w:sz="4" w:space="0" w:color="auto"/>
              <w:bottom w:val="single" w:sz="4" w:space="0" w:color="auto"/>
              <w:right w:val="single" w:sz="4" w:space="0" w:color="auto"/>
            </w:tcBorders>
            <w:vAlign w:val="center"/>
          </w:tcPr>
          <w:p w14:paraId="16607AE3" w14:textId="766CFF81" w:rsidR="00D03309" w:rsidRPr="00D03309" w:rsidRDefault="00D03309" w:rsidP="00D03309">
            <w:pPr>
              <w:jc w:val="center"/>
              <w:rPr>
                <w:b/>
                <w:bCs/>
                <w:sz w:val="20"/>
                <w:szCs w:val="20"/>
              </w:rPr>
            </w:pPr>
            <w:r w:rsidRPr="00D03309">
              <w:rPr>
                <w:b/>
                <w:sz w:val="20"/>
              </w:rPr>
              <w:fldChar w:fldCharType="begin"/>
            </w:r>
            <w:r w:rsidRPr="00D03309">
              <w:rPr>
                <w:b/>
                <w:sz w:val="20"/>
              </w:rPr>
              <w:instrText xml:space="preserve"> FORMCHECKBOX </w:instrText>
            </w:r>
            <w:r w:rsidR="00351115">
              <w:rPr>
                <w:b/>
                <w:sz w:val="20"/>
              </w:rPr>
              <w:fldChar w:fldCharType="separate"/>
            </w:r>
            <w:r w:rsidRPr="00D03309">
              <w:rPr>
                <w:b/>
                <w:sz w:val="20"/>
              </w:rPr>
              <w:fldChar w:fldCharType="end"/>
            </w:r>
          </w:p>
        </w:tc>
      </w:tr>
      <w:tr w:rsidR="00D03309" w:rsidRPr="00D03309" w14:paraId="5472163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C89CFB2" w14:textId="77777777" w:rsidR="00D03309" w:rsidRPr="00D03309" w:rsidRDefault="00D03309" w:rsidP="00D03309">
            <w:pPr>
              <w:spacing w:before="120" w:after="120"/>
              <w:jc w:val="center"/>
              <w:rPr>
                <w:b/>
                <w:bCs/>
                <w:sz w:val="20"/>
                <w:szCs w:val="20"/>
              </w:rPr>
            </w:pPr>
            <w:r>
              <w:rPr>
                <w:b/>
                <w:sz w:val="20"/>
              </w:rPr>
              <w:t>b.</w:t>
            </w:r>
          </w:p>
        </w:tc>
        <w:tc>
          <w:tcPr>
            <w:tcW w:w="3420" w:type="dxa"/>
            <w:tcBorders>
              <w:top w:val="single" w:sz="4" w:space="0" w:color="auto"/>
              <w:left w:val="single" w:sz="4" w:space="0" w:color="auto"/>
              <w:bottom w:val="single" w:sz="4" w:space="0" w:color="auto"/>
            </w:tcBorders>
          </w:tcPr>
          <w:p w14:paraId="0DF1C246" w14:textId="77777777" w:rsidR="00D03309" w:rsidRPr="00D03309" w:rsidRDefault="00D03309" w:rsidP="00D03309">
            <w:pPr>
              <w:spacing w:before="120" w:after="120"/>
              <w:rPr>
                <w:sz w:val="20"/>
                <w:szCs w:val="20"/>
              </w:rPr>
            </w:pPr>
            <w:r>
              <w:rPr>
                <w:b/>
                <w:bCs/>
                <w:sz w:val="20"/>
              </w:rPr>
              <w:t>Beskattningsbar inkomst av tjänst</w:t>
            </w:r>
            <w:r>
              <w:rPr>
                <w:sz w:val="20"/>
              </w:rPr>
              <w:t xml:space="preserve"> (enligt lönebesked)</w:t>
            </w:r>
          </w:p>
        </w:tc>
        <w:tc>
          <w:tcPr>
            <w:tcW w:w="1620" w:type="dxa"/>
            <w:vAlign w:val="center"/>
          </w:tcPr>
          <w:p w14:paraId="0EB6AC68" w14:textId="4E92EDA6"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1100D55F" w14:textId="75B3E7D2"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68064AD7" w14:textId="11D1606C"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4DED817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7CA017C" w14:textId="77777777" w:rsidR="00D03309" w:rsidRPr="00D03309" w:rsidRDefault="00D03309" w:rsidP="00D03309">
            <w:pPr>
              <w:spacing w:before="120" w:after="120"/>
              <w:jc w:val="center"/>
              <w:rPr>
                <w:b/>
                <w:bCs/>
                <w:sz w:val="20"/>
                <w:szCs w:val="20"/>
              </w:rPr>
            </w:pPr>
            <w:r>
              <w:rPr>
                <w:b/>
                <w:sz w:val="20"/>
              </w:rPr>
              <w:t>c.</w:t>
            </w:r>
          </w:p>
        </w:tc>
        <w:tc>
          <w:tcPr>
            <w:tcW w:w="3420" w:type="dxa"/>
            <w:tcBorders>
              <w:top w:val="single" w:sz="4" w:space="0" w:color="auto"/>
              <w:left w:val="single" w:sz="4" w:space="0" w:color="auto"/>
              <w:bottom w:val="single" w:sz="4" w:space="0" w:color="auto"/>
            </w:tcBorders>
          </w:tcPr>
          <w:p w14:paraId="5BA7C7EA" w14:textId="77777777" w:rsidR="00D03309" w:rsidRPr="00D03309" w:rsidRDefault="00094D02" w:rsidP="00D03309">
            <w:pPr>
              <w:spacing w:before="120" w:after="120"/>
              <w:rPr>
                <w:sz w:val="20"/>
                <w:szCs w:val="20"/>
              </w:rPr>
            </w:pPr>
            <w:r>
              <w:rPr>
                <w:b/>
                <w:bCs/>
                <w:sz w:val="20"/>
              </w:rPr>
              <w:t xml:space="preserve">Inkomst av näringsverksamhet </w:t>
            </w:r>
            <w:r>
              <w:rPr>
                <w:sz w:val="20"/>
              </w:rPr>
              <w:t>(jordbruksinkomst och annan inkomst av näringsverksamhet samt icke-kommersiella inkomster)</w:t>
            </w:r>
          </w:p>
        </w:tc>
        <w:tc>
          <w:tcPr>
            <w:tcW w:w="1620" w:type="dxa"/>
            <w:vAlign w:val="center"/>
          </w:tcPr>
          <w:p w14:paraId="4EAD3BFE" w14:textId="286CCFE6"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66E34CE6" w14:textId="71707B06"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909F44A" w14:textId="032C9888"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7124F6B0"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B8C901E" w14:textId="77777777" w:rsidR="00D03309" w:rsidRPr="00D03309" w:rsidRDefault="00D03309" w:rsidP="00D03309">
            <w:pPr>
              <w:spacing w:before="120" w:after="120"/>
              <w:jc w:val="center"/>
              <w:rPr>
                <w:b/>
                <w:bCs/>
                <w:sz w:val="20"/>
                <w:szCs w:val="20"/>
              </w:rPr>
            </w:pPr>
            <w:r>
              <w:rPr>
                <w:b/>
                <w:sz w:val="20"/>
              </w:rPr>
              <w:t>d.</w:t>
            </w:r>
          </w:p>
        </w:tc>
        <w:tc>
          <w:tcPr>
            <w:tcW w:w="3420" w:type="dxa"/>
            <w:tcBorders>
              <w:top w:val="single" w:sz="4" w:space="0" w:color="auto"/>
              <w:left w:val="single" w:sz="4" w:space="0" w:color="auto"/>
              <w:bottom w:val="single" w:sz="4" w:space="0" w:color="auto"/>
            </w:tcBorders>
          </w:tcPr>
          <w:p w14:paraId="4A81993A" w14:textId="6972BCF7" w:rsidR="00D03309" w:rsidRPr="00D03309" w:rsidRDefault="00D03309" w:rsidP="00D03309">
            <w:pPr>
              <w:spacing w:before="120" w:after="120"/>
              <w:rPr>
                <w:b/>
                <w:bCs/>
                <w:sz w:val="20"/>
                <w:szCs w:val="20"/>
              </w:rPr>
            </w:pPr>
            <w:r>
              <w:rPr>
                <w:b/>
                <w:sz w:val="20"/>
              </w:rPr>
              <w:t xml:space="preserve">Sociala förmåner/Familjeförmåner </w:t>
            </w:r>
          </w:p>
        </w:tc>
        <w:tc>
          <w:tcPr>
            <w:tcW w:w="1620" w:type="dxa"/>
            <w:vAlign w:val="center"/>
          </w:tcPr>
          <w:p w14:paraId="68E0271A" w14:textId="60E45CEA"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7A48F2E6" w14:textId="33CD701A"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5B9B5551" w14:textId="6B525FEC"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6F5462E3"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3218BE37" w14:textId="77777777" w:rsidR="00D03309" w:rsidRPr="00D03309" w:rsidRDefault="00D03309" w:rsidP="00D03309">
            <w:pPr>
              <w:spacing w:before="120" w:after="120"/>
              <w:jc w:val="center"/>
              <w:rPr>
                <w:b/>
                <w:bCs/>
                <w:sz w:val="20"/>
                <w:szCs w:val="20"/>
              </w:rPr>
            </w:pPr>
            <w:r>
              <w:rPr>
                <w:b/>
                <w:sz w:val="20"/>
              </w:rPr>
              <w:t>e.</w:t>
            </w:r>
          </w:p>
        </w:tc>
        <w:tc>
          <w:tcPr>
            <w:tcW w:w="3420" w:type="dxa"/>
            <w:tcBorders>
              <w:top w:val="single" w:sz="4" w:space="0" w:color="auto"/>
              <w:left w:val="single" w:sz="4" w:space="0" w:color="auto"/>
              <w:bottom w:val="single" w:sz="4" w:space="0" w:color="auto"/>
            </w:tcBorders>
          </w:tcPr>
          <w:p w14:paraId="7A461C9E" w14:textId="77777777" w:rsidR="00D03309" w:rsidRPr="00D03309" w:rsidRDefault="00D03309" w:rsidP="00D03309">
            <w:pPr>
              <w:spacing w:before="120" w:after="120"/>
              <w:rPr>
                <w:b/>
                <w:bCs/>
                <w:sz w:val="20"/>
                <w:szCs w:val="20"/>
              </w:rPr>
            </w:pPr>
            <w:r>
              <w:rPr>
                <w:b/>
                <w:sz w:val="20"/>
              </w:rPr>
              <w:t>Arbetslöshetsersättning</w:t>
            </w:r>
          </w:p>
        </w:tc>
        <w:tc>
          <w:tcPr>
            <w:tcW w:w="1620" w:type="dxa"/>
            <w:vAlign w:val="center"/>
          </w:tcPr>
          <w:p w14:paraId="6EC4D507" w14:textId="5236CFB4"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102D62A9" w14:textId="1BCB06AF"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82E9D46" w14:textId="56CC1654"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739B7BB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362A437" w14:textId="77777777" w:rsidR="00D03309" w:rsidRPr="00D03309" w:rsidRDefault="00D03309" w:rsidP="00D03309">
            <w:pPr>
              <w:spacing w:before="120" w:after="120"/>
              <w:jc w:val="center"/>
              <w:rPr>
                <w:b/>
                <w:bCs/>
                <w:sz w:val="20"/>
                <w:szCs w:val="20"/>
              </w:rPr>
            </w:pPr>
            <w:r>
              <w:rPr>
                <w:b/>
                <w:sz w:val="20"/>
              </w:rPr>
              <w:t>f.</w:t>
            </w:r>
          </w:p>
        </w:tc>
        <w:tc>
          <w:tcPr>
            <w:tcW w:w="3420" w:type="dxa"/>
            <w:tcBorders>
              <w:top w:val="single" w:sz="4" w:space="0" w:color="auto"/>
              <w:left w:val="single" w:sz="4" w:space="0" w:color="auto"/>
              <w:bottom w:val="single" w:sz="4" w:space="0" w:color="auto"/>
            </w:tcBorders>
          </w:tcPr>
          <w:p w14:paraId="4A428E4C" w14:textId="77777777" w:rsidR="00D03309" w:rsidRPr="00D03309" w:rsidRDefault="00D03309" w:rsidP="00D03309">
            <w:pPr>
              <w:spacing w:before="120" w:after="120"/>
              <w:rPr>
                <w:sz w:val="20"/>
                <w:szCs w:val="20"/>
              </w:rPr>
            </w:pPr>
            <w:r w:rsidRPr="006C7512">
              <w:rPr>
                <w:b/>
                <w:sz w:val="20"/>
              </w:rPr>
              <w:t>Dagpenning</w:t>
            </w:r>
            <w:r>
              <w:rPr>
                <w:sz w:val="20"/>
              </w:rPr>
              <w:t xml:space="preserve"> (vid sjukdom, barnledighet, yrkessjukdom/skada, olyckshändelse i arbetet)</w:t>
            </w:r>
          </w:p>
        </w:tc>
        <w:tc>
          <w:tcPr>
            <w:tcW w:w="1620" w:type="dxa"/>
            <w:vAlign w:val="center"/>
          </w:tcPr>
          <w:p w14:paraId="7659DBEA" w14:textId="6E817B8A"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705685D5" w14:textId="786D53F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425936E3" w14:textId="153B2E3C"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3C23395E"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E58F0B" w14:textId="77777777" w:rsidR="00D03309" w:rsidRPr="00D03309" w:rsidRDefault="00D03309" w:rsidP="00D03309">
            <w:pPr>
              <w:spacing w:before="120" w:after="120"/>
              <w:jc w:val="center"/>
              <w:rPr>
                <w:b/>
                <w:bCs/>
                <w:sz w:val="20"/>
                <w:szCs w:val="20"/>
              </w:rPr>
            </w:pPr>
            <w:r>
              <w:rPr>
                <w:b/>
                <w:sz w:val="20"/>
              </w:rPr>
              <w:t>g.</w:t>
            </w:r>
          </w:p>
        </w:tc>
        <w:tc>
          <w:tcPr>
            <w:tcW w:w="3420" w:type="dxa"/>
            <w:tcBorders>
              <w:top w:val="single" w:sz="4" w:space="0" w:color="auto"/>
              <w:left w:val="single" w:sz="4" w:space="0" w:color="auto"/>
              <w:bottom w:val="single" w:sz="4" w:space="0" w:color="auto"/>
            </w:tcBorders>
          </w:tcPr>
          <w:p w14:paraId="37AD6D24" w14:textId="77777777" w:rsidR="00D03309" w:rsidRPr="00D03309" w:rsidRDefault="00D03309" w:rsidP="00D03309">
            <w:pPr>
              <w:spacing w:before="120" w:after="120"/>
              <w:rPr>
                <w:b/>
                <w:bCs/>
                <w:sz w:val="20"/>
                <w:szCs w:val="20"/>
              </w:rPr>
            </w:pPr>
            <w:r>
              <w:rPr>
                <w:b/>
                <w:sz w:val="20"/>
              </w:rPr>
              <w:t>Pension, ålderspension, livränta och förtidspension (aktivitetsersättning eller sjukersättning)</w:t>
            </w:r>
          </w:p>
        </w:tc>
        <w:tc>
          <w:tcPr>
            <w:tcW w:w="1620" w:type="dxa"/>
            <w:vAlign w:val="center"/>
          </w:tcPr>
          <w:p w14:paraId="1340D73F" w14:textId="1A695EE2"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398E4535" w14:textId="5769C896"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2201DA5F" w14:textId="1040FD15"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5C9A1A24"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2E5C903C" w14:textId="77777777" w:rsidR="00D03309" w:rsidRPr="00D03309" w:rsidRDefault="00D03309" w:rsidP="00D03309">
            <w:pPr>
              <w:spacing w:before="120" w:after="120"/>
              <w:jc w:val="center"/>
              <w:rPr>
                <w:b/>
                <w:bCs/>
                <w:sz w:val="20"/>
                <w:szCs w:val="20"/>
              </w:rPr>
            </w:pPr>
            <w:r>
              <w:rPr>
                <w:b/>
                <w:sz w:val="20"/>
              </w:rPr>
              <w:t>h.</w:t>
            </w:r>
          </w:p>
        </w:tc>
        <w:tc>
          <w:tcPr>
            <w:tcW w:w="3420" w:type="dxa"/>
            <w:tcBorders>
              <w:top w:val="single" w:sz="4" w:space="0" w:color="auto"/>
              <w:left w:val="single" w:sz="4" w:space="0" w:color="auto"/>
              <w:bottom w:val="single" w:sz="4" w:space="0" w:color="auto"/>
            </w:tcBorders>
          </w:tcPr>
          <w:p w14:paraId="30161368" w14:textId="77777777" w:rsidR="00D03309" w:rsidRPr="00D03309" w:rsidRDefault="00D03309" w:rsidP="00D03309">
            <w:pPr>
              <w:spacing w:before="120" w:after="120"/>
              <w:rPr>
                <w:b/>
                <w:bCs/>
                <w:sz w:val="20"/>
                <w:szCs w:val="20"/>
              </w:rPr>
            </w:pPr>
            <w:r>
              <w:rPr>
                <w:b/>
                <w:bCs/>
                <w:sz w:val="20"/>
              </w:rPr>
              <w:t xml:space="preserve">Underhåll </w:t>
            </w:r>
            <w:r>
              <w:rPr>
                <w:sz w:val="20"/>
              </w:rPr>
              <w:t>(belopp som faktiskt har betalats ut)</w:t>
            </w:r>
          </w:p>
        </w:tc>
        <w:tc>
          <w:tcPr>
            <w:tcW w:w="1620" w:type="dxa"/>
            <w:tcBorders>
              <w:bottom w:val="single" w:sz="4" w:space="0" w:color="auto"/>
            </w:tcBorders>
            <w:vAlign w:val="center"/>
          </w:tcPr>
          <w:p w14:paraId="59F34CCE" w14:textId="2839D942"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tcBorders>
              <w:bottom w:val="single" w:sz="4" w:space="0" w:color="auto"/>
            </w:tcBorders>
            <w:vAlign w:val="center"/>
          </w:tcPr>
          <w:p w14:paraId="65D65460" w14:textId="4E508F85"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6A6FC309" w14:textId="039EB34B"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52F9660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EE9CA2C" w14:textId="77777777" w:rsidR="00D03309" w:rsidRPr="00D03309" w:rsidRDefault="00D03309" w:rsidP="00D03309">
            <w:pPr>
              <w:spacing w:before="120" w:after="120"/>
              <w:jc w:val="center"/>
              <w:rPr>
                <w:b/>
                <w:bCs/>
                <w:sz w:val="20"/>
                <w:szCs w:val="20"/>
              </w:rPr>
            </w:pPr>
            <w:r>
              <w:rPr>
                <w:b/>
                <w:sz w:val="20"/>
              </w:rPr>
              <w:t>i.</w:t>
            </w:r>
          </w:p>
        </w:tc>
        <w:tc>
          <w:tcPr>
            <w:tcW w:w="3420" w:type="dxa"/>
            <w:tcBorders>
              <w:top w:val="single" w:sz="4" w:space="0" w:color="auto"/>
              <w:left w:val="single" w:sz="4" w:space="0" w:color="auto"/>
              <w:bottom w:val="single" w:sz="4" w:space="0" w:color="auto"/>
            </w:tcBorders>
          </w:tcPr>
          <w:p w14:paraId="09FDAD77" w14:textId="4E556D4E" w:rsidR="00D03309" w:rsidRPr="00D03309" w:rsidRDefault="00D03309" w:rsidP="00D03309">
            <w:pPr>
              <w:spacing w:before="120" w:after="120"/>
              <w:rPr>
                <w:sz w:val="20"/>
                <w:szCs w:val="20"/>
              </w:rPr>
            </w:pPr>
            <w:r>
              <w:rPr>
                <w:b/>
                <w:bCs/>
                <w:sz w:val="20"/>
              </w:rPr>
              <w:t>Andra inkomster</w:t>
            </w:r>
            <w:r w:rsidR="006C7512">
              <w:rPr>
                <w:b/>
                <w:bCs/>
                <w:sz w:val="20"/>
              </w:rPr>
              <w:t xml:space="preserve"> och tillgångar</w:t>
            </w:r>
            <w:r>
              <w:rPr>
                <w:b/>
                <w:bCs/>
                <w:sz w:val="20"/>
              </w:rPr>
              <w:t xml:space="preserve"> </w:t>
            </w:r>
            <w:r>
              <w:rPr>
                <w:sz w:val="20"/>
              </w:rPr>
              <w:t xml:space="preserve">(t.ex. hyresintäkter, inkomst av kapital eller värdepapper…) </w:t>
            </w:r>
          </w:p>
        </w:tc>
        <w:tc>
          <w:tcPr>
            <w:tcW w:w="1620" w:type="dxa"/>
            <w:tcBorders>
              <w:top w:val="single" w:sz="4" w:space="0" w:color="auto"/>
              <w:bottom w:val="single" w:sz="4" w:space="0" w:color="auto"/>
            </w:tcBorders>
            <w:vAlign w:val="center"/>
          </w:tcPr>
          <w:p w14:paraId="63F4598A" w14:textId="7A50ECC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tcBorders>
              <w:top w:val="single" w:sz="4" w:space="0" w:color="auto"/>
              <w:bottom w:val="single" w:sz="4" w:space="0" w:color="auto"/>
            </w:tcBorders>
            <w:vAlign w:val="center"/>
          </w:tcPr>
          <w:p w14:paraId="301BDC86" w14:textId="0D9898C4"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7E7CEE8" w14:textId="32293E18"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bl>
    <w:p w14:paraId="44CC333F" w14:textId="54856601" w:rsidR="00D03309" w:rsidRPr="00D03309" w:rsidRDefault="005D6BDC" w:rsidP="00D03309">
      <w:pPr>
        <w:rPr>
          <w:sz w:val="16"/>
          <w:szCs w:val="16"/>
        </w:rPr>
      </w:pPr>
      <w:r>
        <w:rPr>
          <w:sz w:val="16"/>
        </w:rPr>
        <w:t xml:space="preserve">Om utrymme saknas kan denna förteckning kompletteras på ett vitt </w:t>
      </w:r>
      <w:r w:rsidR="007D658E">
        <w:rPr>
          <w:sz w:val="16"/>
        </w:rPr>
        <w:t>papper som bifogas till ansökan</w:t>
      </w:r>
      <w:r>
        <w:rPr>
          <w:sz w:val="16"/>
        </w:rPr>
        <w:t>.</w:t>
      </w:r>
    </w:p>
    <w:p w14:paraId="0D5D6AC1" w14:textId="77777777" w:rsidR="00773364" w:rsidRPr="0053338E" w:rsidRDefault="00773364" w:rsidP="00D03309">
      <w:pPr>
        <w:jc w:val="both"/>
        <w:rPr>
          <w:bCs/>
        </w:rPr>
      </w:pPr>
    </w:p>
    <w:p w14:paraId="68D6D8C4" w14:textId="248342E9" w:rsidR="00D03309" w:rsidRPr="00D03309" w:rsidRDefault="009D76D8" w:rsidP="00D03309">
      <w:pPr>
        <w:jc w:val="both"/>
        <w:rPr>
          <w:b/>
          <w:bCs/>
        </w:rPr>
      </w:pPr>
      <w:r>
        <w:lastRenderedPageBreak/>
        <w:t xml:space="preserve">I rutan nedan ska rättshjälpssökanden </w:t>
      </w:r>
      <w:r w:rsidR="002529D7">
        <w:t>lämna uppgift om sitt egendomsinnehav, även sådan som inte inbringar några inkomster. A</w:t>
      </w:r>
      <w:r w:rsidR="00D03309">
        <w:t>nge arten och värdet av lös egendom (aktier, obligationer</w:t>
      </w:r>
      <w:r>
        <w:t xml:space="preserve"> </w:t>
      </w:r>
      <w:r w:rsidRPr="009D76D8">
        <w:t>eller andra kapitaltillgångar</w:t>
      </w:r>
      <w:r w:rsidR="00D03309">
        <w:t xml:space="preserve">…) </w:t>
      </w:r>
      <w:r>
        <w:t>samt</w:t>
      </w:r>
      <w:r w:rsidR="00D03309">
        <w:t xml:space="preserve"> adressen till och värdet av fast egendom (hus, mark …):</w:t>
      </w:r>
    </w:p>
    <w:p w14:paraId="1546D217" w14:textId="77777777" w:rsidR="00D03309" w:rsidRPr="0053338E" w:rsidRDefault="00D03309" w:rsidP="00D0330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008C174C" w14:textId="77777777" w:rsidTr="00DB1F16">
        <w:trPr>
          <w:trHeight w:val="2835"/>
        </w:trPr>
        <w:tc>
          <w:tcPr>
            <w:tcW w:w="9135" w:type="dxa"/>
          </w:tcPr>
          <w:p w14:paraId="58F66BA2" w14:textId="733FDC9B" w:rsidR="00D03309" w:rsidRPr="00D03309" w:rsidRDefault="00D03309" w:rsidP="00D03309">
            <w:pPr>
              <w:spacing w:before="120"/>
              <w:jc w:val="both"/>
              <w:rPr>
                <w:bCs/>
              </w:rPr>
            </w:pPr>
            <w:r w:rsidRPr="00D03309">
              <w:fldChar w:fldCharType="begin" w:fldLock="1">
                <w:ffData>
                  <w:name w:val="Text28"/>
                  <w:enabled/>
                  <w:calcOnExit w:val="0"/>
                  <w:textInput/>
                </w:ffData>
              </w:fldChar>
            </w:r>
            <w:r w:rsidRPr="00D03309">
              <w:instrText xml:space="preserve"> FORMTEXT </w:instrText>
            </w:r>
            <w:r w:rsidRPr="00D03309">
              <w:fldChar w:fldCharType="separate"/>
            </w:r>
            <w:r>
              <w:t>     </w:t>
            </w:r>
            <w:r w:rsidRPr="00D03309">
              <w:fldChar w:fldCharType="end"/>
            </w:r>
          </w:p>
        </w:tc>
      </w:tr>
    </w:tbl>
    <w:p w14:paraId="1966723D" w14:textId="77777777" w:rsidR="00D03309" w:rsidRPr="00D03309" w:rsidRDefault="00D03309" w:rsidP="00D03309">
      <w:pPr>
        <w:rPr>
          <w:b/>
          <w:bCs/>
          <w:lang w:val="fr-FR"/>
        </w:rPr>
      </w:pPr>
    </w:p>
    <w:p w14:paraId="0A394769" w14:textId="77777777" w:rsidR="00D03309" w:rsidRPr="00D03309" w:rsidRDefault="00D03309" w:rsidP="00D03309">
      <w:pPr>
        <w:rPr>
          <w:b/>
          <w:bCs/>
          <w:lang w:val="fr-FR"/>
        </w:rPr>
      </w:pPr>
    </w:p>
    <w:p w14:paraId="52753D6E" w14:textId="5F9ED2F8" w:rsidR="00D03309" w:rsidRPr="00D03309" w:rsidRDefault="00D03309" w:rsidP="00D03309">
      <w:pPr>
        <w:rPr>
          <w:b/>
          <w:bCs/>
          <w:i/>
        </w:rPr>
      </w:pPr>
      <w:r>
        <w:rPr>
          <w:b/>
          <w:i/>
        </w:rPr>
        <w:t>FÖRSÖRJNINGS</w:t>
      </w:r>
      <w:r w:rsidR="002529D7">
        <w:rPr>
          <w:b/>
          <w:i/>
        </w:rPr>
        <w:t>BÖRDA</w:t>
      </w:r>
    </w:p>
    <w:p w14:paraId="76C28295" w14:textId="77777777" w:rsidR="00D03309" w:rsidRPr="00D03309" w:rsidRDefault="00D03309" w:rsidP="00D03309">
      <w:pPr>
        <w:rPr>
          <w:b/>
          <w:bCs/>
          <w:lang w:val="fr-FR"/>
        </w:rPr>
      </w:pPr>
    </w:p>
    <w:p w14:paraId="1F187994" w14:textId="77777777" w:rsidR="00D03309" w:rsidRPr="00D03309" w:rsidRDefault="00D03309" w:rsidP="00D03309">
      <w:pPr>
        <w:rPr>
          <w:b/>
          <w:bCs/>
          <w:lang w:val="fr-FR"/>
        </w:rPr>
      </w:pPr>
    </w:p>
    <w:p w14:paraId="08FCE887" w14:textId="34AE598C" w:rsidR="00D03309" w:rsidRPr="00D03309" w:rsidRDefault="008B1968" w:rsidP="00D03309">
      <w:pPr>
        <w:jc w:val="both"/>
        <w:rPr>
          <w:b/>
          <w:bCs/>
        </w:rPr>
      </w:pPr>
      <w:r w:rsidRPr="008B1968">
        <w:t xml:space="preserve">I </w:t>
      </w:r>
      <w:r>
        <w:t>förteckningen</w:t>
      </w:r>
      <w:r w:rsidRPr="008B1968">
        <w:t xml:space="preserve"> nedan ska rättshjälpssökanden </w:t>
      </w:r>
      <w:r>
        <w:t>lämna uppgift om</w:t>
      </w:r>
      <w:r w:rsidRPr="008B1968">
        <w:t xml:space="preserve"> </w:t>
      </w:r>
      <w:r w:rsidR="00D03309">
        <w:t xml:space="preserve">barn eller andra personer som </w:t>
      </w:r>
      <w:r>
        <w:t>sökanden</w:t>
      </w:r>
      <w:r w:rsidR="00D03309">
        <w:t xml:space="preserve"> </w:t>
      </w:r>
      <w:r w:rsidRPr="008B1968">
        <w:t>har försörjningsansvar för</w:t>
      </w:r>
      <w:r>
        <w:t xml:space="preserve"> </w:t>
      </w:r>
      <w:r w:rsidR="00D03309">
        <w:t xml:space="preserve">eller som normalt bor hos </w:t>
      </w:r>
      <w:r>
        <w:t>denne</w:t>
      </w:r>
      <w:r w:rsidR="00D03309">
        <w:t>:</w:t>
      </w:r>
    </w:p>
    <w:p w14:paraId="69713AA3" w14:textId="77777777" w:rsidR="00D03309" w:rsidRPr="0053338E" w:rsidRDefault="00D03309" w:rsidP="00D03309">
      <w:pPr>
        <w:jc w:val="both"/>
        <w:rPr>
          <w:sz w:val="20"/>
          <w:szCs w:val="20"/>
        </w:rPr>
      </w:pPr>
    </w:p>
    <w:p w14:paraId="37E376E0" w14:textId="77777777" w:rsidR="00D03309" w:rsidRPr="0053338E" w:rsidRDefault="00D03309" w:rsidP="00D03309">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0611CE" w14:paraId="1FEAD817" w14:textId="77777777" w:rsidTr="00B91930">
        <w:tc>
          <w:tcPr>
            <w:tcW w:w="3107" w:type="dxa"/>
            <w:tcBorders>
              <w:top w:val="nil"/>
              <w:left w:val="nil"/>
              <w:bottom w:val="single" w:sz="4" w:space="0" w:color="auto"/>
            </w:tcBorders>
          </w:tcPr>
          <w:p w14:paraId="2C544C4A" w14:textId="77777777" w:rsidR="00D03309" w:rsidRPr="00724E76" w:rsidRDefault="00D03309" w:rsidP="00D03309">
            <w:pPr>
              <w:jc w:val="center"/>
              <w:rPr>
                <w:sz w:val="20"/>
                <w:szCs w:val="20"/>
              </w:rPr>
            </w:pPr>
            <w:r>
              <w:rPr>
                <w:sz w:val="20"/>
              </w:rPr>
              <w:t>Efternamn och samtliga förnamn (markera tilltalsnamn)</w:t>
            </w:r>
          </w:p>
        </w:tc>
        <w:tc>
          <w:tcPr>
            <w:tcW w:w="3107" w:type="dxa"/>
            <w:tcBorders>
              <w:top w:val="nil"/>
              <w:bottom w:val="single" w:sz="4" w:space="0" w:color="auto"/>
            </w:tcBorders>
          </w:tcPr>
          <w:p w14:paraId="38FF6F5A" w14:textId="77777777" w:rsidR="00D03309" w:rsidRPr="00D03309" w:rsidRDefault="00D03309" w:rsidP="00D03309">
            <w:pPr>
              <w:jc w:val="center"/>
              <w:rPr>
                <w:sz w:val="20"/>
                <w:szCs w:val="20"/>
              </w:rPr>
            </w:pPr>
            <w:r>
              <w:rPr>
                <w:sz w:val="20"/>
              </w:rPr>
              <w:t xml:space="preserve">Släktskapsband </w:t>
            </w:r>
          </w:p>
          <w:p w14:paraId="3A5F9993" w14:textId="77777777" w:rsidR="00D03309" w:rsidRPr="00D03309" w:rsidRDefault="00D03309" w:rsidP="00D03309">
            <w:pPr>
              <w:jc w:val="center"/>
              <w:rPr>
                <w:sz w:val="20"/>
                <w:szCs w:val="20"/>
              </w:rPr>
            </w:pPr>
            <w:r>
              <w:rPr>
                <w:sz w:val="20"/>
              </w:rPr>
              <w:t xml:space="preserve">(t.ex. son, syskonbarn, mor) </w:t>
            </w:r>
          </w:p>
        </w:tc>
        <w:tc>
          <w:tcPr>
            <w:tcW w:w="3108" w:type="dxa"/>
            <w:tcBorders>
              <w:top w:val="nil"/>
              <w:bottom w:val="single" w:sz="4" w:space="0" w:color="auto"/>
              <w:right w:val="nil"/>
            </w:tcBorders>
          </w:tcPr>
          <w:p w14:paraId="009379FE" w14:textId="77777777" w:rsidR="00D03309" w:rsidRPr="00D03309" w:rsidRDefault="00D03309" w:rsidP="00D03309">
            <w:pPr>
              <w:jc w:val="center"/>
              <w:rPr>
                <w:sz w:val="20"/>
                <w:szCs w:val="20"/>
              </w:rPr>
            </w:pPr>
            <w:r>
              <w:rPr>
                <w:sz w:val="20"/>
              </w:rPr>
              <w:t>Födelsedatum:</w:t>
            </w:r>
          </w:p>
          <w:p w14:paraId="34BBB3BB" w14:textId="77777777" w:rsidR="00D03309" w:rsidRPr="00D03309" w:rsidRDefault="00D03309" w:rsidP="00D03309">
            <w:pPr>
              <w:jc w:val="center"/>
              <w:rPr>
                <w:sz w:val="20"/>
                <w:szCs w:val="20"/>
              </w:rPr>
            </w:pPr>
            <w:r>
              <w:rPr>
                <w:sz w:val="20"/>
              </w:rPr>
              <w:t>(</w:t>
            </w:r>
            <w:proofErr w:type="spellStart"/>
            <w:r>
              <w:rPr>
                <w:sz w:val="20"/>
              </w:rPr>
              <w:t>dd</w:t>
            </w:r>
            <w:proofErr w:type="spellEnd"/>
            <w:r>
              <w:rPr>
                <w:sz w:val="20"/>
              </w:rPr>
              <w:t>/mm/</w:t>
            </w:r>
            <w:proofErr w:type="spellStart"/>
            <w:r>
              <w:rPr>
                <w:sz w:val="20"/>
              </w:rPr>
              <w:t>åååå</w:t>
            </w:r>
            <w:proofErr w:type="spellEnd"/>
            <w:r>
              <w:rPr>
                <w:sz w:val="20"/>
              </w:rPr>
              <w:t>)</w:t>
            </w:r>
          </w:p>
        </w:tc>
      </w:tr>
      <w:tr w:rsidR="00D03309" w:rsidRPr="00D03309" w14:paraId="24D19330" w14:textId="77777777" w:rsidTr="00B91930">
        <w:tc>
          <w:tcPr>
            <w:tcW w:w="3107" w:type="dxa"/>
            <w:tcBorders>
              <w:top w:val="single" w:sz="4" w:space="0" w:color="auto"/>
              <w:left w:val="nil"/>
              <w:bottom w:val="nil"/>
              <w:right w:val="single" w:sz="4" w:space="0" w:color="auto"/>
            </w:tcBorders>
          </w:tcPr>
          <w:p w14:paraId="0F70B074" w14:textId="73FF27DB"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single" w:sz="4" w:space="0" w:color="auto"/>
              <w:left w:val="single" w:sz="4" w:space="0" w:color="auto"/>
              <w:bottom w:val="nil"/>
              <w:right w:val="single" w:sz="4" w:space="0" w:color="auto"/>
            </w:tcBorders>
          </w:tcPr>
          <w:p w14:paraId="712E15E9" w14:textId="1EA8FF03"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single" w:sz="4" w:space="0" w:color="auto"/>
              <w:left w:val="single" w:sz="4" w:space="0" w:color="auto"/>
              <w:bottom w:val="nil"/>
              <w:right w:val="nil"/>
            </w:tcBorders>
          </w:tcPr>
          <w:p w14:paraId="100B83F2" w14:textId="544BD2B5" w:rsidR="00D03309" w:rsidRPr="00D03309" w:rsidRDefault="00D03309" w:rsidP="00D03309">
            <w:pPr>
              <w:tabs>
                <w:tab w:val="left" w:leader="dot" w:pos="512"/>
                <w:tab w:val="left" w:leader="dot" w:pos="1412"/>
                <w:tab w:val="left" w:leader="dot" w:pos="2612"/>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0669A1F5" w14:textId="77777777" w:rsidTr="00B91930">
        <w:tc>
          <w:tcPr>
            <w:tcW w:w="3107" w:type="dxa"/>
            <w:tcBorders>
              <w:top w:val="nil"/>
              <w:left w:val="nil"/>
              <w:bottom w:val="nil"/>
              <w:right w:val="single" w:sz="4" w:space="0" w:color="auto"/>
            </w:tcBorders>
          </w:tcPr>
          <w:p w14:paraId="17085BBA" w14:textId="7BDF4191"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6B3A665" w14:textId="3EE35362"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25033088" w14:textId="3202AC3F"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19F72461" w14:textId="77777777" w:rsidTr="00B91930">
        <w:tc>
          <w:tcPr>
            <w:tcW w:w="3107" w:type="dxa"/>
            <w:tcBorders>
              <w:top w:val="nil"/>
              <w:left w:val="nil"/>
              <w:bottom w:val="nil"/>
              <w:right w:val="single" w:sz="4" w:space="0" w:color="auto"/>
            </w:tcBorders>
          </w:tcPr>
          <w:p w14:paraId="1D76F199" w14:textId="2B96B7F7"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771F39E5" w14:textId="501C58B8"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03FCF2B1" w14:textId="6A846A73"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7BE4501C" w14:textId="77777777" w:rsidTr="00B91930">
        <w:trPr>
          <w:trHeight w:val="537"/>
        </w:trPr>
        <w:tc>
          <w:tcPr>
            <w:tcW w:w="3107" w:type="dxa"/>
            <w:tcBorders>
              <w:top w:val="nil"/>
              <w:left w:val="nil"/>
              <w:bottom w:val="nil"/>
              <w:right w:val="single" w:sz="4" w:space="0" w:color="auto"/>
            </w:tcBorders>
          </w:tcPr>
          <w:p w14:paraId="393B59EE" w14:textId="74F4B549"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4F5DE3F" w14:textId="6ADBA6DB"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575BE81C" w14:textId="079D0AC9"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bl>
    <w:p w14:paraId="00E24F7E" w14:textId="77777777" w:rsidR="00D03309" w:rsidRPr="00D03309" w:rsidRDefault="00D03309" w:rsidP="00D03309">
      <w:pPr>
        <w:rPr>
          <w:lang w:val="fr-FR"/>
        </w:rPr>
      </w:pPr>
    </w:p>
    <w:p w14:paraId="05103812" w14:textId="1F2C6FC6" w:rsidR="00D03309" w:rsidRPr="00D03309" w:rsidRDefault="008B1968" w:rsidP="00D03309">
      <w:pPr>
        <w:rPr>
          <w:sz w:val="16"/>
          <w:szCs w:val="16"/>
        </w:rPr>
      </w:pPr>
      <w:r>
        <w:rPr>
          <w:sz w:val="16"/>
        </w:rPr>
        <w:t xml:space="preserve">Om utrymme saknas kan denna förteckning kompletteras på ett vitt </w:t>
      </w:r>
      <w:r w:rsidR="007D658E">
        <w:rPr>
          <w:sz w:val="16"/>
        </w:rPr>
        <w:t>papper som bifogas till ansökan</w:t>
      </w:r>
      <w:r>
        <w:rPr>
          <w:sz w:val="16"/>
        </w:rPr>
        <w:t>.</w:t>
      </w:r>
    </w:p>
    <w:p w14:paraId="5A43ACDB" w14:textId="77777777" w:rsidR="00D03309" w:rsidRPr="0053338E" w:rsidRDefault="00D03309" w:rsidP="00D03309">
      <w:pPr>
        <w:jc w:val="both"/>
        <w:rPr>
          <w:b/>
          <w:bCs/>
        </w:rPr>
      </w:pPr>
    </w:p>
    <w:p w14:paraId="714B3A3C" w14:textId="040C5544" w:rsidR="00D03309" w:rsidRPr="00D03309" w:rsidRDefault="008B1968" w:rsidP="00D03309">
      <w:pPr>
        <w:jc w:val="both"/>
      </w:pPr>
      <w:r w:rsidRPr="008B1968">
        <w:t xml:space="preserve">I </w:t>
      </w:r>
      <w:r>
        <w:t>rutan</w:t>
      </w:r>
      <w:r w:rsidRPr="008B1968">
        <w:t xml:space="preserve"> nedan ska rättshjälpssökanden lämna uppgift om </w:t>
      </w:r>
      <w:r w:rsidR="00D03309">
        <w:t xml:space="preserve">underhåll som </w:t>
      </w:r>
      <w:r>
        <w:t xml:space="preserve">denne </w:t>
      </w:r>
      <w:r w:rsidR="00D03309">
        <w:t xml:space="preserve">betalar till </w:t>
      </w:r>
      <w:r w:rsidRPr="008B1968">
        <w:t>make, barn eller annan</w:t>
      </w:r>
      <w:r w:rsidR="00D03309">
        <w:t>:</w:t>
      </w:r>
    </w:p>
    <w:p w14:paraId="6E06073B" w14:textId="77777777" w:rsidR="00D03309" w:rsidRPr="0053338E" w:rsidRDefault="00D03309" w:rsidP="00D0330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D03309" w14:paraId="3C3E777C" w14:textId="77777777" w:rsidTr="006322D0">
        <w:trPr>
          <w:trHeight w:val="2835"/>
          <w:jc w:val="center"/>
        </w:trPr>
        <w:tc>
          <w:tcPr>
            <w:tcW w:w="9000" w:type="dxa"/>
          </w:tcPr>
          <w:p w14:paraId="785050F3" w14:textId="2EB371CD"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r w:rsidRPr="00D03309">
              <w:instrText xml:space="preserve"> FORMTEXT </w:instrText>
            </w:r>
            <w:r w:rsidRPr="00D03309">
              <w:fldChar w:fldCharType="separate"/>
            </w:r>
            <w:r>
              <w:t>     </w:t>
            </w:r>
            <w:r w:rsidRPr="00D03309">
              <w:fldChar w:fldCharType="end"/>
            </w:r>
          </w:p>
        </w:tc>
      </w:tr>
    </w:tbl>
    <w:p w14:paraId="437A979A" w14:textId="77777777" w:rsidR="00D03309" w:rsidRPr="00D03309" w:rsidRDefault="00D03309" w:rsidP="00D03309">
      <w:pPr>
        <w:spacing w:line="360" w:lineRule="auto"/>
        <w:jc w:val="both"/>
        <w:rPr>
          <w:bCs/>
          <w:lang w:val="fr-FR"/>
        </w:rPr>
      </w:pPr>
    </w:p>
    <w:p w14:paraId="5116DAB1" w14:textId="09C75ACE" w:rsidR="00D03309" w:rsidRPr="00D03309" w:rsidRDefault="002529D7" w:rsidP="00D03309">
      <w:pPr>
        <w:jc w:val="both"/>
      </w:pPr>
      <w:r w:rsidRPr="008B1968">
        <w:lastRenderedPageBreak/>
        <w:t xml:space="preserve">I </w:t>
      </w:r>
      <w:r>
        <w:t>rutan</w:t>
      </w:r>
      <w:r w:rsidRPr="008B1968">
        <w:t xml:space="preserve"> nedan </w:t>
      </w:r>
      <w:r>
        <w:t>har</w:t>
      </w:r>
      <w:r w:rsidRPr="002529D7">
        <w:t xml:space="preserve"> </w:t>
      </w:r>
      <w:r w:rsidRPr="008B1968">
        <w:t>rättshjälpssökanden</w:t>
      </w:r>
      <w:r>
        <w:t xml:space="preserve"> möjlighet att lämna</w:t>
      </w:r>
      <w:r w:rsidR="00D03309">
        <w:t xml:space="preserve"> ytterligare upp</w:t>
      </w:r>
      <w:r>
        <w:t>lysningar</w:t>
      </w:r>
      <w:r w:rsidR="00D03309">
        <w:t xml:space="preserve"> </w:t>
      </w:r>
      <w:r>
        <w:t>om</w:t>
      </w:r>
      <w:r w:rsidR="00D03309">
        <w:t xml:space="preserve"> </w:t>
      </w:r>
      <w:r>
        <w:t>si</w:t>
      </w:r>
      <w:r w:rsidR="00543271">
        <w:t>tt</w:t>
      </w:r>
      <w:r w:rsidR="00D03309">
        <w:t xml:space="preserve"> </w:t>
      </w:r>
      <w:r w:rsidR="00543271">
        <w:t>ekonomiska underlag</w:t>
      </w:r>
      <w:r w:rsidR="00D03309">
        <w:t xml:space="preserve">, antingen </w:t>
      </w:r>
      <w:r w:rsidR="006B0120">
        <w:t xml:space="preserve">beträffande sina </w:t>
      </w:r>
      <w:r w:rsidR="00543271">
        <w:t xml:space="preserve">inkomster och tillgångar eller </w:t>
      </w:r>
      <w:r w:rsidR="006B0120">
        <w:t xml:space="preserve">beträffande sin </w:t>
      </w:r>
      <w:r w:rsidR="00543271">
        <w:t>försörjningsbörda</w:t>
      </w:r>
      <w:r w:rsidR="00D03309">
        <w:t>:</w:t>
      </w:r>
    </w:p>
    <w:p w14:paraId="74D099C8" w14:textId="77777777" w:rsidR="00D03309" w:rsidRPr="0053338E" w:rsidRDefault="00D03309" w:rsidP="00D03309">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36660FFD" w14:textId="77777777" w:rsidTr="007D6F11">
        <w:trPr>
          <w:trHeight w:val="8943"/>
        </w:trPr>
        <w:tc>
          <w:tcPr>
            <w:tcW w:w="9135" w:type="dxa"/>
          </w:tcPr>
          <w:p w14:paraId="01A87390" w14:textId="77777777" w:rsidR="00D03309" w:rsidRPr="00D03309" w:rsidRDefault="00D03309" w:rsidP="00D03309">
            <w:pPr>
              <w:spacing w:before="120" w:line="360" w:lineRule="auto"/>
              <w:jc w:val="both"/>
            </w:pPr>
            <w:r w:rsidRPr="00D03309">
              <w:fldChar w:fldCharType="begin" w:fldLock="1">
                <w:ffData>
                  <w:name w:val="Text30"/>
                  <w:enabled/>
                  <w:calcOnExit w:val="0"/>
                  <w:textInput/>
                </w:ffData>
              </w:fldChar>
            </w:r>
            <w:bookmarkStart w:id="0" w:name="Text30"/>
            <w:r w:rsidRPr="00D03309">
              <w:instrText xml:space="preserve"> FORMTEXT </w:instrText>
            </w:r>
            <w:r w:rsidRPr="00D03309">
              <w:fldChar w:fldCharType="separate"/>
            </w:r>
            <w:r>
              <w:t>     </w:t>
            </w:r>
            <w:r w:rsidRPr="00D03309">
              <w:fldChar w:fldCharType="end"/>
            </w:r>
            <w:bookmarkEnd w:id="0"/>
          </w:p>
        </w:tc>
      </w:tr>
    </w:tbl>
    <w:p w14:paraId="04802AFE" w14:textId="77777777" w:rsidR="00D03309" w:rsidRPr="00D03309" w:rsidRDefault="00D03309" w:rsidP="00D03309">
      <w:pPr>
        <w:jc w:val="both"/>
        <w:rPr>
          <w:b/>
          <w:bCs/>
          <w:lang w:val="fr-FR"/>
        </w:rPr>
      </w:pPr>
    </w:p>
    <w:p w14:paraId="43FDF531" w14:textId="77777777" w:rsidR="00D03309" w:rsidRPr="00D03309" w:rsidRDefault="00D03309" w:rsidP="00D03309">
      <w:pPr>
        <w:jc w:val="both"/>
        <w:rPr>
          <w:b/>
          <w:bCs/>
          <w:lang w:val="fr-FR"/>
        </w:rPr>
      </w:pPr>
    </w:p>
    <w:p w14:paraId="00B42502" w14:textId="6BAAEC6A" w:rsidR="00D03309" w:rsidRPr="00D03309" w:rsidRDefault="00D03309" w:rsidP="00D03309">
      <w:pPr>
        <w:jc w:val="both"/>
        <w:rPr>
          <w:b/>
          <w:bCs/>
        </w:rPr>
      </w:pPr>
      <w:r>
        <w:rPr>
          <w:b/>
        </w:rPr>
        <w:t xml:space="preserve">De upplysningar som lämnats ovan ska åtföljas av bestyrkande handlingar som gör det möjligt att bedöma </w:t>
      </w:r>
      <w:r w:rsidR="00D45D81">
        <w:rPr>
          <w:b/>
        </w:rPr>
        <w:t>rättshjälps</w:t>
      </w:r>
      <w:r>
        <w:rPr>
          <w:b/>
        </w:rPr>
        <w:t>sökandens ekonomiska situation (</w:t>
      </w:r>
      <w:r w:rsidR="003F4CF2">
        <w:rPr>
          <w:b/>
        </w:rPr>
        <w:t>artikel </w:t>
      </w:r>
      <w:r>
        <w:rPr>
          <w:b/>
        </w:rPr>
        <w:t>147.3 i rättegångsreglerna).</w:t>
      </w:r>
    </w:p>
    <w:p w14:paraId="19FC66CA" w14:textId="77777777" w:rsidR="00D03309" w:rsidRPr="0053338E" w:rsidRDefault="00D03309" w:rsidP="00D03309">
      <w:pPr>
        <w:jc w:val="both"/>
        <w:rPr>
          <w:b/>
          <w:bCs/>
        </w:rPr>
      </w:pPr>
    </w:p>
    <w:p w14:paraId="03001B8B" w14:textId="46AE1C18" w:rsidR="00D03309" w:rsidRPr="00D03309" w:rsidRDefault="00D03309" w:rsidP="00D03309">
      <w:pPr>
        <w:jc w:val="both"/>
        <w:rPr>
          <w:b/>
          <w:bCs/>
        </w:rPr>
      </w:pPr>
      <w:r>
        <w:rPr>
          <w:b/>
        </w:rPr>
        <w:t>Förteckningen över bestyrkande handlingar</w:t>
      </w:r>
      <w:r w:rsidR="00EA631A">
        <w:rPr>
          <w:b/>
        </w:rPr>
        <w:t>,</w:t>
      </w:r>
      <w:r>
        <w:rPr>
          <w:b/>
        </w:rPr>
        <w:t xml:space="preserve"> </w:t>
      </w:r>
      <w:r w:rsidR="00EA631A" w:rsidRPr="00EA631A">
        <w:rPr>
          <w:b/>
        </w:rPr>
        <w:t xml:space="preserve">däribland eventuellt </w:t>
      </w:r>
      <w:r w:rsidR="00EA631A">
        <w:rPr>
          <w:b/>
        </w:rPr>
        <w:t xml:space="preserve">förekommande </w:t>
      </w:r>
      <w:r>
        <w:rPr>
          <w:b/>
        </w:rPr>
        <w:t xml:space="preserve">intyg från behörig nationell myndighet som styrker </w:t>
      </w:r>
      <w:r w:rsidR="00D45D81" w:rsidRPr="00D45D81">
        <w:rPr>
          <w:b/>
        </w:rPr>
        <w:t xml:space="preserve">uppgifterna om </w:t>
      </w:r>
      <w:r>
        <w:rPr>
          <w:b/>
        </w:rPr>
        <w:t>de</w:t>
      </w:r>
      <w:r w:rsidR="00D45D81">
        <w:rPr>
          <w:b/>
        </w:rPr>
        <w:t>t</w:t>
      </w:r>
      <w:r>
        <w:rPr>
          <w:b/>
        </w:rPr>
        <w:t xml:space="preserve"> ekonomiska </w:t>
      </w:r>
      <w:r w:rsidR="00D45D81">
        <w:rPr>
          <w:b/>
        </w:rPr>
        <w:t>underlaget</w:t>
      </w:r>
      <w:r w:rsidR="00EA631A">
        <w:rPr>
          <w:b/>
        </w:rPr>
        <w:t>,</w:t>
      </w:r>
      <w:r>
        <w:rPr>
          <w:b/>
        </w:rPr>
        <w:t xml:space="preserve"> ska bifogas</w:t>
      </w:r>
      <w:r w:rsidR="00EA631A">
        <w:rPr>
          <w:b/>
        </w:rPr>
        <w:t xml:space="preserve"> till</w:t>
      </w:r>
      <w:r>
        <w:rPr>
          <w:b/>
        </w:rPr>
        <w:t xml:space="preserve"> ansökan.</w:t>
      </w:r>
    </w:p>
    <w:p w14:paraId="362D5F67" w14:textId="77777777" w:rsidR="00D03309" w:rsidRPr="0053338E" w:rsidRDefault="00D03309" w:rsidP="00D03309">
      <w:pPr>
        <w:jc w:val="both"/>
        <w:rPr>
          <w:b/>
          <w:bCs/>
        </w:rPr>
      </w:pPr>
    </w:p>
    <w:p w14:paraId="0F5C4B0C" w14:textId="50BE151B" w:rsidR="00D03309" w:rsidRPr="0053338E" w:rsidRDefault="00D03309" w:rsidP="00743501">
      <w:pPr>
        <w:jc w:val="both"/>
      </w:pPr>
      <w:r>
        <w:rPr>
          <w:b/>
        </w:rPr>
        <w:t>Originalen till bestyrkande handlingar som ges in kommer inte att återsändas. Tribunalen rekommenderar därför att rättshjälpssökanden ger in kopior av de aktuella handlingarna.</w:t>
      </w:r>
    </w:p>
    <w:p w14:paraId="62B7BDA2" w14:textId="77777777" w:rsidR="00D03309" w:rsidRPr="00E2265A" w:rsidRDefault="00D03309" w:rsidP="00D03309">
      <w:pPr>
        <w:jc w:val="center"/>
        <w:rPr>
          <w:b/>
          <w:bCs/>
          <w:color w:val="1F497D"/>
        </w:rPr>
      </w:pPr>
      <w:r>
        <w:br w:type="page"/>
      </w:r>
      <w:r>
        <w:rPr>
          <w:b/>
          <w:color w:val="1F497D"/>
        </w:rPr>
        <w:lastRenderedPageBreak/>
        <w:t>JURIDISK PERSON</w:t>
      </w:r>
    </w:p>
    <w:p w14:paraId="3DF2EB7C" w14:textId="77777777" w:rsidR="00D03309" w:rsidRPr="0053338E" w:rsidRDefault="00D03309" w:rsidP="00D03309">
      <w:pPr>
        <w:jc w:val="both"/>
        <w:rPr>
          <w:b/>
          <w:bCs/>
        </w:rPr>
      </w:pPr>
    </w:p>
    <w:p w14:paraId="2B40C2A6" w14:textId="58AFBE56" w:rsidR="00D03309" w:rsidRPr="00D03309" w:rsidRDefault="00D03309" w:rsidP="00D03309">
      <w:pPr>
        <w:jc w:val="both"/>
      </w:pPr>
      <w:r>
        <w:t>Om det är en juridisk person som ansöker om rättshjälp, ska ansökan åtföljas av aktuellt bevis på personens rättsliga existens (utdrag ur näringslivsregister, föreningsregister eller annan officiell handling (</w:t>
      </w:r>
      <w:r w:rsidR="003F4CF2">
        <w:t>artikel </w:t>
      </w:r>
      <w:r>
        <w:t xml:space="preserve">147.5 jämförd med </w:t>
      </w:r>
      <w:r w:rsidR="003F4CF2">
        <w:t>artikel </w:t>
      </w:r>
      <w:r>
        <w:t>78.4 i rättegångsreglerna).</w:t>
      </w:r>
    </w:p>
    <w:p w14:paraId="6E782288" w14:textId="77777777" w:rsidR="00D03309" w:rsidRPr="0053338E" w:rsidRDefault="00D03309" w:rsidP="00EE4993">
      <w:pPr>
        <w:jc w:val="both"/>
      </w:pPr>
    </w:p>
    <w:p w14:paraId="11D1BF82" w14:textId="3BBB71F6" w:rsidR="00D03309" w:rsidRPr="00D03309" w:rsidRDefault="00EA631A" w:rsidP="00D03309">
      <w:pPr>
        <w:jc w:val="both"/>
      </w:pPr>
      <w:r>
        <w:t>I rutan nedan ska rättshjälpssökanden b</w:t>
      </w:r>
      <w:r w:rsidR="00D03309">
        <w:t>eskriv</w:t>
      </w:r>
      <w:r>
        <w:t>a</w:t>
      </w:r>
      <w:r w:rsidR="00D03309">
        <w:t xml:space="preserve"> </w:t>
      </w:r>
      <w:r>
        <w:t>sin</w:t>
      </w:r>
      <w:r w:rsidR="00D03309">
        <w:t xml:space="preserve"> ekonomiska situation samt eventuella delägares eller aktieägares ekonomiska situation:</w:t>
      </w:r>
    </w:p>
    <w:p w14:paraId="36AC9AB2" w14:textId="77777777" w:rsidR="00D03309" w:rsidRPr="0053338E" w:rsidRDefault="00D03309" w:rsidP="00EE499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5327A16" w14:textId="77777777" w:rsidTr="004026FB">
        <w:trPr>
          <w:trHeight w:val="8131"/>
        </w:trPr>
        <w:tc>
          <w:tcPr>
            <w:tcW w:w="9135" w:type="dxa"/>
          </w:tcPr>
          <w:p w14:paraId="16B7688C" w14:textId="35218277"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r w:rsidRPr="00D03309">
              <w:instrText xml:space="preserve"> FORMTEXT </w:instrText>
            </w:r>
            <w:r w:rsidRPr="00D03309">
              <w:fldChar w:fldCharType="separate"/>
            </w:r>
            <w:r>
              <w:t>     </w:t>
            </w:r>
            <w:r w:rsidRPr="00D03309">
              <w:fldChar w:fldCharType="end"/>
            </w:r>
          </w:p>
        </w:tc>
      </w:tr>
    </w:tbl>
    <w:p w14:paraId="4C824C73" w14:textId="77777777" w:rsidR="00D03309" w:rsidRPr="00D03309" w:rsidRDefault="00D03309" w:rsidP="00D03309">
      <w:pPr>
        <w:jc w:val="both"/>
        <w:rPr>
          <w:b/>
          <w:bCs/>
          <w:lang w:val="fr-FR"/>
        </w:rPr>
      </w:pPr>
    </w:p>
    <w:p w14:paraId="3DBBA2EE" w14:textId="6B49F30E" w:rsidR="00D03309" w:rsidRPr="00D03309" w:rsidRDefault="00D03309" w:rsidP="00EE4993">
      <w:pPr>
        <w:spacing w:after="120"/>
        <w:jc w:val="both"/>
        <w:rPr>
          <w:b/>
          <w:bCs/>
        </w:rPr>
      </w:pPr>
      <w:r>
        <w:rPr>
          <w:b/>
        </w:rPr>
        <w:t>De upplysningar som lämnats ovan ska åtföljas av bestyrkande handlingar som gör det möjligt att bedöma sökandens samt eventuella delägares eller aktieägares ekonomiska situation (</w:t>
      </w:r>
      <w:r w:rsidR="003F4CF2">
        <w:rPr>
          <w:b/>
        </w:rPr>
        <w:t>artikel </w:t>
      </w:r>
      <w:r>
        <w:rPr>
          <w:b/>
        </w:rPr>
        <w:t>147.3 i rättegångsreglerna).</w:t>
      </w:r>
    </w:p>
    <w:p w14:paraId="6266656B" w14:textId="41BA5AFE" w:rsidR="00D03309" w:rsidRPr="00D03309" w:rsidRDefault="007C100E" w:rsidP="00EE4993">
      <w:pPr>
        <w:spacing w:after="120"/>
        <w:jc w:val="both"/>
        <w:rPr>
          <w:b/>
          <w:bCs/>
        </w:rPr>
      </w:pPr>
      <w:r>
        <w:rPr>
          <w:b/>
        </w:rPr>
        <w:t xml:space="preserve">Förteckningen över bestyrkande handlingar, </w:t>
      </w:r>
      <w:r w:rsidRPr="00EA631A">
        <w:rPr>
          <w:b/>
        </w:rPr>
        <w:t xml:space="preserve">däribland eventuellt </w:t>
      </w:r>
      <w:r>
        <w:rPr>
          <w:b/>
        </w:rPr>
        <w:t xml:space="preserve">förekommande intyg från behörig nationell myndighet som styrker </w:t>
      </w:r>
      <w:r w:rsidRPr="00D45D81">
        <w:rPr>
          <w:b/>
        </w:rPr>
        <w:t xml:space="preserve">uppgifterna om </w:t>
      </w:r>
      <w:r>
        <w:rPr>
          <w:b/>
        </w:rPr>
        <w:t>det ekonomiska underlaget, ska bifogas till ansökan</w:t>
      </w:r>
      <w:r w:rsidR="00D03309">
        <w:rPr>
          <w:b/>
        </w:rPr>
        <w:t>.</w:t>
      </w:r>
    </w:p>
    <w:p w14:paraId="0D4D955D" w14:textId="42BACF77" w:rsidR="00D03309" w:rsidRPr="00D03309" w:rsidRDefault="00D03309" w:rsidP="00D03309">
      <w:pPr>
        <w:jc w:val="both"/>
        <w:rPr>
          <w:b/>
          <w:bCs/>
        </w:rPr>
      </w:pPr>
      <w:r>
        <w:rPr>
          <w:b/>
        </w:rPr>
        <w:t>Originalen till bestyrkande handlingar som ges in kommer inte att återsändas. Tribunalen rekommenderar därför att rättshjälpssökanden ger in kopior av de aktuella handlingarna.</w:t>
      </w:r>
    </w:p>
    <w:p w14:paraId="7467BBF1" w14:textId="77777777" w:rsidR="00D03309" w:rsidRPr="00675987" w:rsidRDefault="00D03309" w:rsidP="00D03309">
      <w:pPr>
        <w:spacing w:line="360" w:lineRule="auto"/>
        <w:rPr>
          <w:b/>
          <w:highlight w:val="lightGray"/>
        </w:rPr>
      </w:pPr>
      <w:r>
        <w:br w:type="page"/>
      </w:r>
    </w:p>
    <w:p w14:paraId="4AA1FE5E" w14:textId="77777777" w:rsidR="00D03309" w:rsidRPr="00D03309" w:rsidRDefault="00D03309" w:rsidP="00D03309">
      <w:pPr>
        <w:spacing w:line="360" w:lineRule="auto"/>
        <w:jc w:val="center"/>
        <w:rPr>
          <w:b/>
        </w:rPr>
      </w:pPr>
      <w:r>
        <w:rPr>
          <w:b/>
        </w:rPr>
        <w:t>EVENTUELLT FÖRSLAG PÅ ADVOKAT</w:t>
      </w:r>
    </w:p>
    <w:p w14:paraId="43A832B1" w14:textId="77777777" w:rsidR="00D03309" w:rsidRPr="0053338E" w:rsidRDefault="00D03309" w:rsidP="00D03309">
      <w:pPr>
        <w:spacing w:line="360" w:lineRule="auto"/>
        <w:rPr>
          <w:sz w:val="20"/>
          <w:szCs w:val="20"/>
        </w:rPr>
      </w:pPr>
    </w:p>
    <w:p w14:paraId="26AD8246" w14:textId="77777777" w:rsidR="00D03309" w:rsidRPr="00D03309" w:rsidRDefault="00D03309" w:rsidP="00D03309">
      <w:pPr>
        <w:jc w:val="both"/>
      </w:pPr>
      <w:r>
        <w:t>Om en advokat som är behörig att uppträda inför domstol i någon av medlemsstaterna eller i en annan stat som är part i EES-avtalet har valts, är följande upplysningar nödvändiga:</w:t>
      </w:r>
    </w:p>
    <w:p w14:paraId="696B8654" w14:textId="77777777" w:rsidR="00D03309" w:rsidRPr="0053338E" w:rsidRDefault="00D03309" w:rsidP="00D03309">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D03309" w14:paraId="5CDC2903" w14:textId="77777777" w:rsidTr="00BD1AB1">
        <w:trPr>
          <w:trHeight w:val="567"/>
        </w:trPr>
        <w:tc>
          <w:tcPr>
            <w:tcW w:w="9208" w:type="dxa"/>
            <w:gridSpan w:val="2"/>
          </w:tcPr>
          <w:p w14:paraId="5D0D289E" w14:textId="6196E386" w:rsidR="00D03309" w:rsidRPr="00D03309" w:rsidRDefault="00D03309" w:rsidP="00D03309">
            <w:pPr>
              <w:tabs>
                <w:tab w:val="left" w:pos="8800"/>
              </w:tabs>
            </w:pPr>
            <w:r>
              <w:t xml:space="preserve">Advokatens namn: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73FDD727" w14:textId="77777777" w:rsidTr="00BD1AB1">
        <w:trPr>
          <w:trHeight w:val="567"/>
        </w:trPr>
        <w:tc>
          <w:tcPr>
            <w:tcW w:w="9208" w:type="dxa"/>
            <w:gridSpan w:val="2"/>
          </w:tcPr>
          <w:p w14:paraId="051E3C59" w14:textId="74A372C7" w:rsidR="00D03309" w:rsidRPr="00D03309" w:rsidRDefault="00D03309" w:rsidP="00D03309">
            <w:pPr>
              <w:tabs>
                <w:tab w:val="left" w:pos="8800"/>
              </w:tabs>
            </w:pPr>
            <w:r>
              <w:t xml:space="preserve">Adress: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226C45F" w14:textId="77777777" w:rsidTr="00BD1AB1">
        <w:trPr>
          <w:trHeight w:val="567"/>
        </w:trPr>
        <w:tc>
          <w:tcPr>
            <w:tcW w:w="4604" w:type="dxa"/>
          </w:tcPr>
          <w:p w14:paraId="6C33F58A" w14:textId="3D773A19" w:rsidR="00D03309" w:rsidRPr="00D03309" w:rsidRDefault="00D03309" w:rsidP="00D03309">
            <w:pPr>
              <w:tabs>
                <w:tab w:val="left" w:pos="4100"/>
                <w:tab w:val="left" w:leader="dot" w:pos="4200"/>
              </w:tabs>
              <w:ind w:right="88"/>
            </w:pPr>
            <w:r>
              <w:t xml:space="preserve">Postnummer: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tcPr>
          <w:p w14:paraId="205FB16F" w14:textId="21FCAA06" w:rsidR="00D03309" w:rsidRPr="00D03309" w:rsidRDefault="00D03309" w:rsidP="00D03309">
            <w:pPr>
              <w:tabs>
                <w:tab w:val="left" w:pos="4196"/>
              </w:tabs>
            </w:pPr>
            <w:r>
              <w:t xml:space="preserve">Ort: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F8807DA" w14:textId="77777777" w:rsidTr="00BD1AB1">
        <w:trPr>
          <w:trHeight w:val="567"/>
        </w:trPr>
        <w:tc>
          <w:tcPr>
            <w:tcW w:w="9208" w:type="dxa"/>
            <w:gridSpan w:val="2"/>
          </w:tcPr>
          <w:p w14:paraId="74482A34" w14:textId="751372F5" w:rsidR="00D03309" w:rsidRPr="00D03309" w:rsidRDefault="00D03309" w:rsidP="00D03309">
            <w:pPr>
              <w:tabs>
                <w:tab w:val="left" w:pos="8800"/>
              </w:tabs>
            </w:pPr>
            <w:r>
              <w:t xml:space="preserve">Land: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EFB783F" w14:textId="77777777" w:rsidTr="00BD1AB1">
        <w:trPr>
          <w:trHeight w:val="567"/>
        </w:trPr>
        <w:tc>
          <w:tcPr>
            <w:tcW w:w="9208" w:type="dxa"/>
            <w:gridSpan w:val="2"/>
          </w:tcPr>
          <w:p w14:paraId="70A1EC84" w14:textId="062E057D" w:rsidR="00D03309" w:rsidRPr="00D03309" w:rsidRDefault="00D03309" w:rsidP="00D03309">
            <w:pPr>
              <w:tabs>
                <w:tab w:val="left" w:pos="8800"/>
              </w:tabs>
            </w:pPr>
            <w:r>
              <w:t xml:space="preserve">Telefon: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0E7D4A" w:rsidRPr="00D03309" w14:paraId="2DFD13AB" w14:textId="77777777" w:rsidTr="00BD1AB1">
        <w:trPr>
          <w:trHeight w:val="567"/>
        </w:trPr>
        <w:tc>
          <w:tcPr>
            <w:tcW w:w="9208" w:type="dxa"/>
            <w:gridSpan w:val="2"/>
          </w:tcPr>
          <w:p w14:paraId="6040B8C4" w14:textId="3FF90ADE" w:rsidR="000E7D4A" w:rsidRPr="00D03309" w:rsidRDefault="000E7D4A" w:rsidP="003C6D7D">
            <w:pPr>
              <w:tabs>
                <w:tab w:val="left" w:pos="8800"/>
              </w:tabs>
            </w:pPr>
            <w:r>
              <w:t>E-post (frivillig</w:t>
            </w:r>
            <w:r w:rsidR="003C6D7D">
              <w:t>t</w:t>
            </w:r>
            <w:r>
              <w:t xml:space="preserve">): </w:t>
            </w:r>
            <w:r w:rsidRPr="00DF7C61">
              <w:rPr>
                <w:u w:val="dotted"/>
              </w:rPr>
              <w:fldChar w:fldCharType="begin" w:fldLock="1">
                <w:ffData>
                  <w:name w:val=""/>
                  <w:enabled/>
                  <w:calcOnExit w:val="0"/>
                  <w:textInput>
                    <w:maxLength w:val="75"/>
                  </w:textInput>
                </w:ffData>
              </w:fldChar>
            </w:r>
            <w:r w:rsidRPr="00DF7C61">
              <w:rPr>
                <w:u w:val="dotted"/>
              </w:rPr>
              <w:instrText xml:space="preserve"> FORMTEXT </w:instrText>
            </w:r>
            <w:r w:rsidRPr="00DF7C61">
              <w:rPr>
                <w:u w:val="dotted"/>
              </w:rPr>
            </w:r>
            <w:r w:rsidRPr="00DF7C61">
              <w:rPr>
                <w:u w:val="dotted"/>
              </w:rPr>
              <w:fldChar w:fldCharType="separate"/>
            </w:r>
            <w:r>
              <w:rPr>
                <w:u w:val="dotted"/>
              </w:rPr>
              <w:t>     </w:t>
            </w:r>
            <w:r w:rsidRPr="00DF7C61">
              <w:rPr>
                <w:u w:val="dotted"/>
              </w:rPr>
              <w:fldChar w:fldCharType="end"/>
            </w:r>
            <w:r>
              <w:rPr>
                <w:u w:val="dotted"/>
              </w:rPr>
              <w:tab/>
            </w:r>
          </w:p>
        </w:tc>
      </w:tr>
    </w:tbl>
    <w:p w14:paraId="60E84024" w14:textId="77777777" w:rsidR="00D03309" w:rsidRPr="00D03309" w:rsidRDefault="00D03309" w:rsidP="00D03309">
      <w:pPr>
        <w:spacing w:line="360" w:lineRule="auto"/>
        <w:rPr>
          <w:sz w:val="20"/>
          <w:szCs w:val="20"/>
          <w:lang w:val="fr-FR"/>
        </w:rPr>
      </w:pPr>
    </w:p>
    <w:p w14:paraId="48F187AF" w14:textId="77777777" w:rsidR="00D03309" w:rsidRPr="00D03309" w:rsidRDefault="00D03309" w:rsidP="00D03309">
      <w:pPr>
        <w:spacing w:line="360" w:lineRule="auto"/>
        <w:rPr>
          <w:sz w:val="20"/>
          <w:szCs w:val="20"/>
          <w:lang w:val="fr-FR"/>
        </w:rPr>
      </w:pPr>
    </w:p>
    <w:p w14:paraId="74EF1FE9" w14:textId="77777777" w:rsidR="00D03309" w:rsidRPr="00D03309" w:rsidRDefault="00D03309" w:rsidP="00D03309">
      <w:pPr>
        <w:spacing w:line="360" w:lineRule="auto"/>
        <w:jc w:val="center"/>
        <w:rPr>
          <w:b/>
          <w:bCs/>
        </w:rPr>
      </w:pPr>
      <w:r>
        <w:rPr>
          <w:b/>
        </w:rPr>
        <w:t>FÖRSÄKRAN PÅ HEDER OCH SAMVETE</w:t>
      </w:r>
    </w:p>
    <w:p w14:paraId="14A81799" w14:textId="77777777" w:rsidR="00D03309" w:rsidRPr="00D03309" w:rsidRDefault="00D03309" w:rsidP="00D03309">
      <w:pPr>
        <w:spacing w:line="360" w:lineRule="auto"/>
        <w:jc w:val="both"/>
        <w:rPr>
          <w:lang w:val="fr-FR"/>
        </w:rPr>
      </w:pPr>
    </w:p>
    <w:p w14:paraId="0F9DF611" w14:textId="77777777" w:rsidR="00D03309" w:rsidRPr="00D03309" w:rsidRDefault="00D03309" w:rsidP="00D03309">
      <w:pPr>
        <w:jc w:val="both"/>
      </w:pPr>
      <w:r>
        <w:t>Jag försäkrar på heder och samvete att de uppgifter som jag har lämnat i denna ansökan om rättshjälp är korrekta.</w:t>
      </w:r>
    </w:p>
    <w:p w14:paraId="39F5A778" w14:textId="77777777" w:rsidR="00D03309" w:rsidRPr="0053338E" w:rsidRDefault="00D03309" w:rsidP="00D03309">
      <w:pPr>
        <w:spacing w:line="360" w:lineRule="auto"/>
        <w:jc w:val="both"/>
      </w:pPr>
    </w:p>
    <w:tbl>
      <w:tblPr>
        <w:tblW w:w="0" w:type="auto"/>
        <w:tblLook w:val="01E0" w:firstRow="1" w:lastRow="1" w:firstColumn="1" w:lastColumn="1" w:noHBand="0" w:noVBand="0"/>
      </w:tblPr>
      <w:tblGrid>
        <w:gridCol w:w="3689"/>
        <w:gridCol w:w="5554"/>
      </w:tblGrid>
      <w:tr w:rsidR="00D03309" w:rsidRPr="000611CE" w14:paraId="4FD5D26C" w14:textId="77777777" w:rsidTr="00BD1AB1">
        <w:tc>
          <w:tcPr>
            <w:tcW w:w="3708" w:type="dxa"/>
          </w:tcPr>
          <w:p w14:paraId="20267066" w14:textId="634EC7A4" w:rsidR="00D03309" w:rsidRPr="00D03309" w:rsidRDefault="00D03309" w:rsidP="00D03309">
            <w:pPr>
              <w:tabs>
                <w:tab w:val="left" w:leader="dot" w:pos="1134"/>
                <w:tab w:val="left" w:leader="dot" w:pos="2000"/>
                <w:tab w:val="left" w:leader="dot" w:pos="3200"/>
              </w:tabs>
              <w:spacing w:line="360" w:lineRule="auto"/>
            </w:pPr>
            <w:r>
              <w:t xml:space="preserve">Datum: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c>
          <w:tcPr>
            <w:tcW w:w="5581" w:type="dxa"/>
          </w:tcPr>
          <w:p w14:paraId="7DB2CFAB" w14:textId="604DC30E" w:rsidR="00D03309" w:rsidRPr="00D03309" w:rsidRDefault="00D03309" w:rsidP="006322D0">
            <w:r>
              <w:t>Sökandens eller advokatens namnteckning:</w:t>
            </w:r>
          </w:p>
        </w:tc>
      </w:tr>
    </w:tbl>
    <w:p w14:paraId="58F66A73" w14:textId="77777777" w:rsidR="00D03309" w:rsidRPr="00D03309" w:rsidRDefault="00D03309" w:rsidP="00D03309">
      <w:pPr>
        <w:spacing w:line="360" w:lineRule="auto"/>
        <w:rPr>
          <w:lang w:val="fr-FR"/>
        </w:rPr>
      </w:pPr>
    </w:p>
    <w:p w14:paraId="005EA93B" w14:textId="77777777" w:rsidR="00D03309" w:rsidRPr="00D03309" w:rsidRDefault="00D03309" w:rsidP="00D03309">
      <w:pPr>
        <w:spacing w:line="360" w:lineRule="auto"/>
        <w:jc w:val="center"/>
        <w:rPr>
          <w:b/>
          <w:bCs/>
        </w:rPr>
      </w:pPr>
      <w:r>
        <w:br w:type="page"/>
      </w:r>
      <w:r>
        <w:rPr>
          <w:b/>
        </w:rPr>
        <w:lastRenderedPageBreak/>
        <w:t>FÖRTECKNING ÖVER BESTYRKANDE HANDLINGAR</w:t>
      </w:r>
    </w:p>
    <w:p w14:paraId="4A8EDBAE" w14:textId="77777777" w:rsidR="00D03309" w:rsidRPr="00D03309" w:rsidRDefault="00D03309" w:rsidP="00D03309">
      <w:pPr>
        <w:spacing w:line="360" w:lineRule="auto"/>
        <w:rPr>
          <w:b/>
          <w:bCs/>
          <w:lang w:val="fr-FR"/>
        </w:rPr>
      </w:pPr>
    </w:p>
    <w:p w14:paraId="658E723C" w14:textId="77777777" w:rsidR="00D03309" w:rsidRPr="00D03309" w:rsidRDefault="00D03309" w:rsidP="004026FB">
      <w:pPr>
        <w:spacing w:after="240"/>
        <w:rPr>
          <w:sz w:val="20"/>
          <w:szCs w:val="20"/>
        </w:rPr>
      </w:pPr>
      <w:r>
        <w:rPr>
          <w:b/>
        </w:rPr>
        <w:t>Bestyrkande handlingar som gör det möjligt att bedöma den ekonomiska situationen: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7B54891F" w14:textId="77777777" w:rsidTr="00DB1F16">
        <w:trPr>
          <w:trHeight w:val="5103"/>
        </w:trPr>
        <w:tc>
          <w:tcPr>
            <w:tcW w:w="9135" w:type="dxa"/>
          </w:tcPr>
          <w:p w14:paraId="24C14FB9" w14:textId="77777777" w:rsidR="00D03309" w:rsidRPr="00D03309" w:rsidRDefault="00F7060A" w:rsidP="00D03309">
            <w:pPr>
              <w:tabs>
                <w:tab w:val="left" w:pos="9072"/>
                <w:tab w:val="left" w:pos="14175"/>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bookmarkStart w:id="1" w:name="Text31"/>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bookmarkEnd w:id="1"/>
            <w:r>
              <w:rPr>
                <w:u w:val="dotted"/>
              </w:rPr>
              <w:tab/>
            </w:r>
          </w:p>
          <w:p w14:paraId="271C4393" w14:textId="77777777" w:rsidR="00D03309" w:rsidRPr="00D03309" w:rsidRDefault="00F7060A">
            <w:pPr>
              <w:tabs>
                <w:tab w:val="left" w:pos="9073"/>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259304E" w14:textId="77777777" w:rsidR="00D03309" w:rsidRPr="00D03309" w:rsidRDefault="00F7060A" w:rsidP="00D03309">
            <w:pPr>
              <w:tabs>
                <w:tab w:val="left" w:pos="9072"/>
                <w:tab w:val="left" w:pos="9639"/>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29EC1E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F81A326"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7B5CA65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2C657680"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4B7FD6C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25E842E"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7F0198EC"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bl>
    <w:p w14:paraId="751D770D" w14:textId="77777777" w:rsidR="00D03309" w:rsidRPr="00D03309" w:rsidRDefault="00D03309" w:rsidP="00D03309">
      <w:pPr>
        <w:spacing w:after="120"/>
        <w:jc w:val="both"/>
        <w:rPr>
          <w:b/>
          <w:bCs/>
          <w:lang w:val="fr-FR"/>
        </w:rPr>
      </w:pPr>
    </w:p>
    <w:p w14:paraId="066D1341" w14:textId="77777777" w:rsidR="00D03309" w:rsidRPr="00D03309" w:rsidRDefault="00D03309" w:rsidP="004026FB">
      <w:pPr>
        <w:spacing w:after="240"/>
        <w:jc w:val="both"/>
        <w:rPr>
          <w:sz w:val="20"/>
          <w:szCs w:val="20"/>
        </w:rPr>
      </w:pPr>
      <w:r>
        <w:rPr>
          <w:b/>
        </w:rPr>
        <w:t>Om talan ännu inte har väckts, bestyrkande handling/ar av betydelse för bedömningen av huruvida talan kan tas upp till prövning och huruvida den är välgrundad: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4AB81AB" w14:textId="77777777" w:rsidTr="00DB1F16">
        <w:trPr>
          <w:trHeight w:val="5103"/>
        </w:trPr>
        <w:tc>
          <w:tcPr>
            <w:tcW w:w="9135" w:type="dxa"/>
          </w:tcPr>
          <w:p w14:paraId="21885CE3"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76033C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0AE2AF0"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4B1F90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AAB5217"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5979204F"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6D95C61"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2BB9BB5F"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F5605F4"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722F1E54" w14:textId="2240E02E"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bl>
    <w:p w14:paraId="129A280F" w14:textId="77777777" w:rsidR="00D03309" w:rsidRPr="00D03309" w:rsidRDefault="00D03309" w:rsidP="00D03309"/>
    <w:p w14:paraId="3EFF7DFF" w14:textId="77777777" w:rsidR="00D03309" w:rsidRPr="00D03309" w:rsidRDefault="00D03309" w:rsidP="00D03309">
      <w:pPr>
        <w:rPr>
          <w:b/>
          <w:lang w:val="fr-FR"/>
        </w:rPr>
      </w:pPr>
    </w:p>
    <w:p w14:paraId="6A918277" w14:textId="77777777" w:rsidR="00D03309" w:rsidRPr="004423A1" w:rsidRDefault="00D03309" w:rsidP="00403192">
      <w:pPr>
        <w:rPr>
          <w:lang w:val="fr-FR"/>
        </w:rPr>
      </w:pPr>
    </w:p>
    <w:sectPr w:rsidR="00D03309" w:rsidRPr="004423A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8887" w14:textId="77777777" w:rsidR="00570BAC" w:rsidRDefault="00570BAC">
      <w:r>
        <w:separator/>
      </w:r>
    </w:p>
  </w:endnote>
  <w:endnote w:type="continuationSeparator" w:id="0">
    <w:p w14:paraId="77DFEC57" w14:textId="77777777" w:rsidR="00570BAC" w:rsidRDefault="00570BAC">
      <w:r>
        <w:continuationSeparator/>
      </w:r>
    </w:p>
  </w:endnote>
  <w:endnote w:type="continuationNotice" w:id="1">
    <w:p w14:paraId="5484EDA3" w14:textId="77777777" w:rsidR="00570BAC" w:rsidRDefault="00570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15F9C6F6" w:rsidR="00B8143C" w:rsidRDefault="00B8143C">
    <w:pPr>
      <w:pStyle w:val="Footer"/>
      <w:jc w:val="center"/>
    </w:pPr>
    <w:r>
      <w:t xml:space="preserve">– </w:t>
    </w:r>
    <w:r>
      <w:fldChar w:fldCharType="begin"/>
    </w:r>
    <w:r>
      <w:instrText xml:space="preserve"> PAGE   \* MERGEFORMAT </w:instrText>
    </w:r>
    <w:r>
      <w:fldChar w:fldCharType="separate"/>
    </w:r>
    <w:r w:rsidR="003B3944">
      <w:rPr>
        <w:noProof/>
      </w:rPr>
      <w:t>2</w:t>
    </w:r>
    <w:r>
      <w:fldChar w:fldCharType="end"/>
    </w:r>
    <w:r>
      <w:t xml:space="preserve"> –</w:t>
    </w:r>
  </w:p>
  <w:p w14:paraId="1A7E745A" w14:textId="77777777" w:rsidR="00B8143C" w:rsidRDefault="00B81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B8143C" w:rsidRDefault="00B8143C">
    <w:pPr>
      <w:pStyle w:val="Footer"/>
      <w:jc w:val="center"/>
    </w:pPr>
  </w:p>
  <w:p w14:paraId="2225884E" w14:textId="77777777" w:rsidR="00B8143C" w:rsidRDefault="00B8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846D" w14:textId="77777777" w:rsidR="00570BAC" w:rsidRDefault="00570BAC">
      <w:r>
        <w:separator/>
      </w:r>
    </w:p>
  </w:footnote>
  <w:footnote w:type="continuationSeparator" w:id="0">
    <w:p w14:paraId="6DEA4F1E" w14:textId="77777777" w:rsidR="00570BAC" w:rsidRDefault="00570BAC">
      <w:r>
        <w:continuationSeparator/>
      </w:r>
    </w:p>
  </w:footnote>
  <w:footnote w:type="continuationNotice" w:id="1">
    <w:p w14:paraId="42D049C8" w14:textId="77777777" w:rsidR="00570BAC" w:rsidRDefault="00570BAC"/>
  </w:footnote>
  <w:footnote w:id="2">
    <w:p w14:paraId="7F4CCF07" w14:textId="4A200163" w:rsidR="00B8143C" w:rsidRPr="00414D75" w:rsidRDefault="00B8143C" w:rsidP="001F44FA">
      <w:pPr>
        <w:pStyle w:val="FootnoteText"/>
        <w:ind w:left="142" w:hanging="142"/>
        <w:jc w:val="both"/>
      </w:pPr>
      <w:r>
        <w:rPr>
          <w:rStyle w:val="FootnoteReference"/>
        </w:rPr>
        <w:footnoteRef/>
      </w:r>
      <w:r>
        <w:t xml:space="preserve"> Med begreppet ”direkt talan” avses enligt artikel 1.2 j i rättegångsreglerna ”alla mål som anhängiggörs vid tribunalen, med undantag för mål om förhandsavgörande”.</w:t>
      </w:r>
    </w:p>
  </w:footnote>
  <w:footnote w:id="3">
    <w:p w14:paraId="64DFAF42" w14:textId="2DA3B91E" w:rsidR="00B8143C" w:rsidRPr="00435EE0" w:rsidRDefault="00B8143C" w:rsidP="006322D0">
      <w:pPr>
        <w:pStyle w:val="FootnoteText"/>
      </w:pPr>
      <w:r>
        <w:rPr>
          <w:rStyle w:val="FootnoteReference"/>
        </w:rPr>
        <w:footnoteRef/>
      </w:r>
      <w:r>
        <w:t xml:space="preserve"> Rättshjälpssökanden ska till ansökan bifoga aktuellt bevis på den juridiska personens rättsliga existens (utdrag ur näringslivsregister, föreningsregister eller annan officiell handling).</w:t>
      </w:r>
    </w:p>
  </w:footnote>
  <w:footnote w:id="4">
    <w:p w14:paraId="74536604" w14:textId="5E657701" w:rsidR="00B8143C" w:rsidRPr="00BA7029" w:rsidRDefault="00B8143C" w:rsidP="006322D0">
      <w:pPr>
        <w:pStyle w:val="FootnoteText"/>
        <w:spacing w:after="100" w:afterAutospacing="1"/>
        <w:jc w:val="both"/>
        <w:rPr>
          <w:rFonts w:cs="Times New Roman"/>
        </w:rPr>
      </w:pPr>
      <w:r>
        <w:rPr>
          <w:rStyle w:val="FootnoteReference"/>
          <w:rFonts w:cs="Times New Roman"/>
        </w:rPr>
        <w:footnoteRef/>
      </w:r>
      <w:r>
        <w:t xml:space="preserve"> Om talan väcks samtidigt som ansökan om rättshjälp ges in, eller om ansökan om rättshjälp ges in efter det att talan har väckts, behöver avsnittet ”</w:t>
      </w:r>
      <w:r w:rsidRPr="00904526">
        <w:t>Uppgift om mot vem eller vilka talan ska väckas</w:t>
      </w:r>
      <w:r>
        <w:t xml:space="preserve">” inte fyllas i. </w:t>
      </w:r>
    </w:p>
  </w:footnote>
  <w:footnote w:id="5">
    <w:p w14:paraId="3E7DAF00" w14:textId="3E085BFB" w:rsidR="00B8143C" w:rsidRPr="00141497" w:rsidRDefault="00B8143C" w:rsidP="00BA7029">
      <w:pPr>
        <w:pStyle w:val="FootnoteText"/>
        <w:spacing w:after="100" w:afterAutospacing="1"/>
        <w:ind w:left="284" w:hanging="284"/>
        <w:jc w:val="both"/>
        <w:rPr>
          <w:rFonts w:cs="Times New Roman"/>
        </w:rPr>
      </w:pPr>
      <w:r>
        <w:rPr>
          <w:rStyle w:val="FootnoteReference"/>
          <w:rFonts w:cs="Times New Roman"/>
        </w:rPr>
        <w:footnoteRef/>
      </w:r>
      <w:r>
        <w:t xml:space="preserve"> </w:t>
      </w:r>
      <w:r>
        <w:tab/>
        <w:t>Om talan väcks samtidigt som ansökan om rättshjälp ges in, eller om ansökan om rättshjälp ges in efter det att talan har väckts, behöver avsnittet ”Ändamålet med talan” inte fyllas i.</w:t>
      </w:r>
    </w:p>
  </w:footnote>
  <w:footnote w:id="6">
    <w:p w14:paraId="76AF5D1A" w14:textId="66FF050B" w:rsidR="00B8143C" w:rsidRPr="00107DF5" w:rsidRDefault="00B8143C" w:rsidP="00D03309">
      <w:pPr>
        <w:pStyle w:val="FootnoteText"/>
        <w:tabs>
          <w:tab w:val="left" w:pos="500"/>
        </w:tabs>
        <w:ind w:left="284" w:hanging="284"/>
        <w:jc w:val="both"/>
      </w:pPr>
      <w:r>
        <w:rPr>
          <w:rStyle w:val="FootnoteReference"/>
          <w:rFonts w:ascii="Arial" w:hAnsi="Arial" w:cs="Arial"/>
        </w:rPr>
        <w:footnoteRef/>
      </w:r>
      <w:r>
        <w:rPr>
          <w:rFonts w:ascii="Arial" w:hAnsi="Arial"/>
        </w:rPr>
        <w:t xml:space="preserve"> </w:t>
      </w:r>
      <w:r>
        <w:t>Om denna ruta fylls i, ska rättshjälpssökanden ange hur han eller hon försörjer sig.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B8143C" w:rsidRDefault="00B8143C"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B8143C" w:rsidRDefault="00B8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00A" w14:textId="78F86EE1" w:rsidR="00B8143C" w:rsidRPr="005E2020" w:rsidRDefault="00B8143C" w:rsidP="003F27EA">
    <w:pPr>
      <w:pStyle w:val="Header"/>
      <w:tabs>
        <w:tab w:val="clear" w:pos="4536"/>
      </w:tabs>
      <w:jc w:val="center"/>
      <w:rPr>
        <w:sz w:val="20"/>
        <w:szCs w:val="20"/>
      </w:rPr>
    </w:pPr>
    <w:r>
      <w:rPr>
        <w:sz w:val="20"/>
      </w:rPr>
      <w:t>– FORMULÄR FÖR RÄTTSHJÄLP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B8143C" w:rsidRPr="00A05A3C" w14:paraId="0F7E4066" w14:textId="77777777">
      <w:trPr>
        <w:trHeight w:val="2336"/>
      </w:trPr>
      <w:tc>
        <w:tcPr>
          <w:tcW w:w="1980" w:type="dxa"/>
          <w:vAlign w:val="center"/>
        </w:tcPr>
        <w:p w14:paraId="0FC89DF0" w14:textId="2EE00E26" w:rsidR="00B8143C" w:rsidRDefault="00B8143C" w:rsidP="00982CBC">
          <w:pPr>
            <w:pStyle w:val="Header"/>
            <w:jc w:val="center"/>
          </w:pPr>
          <w:r>
            <w:rPr>
              <w:noProof/>
              <w:lang w:val="fr-FR" w:eastAsia="fr-FR"/>
            </w:rPr>
            <w:drawing>
              <wp:inline distT="0" distB="0" distL="0" distR="0" wp14:anchorId="7B4E20CA" wp14:editId="252D9465">
                <wp:extent cx="8763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81100"/>
                        </a:xfrm>
                        <a:prstGeom prst="rect">
                          <a:avLst/>
                        </a:prstGeom>
                        <a:noFill/>
                        <a:ln>
                          <a:noFill/>
                        </a:ln>
                      </pic:spPr>
                    </pic:pic>
                  </a:graphicData>
                </a:graphic>
              </wp:inline>
            </w:drawing>
          </w:r>
        </w:p>
      </w:tc>
      <w:tc>
        <w:tcPr>
          <w:tcW w:w="4680" w:type="dxa"/>
        </w:tcPr>
        <w:p w14:paraId="1E5FC114" w14:textId="77777777" w:rsidR="00B8143C" w:rsidRPr="0053338E" w:rsidRDefault="00B8143C" w:rsidP="00982CBC">
          <w:pPr>
            <w:autoSpaceDE w:val="0"/>
            <w:autoSpaceDN w:val="0"/>
            <w:adjustRightInd w:val="0"/>
            <w:spacing w:after="20"/>
            <w:rPr>
              <w:sz w:val="15"/>
              <w:szCs w:val="15"/>
              <w:lang w:val="es-ES_tradnl"/>
            </w:rPr>
          </w:pPr>
          <w:r w:rsidRPr="0053338E">
            <w:rPr>
              <w:sz w:val="15"/>
              <w:szCs w:val="15"/>
            </w:rPr>
            <w:t>ОБЩ</w:t>
          </w:r>
          <w:r w:rsidRPr="0053338E">
            <w:rPr>
              <w:sz w:val="15"/>
              <w:szCs w:val="15"/>
              <w:lang w:val="es-ES_tradnl"/>
            </w:rPr>
            <w:t xml:space="preserve"> </w:t>
          </w:r>
          <w:r w:rsidRPr="0053338E">
            <w:rPr>
              <w:sz w:val="15"/>
              <w:szCs w:val="15"/>
            </w:rPr>
            <w:t>СЪД</w:t>
          </w:r>
          <w:r w:rsidRPr="0053338E">
            <w:rPr>
              <w:sz w:val="15"/>
              <w:szCs w:val="15"/>
              <w:lang w:val="es-ES_tradnl"/>
            </w:rPr>
            <w:t xml:space="preserve"> </w:t>
          </w:r>
          <w:r w:rsidRPr="0053338E">
            <w:rPr>
              <w:sz w:val="15"/>
              <w:szCs w:val="15"/>
            </w:rPr>
            <w:t>НА</w:t>
          </w:r>
          <w:r w:rsidRPr="0053338E">
            <w:rPr>
              <w:sz w:val="15"/>
              <w:szCs w:val="15"/>
              <w:lang w:val="es-ES_tradnl"/>
            </w:rPr>
            <w:t xml:space="preserve"> </w:t>
          </w:r>
          <w:r w:rsidRPr="0053338E">
            <w:rPr>
              <w:sz w:val="15"/>
              <w:szCs w:val="15"/>
            </w:rPr>
            <w:t>ЕВРОПЕЙСКИЯ</w:t>
          </w:r>
          <w:r w:rsidRPr="0053338E">
            <w:rPr>
              <w:sz w:val="15"/>
              <w:szCs w:val="15"/>
              <w:lang w:val="es-ES_tradnl"/>
            </w:rPr>
            <w:t xml:space="preserve"> </w:t>
          </w:r>
          <w:r w:rsidRPr="0053338E">
            <w:rPr>
              <w:sz w:val="15"/>
              <w:szCs w:val="15"/>
            </w:rPr>
            <w:t>СЪЮЗ</w:t>
          </w:r>
        </w:p>
        <w:p w14:paraId="5A7EE9A6" w14:textId="77777777" w:rsidR="00B8143C" w:rsidRPr="0053338E" w:rsidRDefault="00B8143C" w:rsidP="00982CBC">
          <w:pPr>
            <w:autoSpaceDE w:val="0"/>
            <w:autoSpaceDN w:val="0"/>
            <w:adjustRightInd w:val="0"/>
            <w:spacing w:after="20"/>
            <w:rPr>
              <w:rFonts w:ascii="Times" w:hAnsi="Times"/>
              <w:caps/>
              <w:sz w:val="15"/>
              <w:szCs w:val="15"/>
              <w:lang w:val="es-ES_tradnl"/>
            </w:rPr>
          </w:pPr>
          <w:r w:rsidRPr="0053338E">
            <w:rPr>
              <w:rFonts w:ascii="Times" w:hAnsi="Times"/>
              <w:caps/>
              <w:sz w:val="15"/>
              <w:szCs w:val="15"/>
              <w:lang w:val="es-ES_tradnl"/>
            </w:rPr>
            <w:t>TRIBUNAL GENERAL DE LA UNIÓN EUROPEA</w:t>
          </w:r>
        </w:p>
        <w:p w14:paraId="51D65900" w14:textId="77777777" w:rsidR="00B8143C" w:rsidRPr="00A05A3C" w:rsidRDefault="00B8143C" w:rsidP="00982CBC">
          <w:pPr>
            <w:autoSpaceDE w:val="0"/>
            <w:autoSpaceDN w:val="0"/>
            <w:adjustRightInd w:val="0"/>
            <w:spacing w:after="20"/>
            <w:rPr>
              <w:rFonts w:ascii="Times" w:hAnsi="Times"/>
              <w:caps/>
              <w:sz w:val="15"/>
              <w:szCs w:val="15"/>
              <w:lang w:val="da-DK"/>
            </w:rPr>
          </w:pPr>
          <w:r w:rsidRPr="00A05A3C">
            <w:rPr>
              <w:rFonts w:ascii="Times" w:hAnsi="Times"/>
              <w:caps/>
              <w:sz w:val="15"/>
              <w:szCs w:val="15"/>
              <w:lang w:val="da-DK"/>
            </w:rPr>
            <w:t>TRIBUNÁL EVROPSKÉ UNIE</w:t>
          </w:r>
        </w:p>
        <w:p w14:paraId="27212AB8" w14:textId="77777777" w:rsidR="00B8143C" w:rsidRPr="00A05A3C" w:rsidRDefault="00B8143C" w:rsidP="00982CBC">
          <w:pPr>
            <w:autoSpaceDE w:val="0"/>
            <w:autoSpaceDN w:val="0"/>
            <w:adjustRightInd w:val="0"/>
            <w:spacing w:after="20"/>
            <w:rPr>
              <w:rFonts w:ascii="Times" w:hAnsi="Times"/>
              <w:caps/>
              <w:sz w:val="15"/>
              <w:szCs w:val="15"/>
              <w:lang w:val="da-DK"/>
            </w:rPr>
          </w:pPr>
          <w:r w:rsidRPr="00A05A3C">
            <w:rPr>
              <w:rFonts w:ascii="Times" w:hAnsi="Times"/>
              <w:caps/>
              <w:sz w:val="15"/>
              <w:szCs w:val="15"/>
              <w:lang w:val="da-DK"/>
            </w:rPr>
            <w:t>DEN EUROPÆISKE UNIONS RET</w:t>
          </w:r>
        </w:p>
        <w:p w14:paraId="3E70A6E4" w14:textId="77777777" w:rsidR="00B8143C" w:rsidRPr="0053338E" w:rsidRDefault="00B8143C" w:rsidP="00982CBC">
          <w:pPr>
            <w:autoSpaceDE w:val="0"/>
            <w:autoSpaceDN w:val="0"/>
            <w:adjustRightInd w:val="0"/>
            <w:spacing w:after="20"/>
            <w:rPr>
              <w:sz w:val="15"/>
              <w:szCs w:val="15"/>
              <w:lang w:val="de-DE"/>
            </w:rPr>
          </w:pPr>
          <w:r w:rsidRPr="0053338E">
            <w:rPr>
              <w:sz w:val="15"/>
              <w:szCs w:val="15"/>
              <w:lang w:val="de-DE"/>
            </w:rPr>
            <w:t>GERICHT DER EUROPÄISCHEN UNION</w:t>
          </w:r>
        </w:p>
        <w:p w14:paraId="02BF4EB3" w14:textId="77777777" w:rsidR="00B8143C" w:rsidRPr="0053338E" w:rsidRDefault="00B8143C" w:rsidP="00982CBC">
          <w:pPr>
            <w:autoSpaceDE w:val="0"/>
            <w:autoSpaceDN w:val="0"/>
            <w:adjustRightInd w:val="0"/>
            <w:spacing w:after="20"/>
            <w:rPr>
              <w:sz w:val="15"/>
              <w:szCs w:val="15"/>
              <w:lang w:val="de-DE"/>
            </w:rPr>
          </w:pPr>
          <w:r w:rsidRPr="0053338E">
            <w:rPr>
              <w:sz w:val="15"/>
              <w:szCs w:val="15"/>
              <w:lang w:val="de-DE"/>
            </w:rPr>
            <w:t>EUROOPA LIIDU ÜLDKOHUS</w:t>
          </w:r>
        </w:p>
        <w:p w14:paraId="003AE2A7" w14:textId="77777777" w:rsidR="00B8143C" w:rsidRPr="0053338E" w:rsidRDefault="00B8143C" w:rsidP="00982CBC">
          <w:pPr>
            <w:autoSpaceDE w:val="0"/>
            <w:autoSpaceDN w:val="0"/>
            <w:adjustRightInd w:val="0"/>
            <w:spacing w:after="20"/>
            <w:rPr>
              <w:rFonts w:ascii="Times" w:hAnsi="Times"/>
              <w:caps/>
              <w:sz w:val="15"/>
              <w:szCs w:val="15"/>
              <w:lang w:val="de-DE"/>
            </w:rPr>
          </w:pPr>
          <w:r w:rsidRPr="0053338E">
            <w:rPr>
              <w:sz w:val="15"/>
              <w:szCs w:val="15"/>
            </w:rPr>
            <w:t>ΓΕΝΙΚΟ</w:t>
          </w:r>
          <w:r w:rsidRPr="0053338E">
            <w:rPr>
              <w:sz w:val="15"/>
              <w:szCs w:val="15"/>
              <w:lang w:val="de-DE"/>
            </w:rPr>
            <w:t xml:space="preserve"> </w:t>
          </w:r>
          <w:r w:rsidRPr="0053338E">
            <w:rPr>
              <w:sz w:val="15"/>
              <w:szCs w:val="15"/>
            </w:rPr>
            <w:t>ΔΙΚΑΣΤΗΡΙΟ</w:t>
          </w:r>
          <w:r w:rsidRPr="0053338E">
            <w:rPr>
              <w:sz w:val="15"/>
              <w:szCs w:val="15"/>
              <w:lang w:val="de-DE"/>
            </w:rPr>
            <w:t xml:space="preserve"> </w:t>
          </w:r>
          <w:r w:rsidRPr="0053338E">
            <w:rPr>
              <w:sz w:val="15"/>
              <w:szCs w:val="15"/>
            </w:rPr>
            <w:t>ΤΗΣ</w:t>
          </w:r>
          <w:r w:rsidRPr="0053338E">
            <w:rPr>
              <w:sz w:val="15"/>
              <w:szCs w:val="15"/>
              <w:lang w:val="de-DE"/>
            </w:rPr>
            <w:t xml:space="preserve"> </w:t>
          </w:r>
          <w:r w:rsidRPr="0053338E">
            <w:rPr>
              <w:sz w:val="15"/>
              <w:szCs w:val="15"/>
            </w:rPr>
            <w:t>ΕΥΡΩΠΑΪΚΗΣ</w:t>
          </w:r>
          <w:r w:rsidRPr="0053338E">
            <w:rPr>
              <w:sz w:val="15"/>
              <w:szCs w:val="15"/>
              <w:lang w:val="de-DE"/>
            </w:rPr>
            <w:t xml:space="preserve"> E</w:t>
          </w:r>
          <w:r w:rsidRPr="0053338E">
            <w:rPr>
              <w:sz w:val="15"/>
              <w:szCs w:val="15"/>
            </w:rPr>
            <w:t>ΝΩΣΗΣ</w:t>
          </w:r>
        </w:p>
        <w:p w14:paraId="6E15C7EE" w14:textId="77777777" w:rsidR="00B8143C" w:rsidRPr="0053338E" w:rsidRDefault="00B8143C" w:rsidP="00982CBC">
          <w:pPr>
            <w:autoSpaceDE w:val="0"/>
            <w:autoSpaceDN w:val="0"/>
            <w:adjustRightInd w:val="0"/>
            <w:spacing w:after="20"/>
            <w:rPr>
              <w:lang w:val="de-DE"/>
            </w:rPr>
          </w:pPr>
          <w:r w:rsidRPr="0053338E">
            <w:rPr>
              <w:sz w:val="15"/>
              <w:szCs w:val="15"/>
              <w:lang w:val="de-DE"/>
            </w:rPr>
            <w:t>GENERAL COURT OF THE EUROPEAN UNION</w:t>
          </w:r>
        </w:p>
        <w:p w14:paraId="54A3ED31" w14:textId="77777777" w:rsidR="00B8143C" w:rsidRPr="0053338E" w:rsidRDefault="00B8143C" w:rsidP="00982CBC">
          <w:pPr>
            <w:autoSpaceDE w:val="0"/>
            <w:autoSpaceDN w:val="0"/>
            <w:adjustRightInd w:val="0"/>
            <w:spacing w:after="20"/>
            <w:rPr>
              <w:rFonts w:ascii="Times" w:hAnsi="Times"/>
              <w:caps/>
              <w:sz w:val="15"/>
              <w:szCs w:val="15"/>
              <w:lang w:val="fr-BE"/>
            </w:rPr>
          </w:pPr>
          <w:r w:rsidRPr="0053338E">
            <w:rPr>
              <w:rFonts w:ascii="Times" w:hAnsi="Times"/>
              <w:caps/>
              <w:sz w:val="15"/>
              <w:lang w:val="fr-BE"/>
            </w:rPr>
            <w:t>TRIBUNAL DE L'UNION EUROPÉENNE</w:t>
          </w:r>
        </w:p>
        <w:p w14:paraId="2FCF447F" w14:textId="77777777" w:rsidR="00B8143C" w:rsidRPr="0053338E" w:rsidRDefault="00B8143C" w:rsidP="00982CBC">
          <w:pPr>
            <w:autoSpaceDE w:val="0"/>
            <w:autoSpaceDN w:val="0"/>
            <w:adjustRightInd w:val="0"/>
            <w:spacing w:after="20"/>
            <w:rPr>
              <w:rFonts w:ascii="Times" w:hAnsi="Times"/>
              <w:caps/>
              <w:sz w:val="15"/>
              <w:szCs w:val="15"/>
              <w:lang w:val="fr-BE"/>
            </w:rPr>
          </w:pPr>
          <w:r w:rsidRPr="0053338E">
            <w:rPr>
              <w:rFonts w:ascii="Times" w:hAnsi="Times"/>
              <w:caps/>
              <w:sz w:val="15"/>
              <w:lang w:val="fr-BE"/>
            </w:rPr>
            <w:t>CÚIRT GHINEARÁLTA AN AONTAIS EORPAIGH</w:t>
          </w:r>
        </w:p>
        <w:p w14:paraId="3D8391DB" w14:textId="77777777" w:rsidR="00B8143C" w:rsidRPr="00D86646" w:rsidRDefault="00B8143C" w:rsidP="00982CBC">
          <w:pPr>
            <w:autoSpaceDE w:val="0"/>
            <w:autoSpaceDN w:val="0"/>
            <w:adjustRightInd w:val="0"/>
            <w:spacing w:after="20"/>
            <w:rPr>
              <w:rFonts w:ascii="Times" w:hAnsi="Times"/>
              <w:caps/>
              <w:sz w:val="15"/>
              <w:szCs w:val="15"/>
              <w:lang w:val="it-IT"/>
            </w:rPr>
          </w:pPr>
          <w:r w:rsidRPr="00D86646">
            <w:rPr>
              <w:rFonts w:ascii="Times" w:hAnsi="Times"/>
              <w:caps/>
              <w:sz w:val="15"/>
              <w:lang w:val="it-IT"/>
            </w:rPr>
            <w:t>Opći sud Europske unije</w:t>
          </w:r>
        </w:p>
        <w:p w14:paraId="7B7F509A" w14:textId="77777777" w:rsidR="00B8143C" w:rsidRPr="00D86646" w:rsidRDefault="00B8143C" w:rsidP="00982CBC">
          <w:pPr>
            <w:autoSpaceDE w:val="0"/>
            <w:autoSpaceDN w:val="0"/>
            <w:adjustRightInd w:val="0"/>
            <w:spacing w:after="20"/>
            <w:rPr>
              <w:rFonts w:ascii="Times" w:hAnsi="Times"/>
              <w:caps/>
              <w:sz w:val="15"/>
              <w:szCs w:val="15"/>
              <w:lang w:val="it-IT"/>
            </w:rPr>
          </w:pPr>
          <w:r w:rsidRPr="00D86646">
            <w:rPr>
              <w:rFonts w:ascii="Times" w:hAnsi="Times"/>
              <w:caps/>
              <w:sz w:val="15"/>
              <w:lang w:val="it-IT"/>
            </w:rPr>
            <w:t>TRIBUNALE DELL'UNIONE EUROPEA</w:t>
          </w:r>
        </w:p>
      </w:tc>
      <w:tc>
        <w:tcPr>
          <w:tcW w:w="4680" w:type="dxa"/>
        </w:tcPr>
        <w:p w14:paraId="5E44202D" w14:textId="77777777" w:rsidR="00B8143C" w:rsidRPr="00A05A3C" w:rsidRDefault="00B8143C" w:rsidP="00982CBC">
          <w:pPr>
            <w:autoSpaceDE w:val="0"/>
            <w:autoSpaceDN w:val="0"/>
            <w:adjustRightInd w:val="0"/>
            <w:spacing w:after="20"/>
            <w:rPr>
              <w:sz w:val="15"/>
              <w:szCs w:val="15"/>
              <w:lang w:val="it-IT"/>
            </w:rPr>
          </w:pPr>
          <w:r w:rsidRPr="00A05A3C">
            <w:rPr>
              <w:sz w:val="15"/>
              <w:szCs w:val="15"/>
              <w:lang w:val="it-IT"/>
            </w:rPr>
            <w:t xml:space="preserve">EIROPAS SAVIENĪBAS VISPĀRĒJĀ TIESA </w:t>
          </w:r>
        </w:p>
        <w:p w14:paraId="76933E7A" w14:textId="77777777" w:rsidR="00B8143C" w:rsidRPr="00A05A3C" w:rsidRDefault="00B8143C" w:rsidP="00982CBC">
          <w:pPr>
            <w:autoSpaceDE w:val="0"/>
            <w:autoSpaceDN w:val="0"/>
            <w:adjustRightInd w:val="0"/>
            <w:spacing w:after="20"/>
            <w:rPr>
              <w:sz w:val="15"/>
              <w:szCs w:val="15"/>
              <w:lang w:val="it-IT"/>
            </w:rPr>
          </w:pPr>
          <w:r w:rsidRPr="00A05A3C">
            <w:rPr>
              <w:sz w:val="15"/>
              <w:szCs w:val="15"/>
              <w:lang w:val="it-IT"/>
            </w:rPr>
            <w:t>EUROPOS SĄJUNGOS BENDRASIS TEISMAS</w:t>
          </w:r>
        </w:p>
        <w:p w14:paraId="09D0D040" w14:textId="77777777" w:rsidR="00B8143C" w:rsidRPr="00A05A3C" w:rsidRDefault="00B8143C" w:rsidP="00982CBC">
          <w:pPr>
            <w:autoSpaceDE w:val="0"/>
            <w:autoSpaceDN w:val="0"/>
            <w:adjustRightInd w:val="0"/>
            <w:spacing w:after="20"/>
            <w:rPr>
              <w:sz w:val="15"/>
              <w:szCs w:val="15"/>
              <w:lang w:val="it-IT"/>
            </w:rPr>
          </w:pPr>
          <w:r w:rsidRPr="00A05A3C">
            <w:rPr>
              <w:sz w:val="15"/>
              <w:szCs w:val="15"/>
              <w:lang w:val="it-IT"/>
            </w:rPr>
            <w:t>AZ EURÓPAI UNIÓ TÖRVÉNYSZÉKE</w:t>
          </w:r>
        </w:p>
        <w:p w14:paraId="2AD1D987" w14:textId="77777777" w:rsidR="00B8143C" w:rsidRPr="00A05A3C" w:rsidRDefault="00B8143C" w:rsidP="00982CBC">
          <w:pPr>
            <w:autoSpaceDE w:val="0"/>
            <w:autoSpaceDN w:val="0"/>
            <w:adjustRightInd w:val="0"/>
            <w:spacing w:after="20"/>
            <w:rPr>
              <w:sz w:val="15"/>
              <w:szCs w:val="15"/>
              <w:lang w:val="it-IT"/>
            </w:rPr>
          </w:pPr>
          <w:r w:rsidRPr="00A05A3C">
            <w:rPr>
              <w:sz w:val="15"/>
              <w:szCs w:val="15"/>
              <w:lang w:val="it-IT"/>
            </w:rPr>
            <w:t>IL-QORTI ĠENERALI TAL-UNJONI EWROPEA</w:t>
          </w:r>
        </w:p>
        <w:p w14:paraId="4F92E550" w14:textId="77777777" w:rsidR="00B8143C" w:rsidRPr="00A05A3C" w:rsidRDefault="00B8143C" w:rsidP="00982CBC">
          <w:pPr>
            <w:autoSpaceDE w:val="0"/>
            <w:autoSpaceDN w:val="0"/>
            <w:adjustRightInd w:val="0"/>
            <w:spacing w:after="20"/>
            <w:rPr>
              <w:sz w:val="15"/>
              <w:szCs w:val="15"/>
              <w:lang w:val="nl-NL"/>
            </w:rPr>
          </w:pPr>
          <w:r w:rsidRPr="00A05A3C">
            <w:rPr>
              <w:sz w:val="15"/>
              <w:szCs w:val="15"/>
              <w:lang w:val="nl-NL"/>
            </w:rPr>
            <w:t>GERECHT VAN DE EUROPESE UNIE</w:t>
          </w:r>
        </w:p>
        <w:p w14:paraId="5173FCA9" w14:textId="77777777" w:rsidR="00B8143C" w:rsidRPr="00A05A3C" w:rsidRDefault="00B8143C" w:rsidP="00982CBC">
          <w:pPr>
            <w:autoSpaceDE w:val="0"/>
            <w:autoSpaceDN w:val="0"/>
            <w:adjustRightInd w:val="0"/>
            <w:spacing w:after="20"/>
            <w:rPr>
              <w:lang w:val="nl-NL"/>
            </w:rPr>
          </w:pPr>
          <w:r w:rsidRPr="00A05A3C">
            <w:rPr>
              <w:sz w:val="15"/>
              <w:szCs w:val="15"/>
              <w:lang w:val="nl-NL"/>
            </w:rPr>
            <w:t>SĄD UNII EUROPEJSKIEJ</w:t>
          </w:r>
        </w:p>
        <w:p w14:paraId="69B0CDFD" w14:textId="77777777" w:rsidR="00B8143C" w:rsidRPr="00A05A3C" w:rsidRDefault="00B8143C" w:rsidP="00982CBC">
          <w:pPr>
            <w:autoSpaceDE w:val="0"/>
            <w:autoSpaceDN w:val="0"/>
            <w:adjustRightInd w:val="0"/>
            <w:spacing w:after="20"/>
            <w:rPr>
              <w:rFonts w:ascii="Times" w:hAnsi="Times"/>
              <w:caps/>
              <w:sz w:val="15"/>
              <w:szCs w:val="15"/>
              <w:lang w:val="pt-PT"/>
            </w:rPr>
          </w:pPr>
          <w:r w:rsidRPr="00A05A3C">
            <w:rPr>
              <w:rFonts w:ascii="Times" w:hAnsi="Times"/>
              <w:caps/>
              <w:sz w:val="15"/>
              <w:lang w:val="pt-PT"/>
            </w:rPr>
            <w:t>TRIBUNAL GERAL DA UNIÃO EUROPEIA</w:t>
          </w:r>
        </w:p>
        <w:p w14:paraId="3EDB40A5" w14:textId="77777777" w:rsidR="00B8143C" w:rsidRPr="00A05A3C" w:rsidRDefault="00B8143C" w:rsidP="00982CBC">
          <w:pPr>
            <w:autoSpaceDE w:val="0"/>
            <w:autoSpaceDN w:val="0"/>
            <w:adjustRightInd w:val="0"/>
            <w:spacing w:after="20"/>
            <w:rPr>
              <w:rFonts w:ascii="Times" w:hAnsi="Times"/>
              <w:caps/>
              <w:sz w:val="15"/>
              <w:szCs w:val="15"/>
              <w:lang w:val="pt-PT"/>
            </w:rPr>
          </w:pPr>
          <w:r w:rsidRPr="00A05A3C">
            <w:rPr>
              <w:rFonts w:ascii="Times" w:hAnsi="Times"/>
              <w:caps/>
              <w:sz w:val="15"/>
              <w:lang w:val="pt-PT"/>
            </w:rPr>
            <w:t>TRIBUNALUL UNIUNII EUROPENE</w:t>
          </w:r>
        </w:p>
        <w:p w14:paraId="7C4BDCB2" w14:textId="77777777" w:rsidR="00B8143C" w:rsidRPr="00A05A3C" w:rsidRDefault="00B8143C" w:rsidP="00982CBC">
          <w:pPr>
            <w:autoSpaceDE w:val="0"/>
            <w:autoSpaceDN w:val="0"/>
            <w:adjustRightInd w:val="0"/>
            <w:spacing w:after="20"/>
            <w:rPr>
              <w:rFonts w:ascii="Times" w:hAnsi="Times"/>
              <w:caps/>
              <w:sz w:val="15"/>
              <w:szCs w:val="15"/>
              <w:lang w:val="pt-PT"/>
            </w:rPr>
          </w:pPr>
          <w:r w:rsidRPr="00A05A3C">
            <w:rPr>
              <w:rFonts w:ascii="Times" w:hAnsi="Times"/>
              <w:caps/>
              <w:sz w:val="15"/>
              <w:lang w:val="pt-PT"/>
            </w:rPr>
            <w:t>VŠEOBECNÝ SÚD EURÓPSKEJ ÚNIE</w:t>
          </w:r>
        </w:p>
        <w:p w14:paraId="055E81F1" w14:textId="77777777" w:rsidR="00B8143C" w:rsidRPr="00A05A3C" w:rsidRDefault="00B8143C" w:rsidP="00982CBC">
          <w:pPr>
            <w:autoSpaceDE w:val="0"/>
            <w:autoSpaceDN w:val="0"/>
            <w:adjustRightInd w:val="0"/>
            <w:spacing w:after="20"/>
            <w:rPr>
              <w:rFonts w:ascii="Times" w:hAnsi="Times"/>
              <w:caps/>
              <w:sz w:val="15"/>
              <w:szCs w:val="15"/>
              <w:lang w:val="pt-PT"/>
            </w:rPr>
          </w:pPr>
          <w:r w:rsidRPr="00A05A3C">
            <w:rPr>
              <w:rFonts w:ascii="Times" w:hAnsi="Times"/>
              <w:caps/>
              <w:sz w:val="15"/>
              <w:lang w:val="pt-PT"/>
            </w:rPr>
            <w:t>Splošno sodišče Evropske unije</w:t>
          </w:r>
        </w:p>
        <w:p w14:paraId="15ABB5F9" w14:textId="77777777" w:rsidR="00B8143C" w:rsidRPr="00A05A3C" w:rsidRDefault="00B8143C" w:rsidP="00982CBC">
          <w:pPr>
            <w:autoSpaceDE w:val="0"/>
            <w:autoSpaceDN w:val="0"/>
            <w:adjustRightInd w:val="0"/>
            <w:spacing w:after="20"/>
            <w:rPr>
              <w:rFonts w:ascii="Times" w:hAnsi="Times"/>
              <w:caps/>
              <w:sz w:val="15"/>
              <w:szCs w:val="15"/>
              <w:lang w:val="fi-FI"/>
            </w:rPr>
          </w:pPr>
          <w:r w:rsidRPr="00A05A3C">
            <w:rPr>
              <w:rFonts w:ascii="Times" w:hAnsi="Times"/>
              <w:caps/>
              <w:sz w:val="15"/>
              <w:lang w:val="fi-FI"/>
            </w:rPr>
            <w:t>EUROOPAN UNIONIN YLEINEN TUOMIOISTUIN</w:t>
          </w:r>
        </w:p>
        <w:p w14:paraId="7770C681" w14:textId="77777777" w:rsidR="00B8143C" w:rsidRPr="00A05A3C" w:rsidRDefault="00B8143C" w:rsidP="00982CBC">
          <w:pPr>
            <w:autoSpaceDE w:val="0"/>
            <w:autoSpaceDN w:val="0"/>
            <w:adjustRightInd w:val="0"/>
            <w:spacing w:after="20"/>
            <w:rPr>
              <w:rFonts w:ascii="Times" w:hAnsi="Times"/>
              <w:caps/>
              <w:sz w:val="15"/>
              <w:szCs w:val="15"/>
              <w:lang w:val="fi-FI"/>
            </w:rPr>
          </w:pPr>
          <w:r w:rsidRPr="00A05A3C">
            <w:rPr>
              <w:rFonts w:ascii="Times" w:hAnsi="Times"/>
              <w:caps/>
              <w:sz w:val="15"/>
              <w:lang w:val="fi-FI"/>
            </w:rPr>
            <w:t>EUROPEISKA UNIONENS TRIBUNAL</w:t>
          </w:r>
        </w:p>
      </w:tc>
      <w:tc>
        <w:tcPr>
          <w:tcW w:w="4680" w:type="dxa"/>
        </w:tcPr>
        <w:p w14:paraId="3C7C33C8" w14:textId="77777777" w:rsidR="00B8143C" w:rsidRPr="00982CBC" w:rsidRDefault="00B8143C">
          <w:pPr>
            <w:pStyle w:val="Header"/>
            <w:rPr>
              <w:lang w:val="fi-FI"/>
            </w:rPr>
          </w:pPr>
        </w:p>
      </w:tc>
      <w:tc>
        <w:tcPr>
          <w:tcW w:w="4680" w:type="dxa"/>
        </w:tcPr>
        <w:p w14:paraId="03DB4F4F" w14:textId="77777777" w:rsidR="00B8143C" w:rsidRPr="00982CBC" w:rsidRDefault="00B8143C" w:rsidP="00982CBC">
          <w:pPr>
            <w:pStyle w:val="Header"/>
            <w:spacing w:after="60"/>
            <w:rPr>
              <w:lang w:val="fi-FI"/>
            </w:rPr>
          </w:pPr>
        </w:p>
      </w:tc>
    </w:tr>
  </w:tbl>
  <w:p w14:paraId="79795375" w14:textId="77777777" w:rsidR="00B8143C" w:rsidRPr="00CD24C9" w:rsidRDefault="00B8143C">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BE" w:vendorID="64" w:dllVersion="6" w:nlCheck="1" w:checkStyle="0"/>
  <w:activeWritingStyle w:appName="MSWord" w:lang="de-DE"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sv-SE"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11425"/>
    <w:rsid w:val="00014B0B"/>
    <w:rsid w:val="00025492"/>
    <w:rsid w:val="00025586"/>
    <w:rsid w:val="00045D5A"/>
    <w:rsid w:val="000526C4"/>
    <w:rsid w:val="00056CF6"/>
    <w:rsid w:val="000611CE"/>
    <w:rsid w:val="00070734"/>
    <w:rsid w:val="000923DF"/>
    <w:rsid w:val="00094D02"/>
    <w:rsid w:val="000B478F"/>
    <w:rsid w:val="000C4D56"/>
    <w:rsid w:val="000D1114"/>
    <w:rsid w:val="000D3330"/>
    <w:rsid w:val="000D3ADE"/>
    <w:rsid w:val="000E40ED"/>
    <w:rsid w:val="000E7D4A"/>
    <w:rsid w:val="000F168D"/>
    <w:rsid w:val="000F179A"/>
    <w:rsid w:val="000F2FB6"/>
    <w:rsid w:val="000F3419"/>
    <w:rsid w:val="00104E0A"/>
    <w:rsid w:val="00106EDD"/>
    <w:rsid w:val="0011354A"/>
    <w:rsid w:val="001221E3"/>
    <w:rsid w:val="00125C5C"/>
    <w:rsid w:val="00136BC4"/>
    <w:rsid w:val="00140846"/>
    <w:rsid w:val="0017303C"/>
    <w:rsid w:val="00182501"/>
    <w:rsid w:val="001974FE"/>
    <w:rsid w:val="001A592D"/>
    <w:rsid w:val="001B065C"/>
    <w:rsid w:val="001C2AB5"/>
    <w:rsid w:val="001C6670"/>
    <w:rsid w:val="001C67C9"/>
    <w:rsid w:val="001D08F1"/>
    <w:rsid w:val="001D6D4F"/>
    <w:rsid w:val="001E2D14"/>
    <w:rsid w:val="001F44FA"/>
    <w:rsid w:val="001F5E9C"/>
    <w:rsid w:val="00222343"/>
    <w:rsid w:val="00227D16"/>
    <w:rsid w:val="00227F93"/>
    <w:rsid w:val="002314CE"/>
    <w:rsid w:val="002410D7"/>
    <w:rsid w:val="002529D7"/>
    <w:rsid w:val="00253CE4"/>
    <w:rsid w:val="00270671"/>
    <w:rsid w:val="00280224"/>
    <w:rsid w:val="00286255"/>
    <w:rsid w:val="002B064F"/>
    <w:rsid w:val="002B49DB"/>
    <w:rsid w:val="002B658F"/>
    <w:rsid w:val="002B71D4"/>
    <w:rsid w:val="002C4239"/>
    <w:rsid w:val="002D0879"/>
    <w:rsid w:val="002D1879"/>
    <w:rsid w:val="002D49EA"/>
    <w:rsid w:val="002F49C6"/>
    <w:rsid w:val="002F7DEC"/>
    <w:rsid w:val="003146B4"/>
    <w:rsid w:val="00322A79"/>
    <w:rsid w:val="0033073A"/>
    <w:rsid w:val="00330AFD"/>
    <w:rsid w:val="00351115"/>
    <w:rsid w:val="00360589"/>
    <w:rsid w:val="00360F19"/>
    <w:rsid w:val="00370865"/>
    <w:rsid w:val="0037683E"/>
    <w:rsid w:val="003B3944"/>
    <w:rsid w:val="003B509B"/>
    <w:rsid w:val="003C492F"/>
    <w:rsid w:val="003C493C"/>
    <w:rsid w:val="003C6D7D"/>
    <w:rsid w:val="003D4DAA"/>
    <w:rsid w:val="003E4BD9"/>
    <w:rsid w:val="003F27EA"/>
    <w:rsid w:val="003F38B3"/>
    <w:rsid w:val="003F4CF2"/>
    <w:rsid w:val="004026FB"/>
    <w:rsid w:val="00403192"/>
    <w:rsid w:val="00414D75"/>
    <w:rsid w:val="00426771"/>
    <w:rsid w:val="004355C3"/>
    <w:rsid w:val="00435EE0"/>
    <w:rsid w:val="00441793"/>
    <w:rsid w:val="004423A1"/>
    <w:rsid w:val="00446D9B"/>
    <w:rsid w:val="00454CD2"/>
    <w:rsid w:val="00455817"/>
    <w:rsid w:val="00473CF9"/>
    <w:rsid w:val="004740CF"/>
    <w:rsid w:val="004853E4"/>
    <w:rsid w:val="004914DD"/>
    <w:rsid w:val="004A6C9F"/>
    <w:rsid w:val="004C3E5E"/>
    <w:rsid w:val="004C663E"/>
    <w:rsid w:val="004D5DCD"/>
    <w:rsid w:val="004E3FEB"/>
    <w:rsid w:val="004E7228"/>
    <w:rsid w:val="004F5E81"/>
    <w:rsid w:val="00502E0E"/>
    <w:rsid w:val="00503806"/>
    <w:rsid w:val="005169BD"/>
    <w:rsid w:val="00517656"/>
    <w:rsid w:val="00521637"/>
    <w:rsid w:val="00526BD0"/>
    <w:rsid w:val="0053338E"/>
    <w:rsid w:val="005369DF"/>
    <w:rsid w:val="00537323"/>
    <w:rsid w:val="00543271"/>
    <w:rsid w:val="00545BC0"/>
    <w:rsid w:val="00546324"/>
    <w:rsid w:val="00550193"/>
    <w:rsid w:val="00553AD8"/>
    <w:rsid w:val="00554EB8"/>
    <w:rsid w:val="005621FA"/>
    <w:rsid w:val="00570BAC"/>
    <w:rsid w:val="00572FBF"/>
    <w:rsid w:val="005758EF"/>
    <w:rsid w:val="005A7209"/>
    <w:rsid w:val="005D5F41"/>
    <w:rsid w:val="005D6BDC"/>
    <w:rsid w:val="005E1C21"/>
    <w:rsid w:val="005E2020"/>
    <w:rsid w:val="005F1A3D"/>
    <w:rsid w:val="00605910"/>
    <w:rsid w:val="0060700C"/>
    <w:rsid w:val="00617AA1"/>
    <w:rsid w:val="00623338"/>
    <w:rsid w:val="0063028C"/>
    <w:rsid w:val="006322D0"/>
    <w:rsid w:val="00634F64"/>
    <w:rsid w:val="006530C1"/>
    <w:rsid w:val="00656512"/>
    <w:rsid w:val="00657530"/>
    <w:rsid w:val="00660CAF"/>
    <w:rsid w:val="00671BE2"/>
    <w:rsid w:val="00675987"/>
    <w:rsid w:val="00677E70"/>
    <w:rsid w:val="00687F7C"/>
    <w:rsid w:val="00690222"/>
    <w:rsid w:val="00694530"/>
    <w:rsid w:val="006B0120"/>
    <w:rsid w:val="006B4A2A"/>
    <w:rsid w:val="006B7012"/>
    <w:rsid w:val="006C7512"/>
    <w:rsid w:val="006D1BE0"/>
    <w:rsid w:val="006D4741"/>
    <w:rsid w:val="006F7D47"/>
    <w:rsid w:val="00712988"/>
    <w:rsid w:val="00714728"/>
    <w:rsid w:val="007243AA"/>
    <w:rsid w:val="00724E76"/>
    <w:rsid w:val="00733836"/>
    <w:rsid w:val="00740383"/>
    <w:rsid w:val="00741EE6"/>
    <w:rsid w:val="00743501"/>
    <w:rsid w:val="00764848"/>
    <w:rsid w:val="00770884"/>
    <w:rsid w:val="007727F7"/>
    <w:rsid w:val="00773364"/>
    <w:rsid w:val="00781B3C"/>
    <w:rsid w:val="0078697E"/>
    <w:rsid w:val="00792F24"/>
    <w:rsid w:val="00793E4D"/>
    <w:rsid w:val="007A0C02"/>
    <w:rsid w:val="007A2076"/>
    <w:rsid w:val="007A4263"/>
    <w:rsid w:val="007C0556"/>
    <w:rsid w:val="007C0C91"/>
    <w:rsid w:val="007C100E"/>
    <w:rsid w:val="007C2AD9"/>
    <w:rsid w:val="007D03C3"/>
    <w:rsid w:val="007D0C55"/>
    <w:rsid w:val="007D658E"/>
    <w:rsid w:val="007D6F11"/>
    <w:rsid w:val="007E4247"/>
    <w:rsid w:val="007E4540"/>
    <w:rsid w:val="008222AD"/>
    <w:rsid w:val="00823370"/>
    <w:rsid w:val="008240F4"/>
    <w:rsid w:val="00826038"/>
    <w:rsid w:val="00827B3F"/>
    <w:rsid w:val="00852975"/>
    <w:rsid w:val="00852EFA"/>
    <w:rsid w:val="008619EF"/>
    <w:rsid w:val="00862752"/>
    <w:rsid w:val="00865629"/>
    <w:rsid w:val="00866B93"/>
    <w:rsid w:val="00871142"/>
    <w:rsid w:val="00872551"/>
    <w:rsid w:val="0089024F"/>
    <w:rsid w:val="00894128"/>
    <w:rsid w:val="00896955"/>
    <w:rsid w:val="008A09E1"/>
    <w:rsid w:val="008A66AD"/>
    <w:rsid w:val="008B08B1"/>
    <w:rsid w:val="008B0FBB"/>
    <w:rsid w:val="008B1968"/>
    <w:rsid w:val="008B6334"/>
    <w:rsid w:val="008E1C99"/>
    <w:rsid w:val="008E65A5"/>
    <w:rsid w:val="00904526"/>
    <w:rsid w:val="0092229E"/>
    <w:rsid w:val="00931ABC"/>
    <w:rsid w:val="0095153B"/>
    <w:rsid w:val="009538E7"/>
    <w:rsid w:val="00980BAF"/>
    <w:rsid w:val="00982CBC"/>
    <w:rsid w:val="009B3CBD"/>
    <w:rsid w:val="009C6645"/>
    <w:rsid w:val="009D6EA3"/>
    <w:rsid w:val="009D76D8"/>
    <w:rsid w:val="009F4902"/>
    <w:rsid w:val="009F7E7C"/>
    <w:rsid w:val="00A05A3C"/>
    <w:rsid w:val="00A2535D"/>
    <w:rsid w:val="00A256FD"/>
    <w:rsid w:val="00A37BE7"/>
    <w:rsid w:val="00A45568"/>
    <w:rsid w:val="00A46A52"/>
    <w:rsid w:val="00A574F9"/>
    <w:rsid w:val="00A73E8A"/>
    <w:rsid w:val="00A76EF8"/>
    <w:rsid w:val="00A80D16"/>
    <w:rsid w:val="00A934E0"/>
    <w:rsid w:val="00A935B8"/>
    <w:rsid w:val="00AA42A4"/>
    <w:rsid w:val="00AC05A3"/>
    <w:rsid w:val="00AC3070"/>
    <w:rsid w:val="00AD09C0"/>
    <w:rsid w:val="00AD7EB9"/>
    <w:rsid w:val="00B10EF9"/>
    <w:rsid w:val="00B15305"/>
    <w:rsid w:val="00B20CCF"/>
    <w:rsid w:val="00B2751C"/>
    <w:rsid w:val="00B31BC1"/>
    <w:rsid w:val="00B323EB"/>
    <w:rsid w:val="00B327BC"/>
    <w:rsid w:val="00B6422B"/>
    <w:rsid w:val="00B6578B"/>
    <w:rsid w:val="00B8143C"/>
    <w:rsid w:val="00B83A93"/>
    <w:rsid w:val="00B85135"/>
    <w:rsid w:val="00B9051D"/>
    <w:rsid w:val="00B91930"/>
    <w:rsid w:val="00B93D6D"/>
    <w:rsid w:val="00BA7029"/>
    <w:rsid w:val="00BB6A32"/>
    <w:rsid w:val="00BD1AB1"/>
    <w:rsid w:val="00BD57F1"/>
    <w:rsid w:val="00BD643D"/>
    <w:rsid w:val="00BE0397"/>
    <w:rsid w:val="00BE0538"/>
    <w:rsid w:val="00BF08A2"/>
    <w:rsid w:val="00BF21AB"/>
    <w:rsid w:val="00C04FF8"/>
    <w:rsid w:val="00C118EF"/>
    <w:rsid w:val="00C11DC4"/>
    <w:rsid w:val="00C16D9E"/>
    <w:rsid w:val="00C20CD4"/>
    <w:rsid w:val="00C26B14"/>
    <w:rsid w:val="00C34C6B"/>
    <w:rsid w:val="00C5224B"/>
    <w:rsid w:val="00C54642"/>
    <w:rsid w:val="00C577D9"/>
    <w:rsid w:val="00C57F36"/>
    <w:rsid w:val="00C626D0"/>
    <w:rsid w:val="00C643F6"/>
    <w:rsid w:val="00C650C5"/>
    <w:rsid w:val="00C67870"/>
    <w:rsid w:val="00C724D4"/>
    <w:rsid w:val="00C85F78"/>
    <w:rsid w:val="00C87597"/>
    <w:rsid w:val="00CA0179"/>
    <w:rsid w:val="00CB1450"/>
    <w:rsid w:val="00CB243A"/>
    <w:rsid w:val="00CB35EA"/>
    <w:rsid w:val="00CB7741"/>
    <w:rsid w:val="00CC4F78"/>
    <w:rsid w:val="00CC50F1"/>
    <w:rsid w:val="00CC76A1"/>
    <w:rsid w:val="00CD102B"/>
    <w:rsid w:val="00CD24C9"/>
    <w:rsid w:val="00CE40FC"/>
    <w:rsid w:val="00CF2247"/>
    <w:rsid w:val="00CF2DE9"/>
    <w:rsid w:val="00D03309"/>
    <w:rsid w:val="00D14DC2"/>
    <w:rsid w:val="00D22473"/>
    <w:rsid w:val="00D26CDF"/>
    <w:rsid w:val="00D44A9D"/>
    <w:rsid w:val="00D44FE6"/>
    <w:rsid w:val="00D45D81"/>
    <w:rsid w:val="00D46296"/>
    <w:rsid w:val="00D8622A"/>
    <w:rsid w:val="00D86646"/>
    <w:rsid w:val="00D913C2"/>
    <w:rsid w:val="00DA4FB0"/>
    <w:rsid w:val="00DB18BD"/>
    <w:rsid w:val="00DB1F16"/>
    <w:rsid w:val="00DB202F"/>
    <w:rsid w:val="00DB2D4F"/>
    <w:rsid w:val="00DC3E12"/>
    <w:rsid w:val="00DD5799"/>
    <w:rsid w:val="00DD764B"/>
    <w:rsid w:val="00DF7019"/>
    <w:rsid w:val="00DF7C61"/>
    <w:rsid w:val="00E027D4"/>
    <w:rsid w:val="00E108DD"/>
    <w:rsid w:val="00E13257"/>
    <w:rsid w:val="00E159C3"/>
    <w:rsid w:val="00E2265A"/>
    <w:rsid w:val="00E23585"/>
    <w:rsid w:val="00E253EE"/>
    <w:rsid w:val="00E25BF9"/>
    <w:rsid w:val="00E372C2"/>
    <w:rsid w:val="00E41B66"/>
    <w:rsid w:val="00E52FF8"/>
    <w:rsid w:val="00E57F3E"/>
    <w:rsid w:val="00E70C63"/>
    <w:rsid w:val="00E7310F"/>
    <w:rsid w:val="00E823DA"/>
    <w:rsid w:val="00E969F5"/>
    <w:rsid w:val="00EA405E"/>
    <w:rsid w:val="00EA631A"/>
    <w:rsid w:val="00ED2CFE"/>
    <w:rsid w:val="00ED4CF3"/>
    <w:rsid w:val="00EE00C8"/>
    <w:rsid w:val="00EE1119"/>
    <w:rsid w:val="00EE4993"/>
    <w:rsid w:val="00EE50B5"/>
    <w:rsid w:val="00EF1097"/>
    <w:rsid w:val="00EF3325"/>
    <w:rsid w:val="00EF516A"/>
    <w:rsid w:val="00EF7776"/>
    <w:rsid w:val="00F02742"/>
    <w:rsid w:val="00F1068C"/>
    <w:rsid w:val="00F13A12"/>
    <w:rsid w:val="00F145B5"/>
    <w:rsid w:val="00F170CA"/>
    <w:rsid w:val="00F24288"/>
    <w:rsid w:val="00F30BCF"/>
    <w:rsid w:val="00F36EF6"/>
    <w:rsid w:val="00F50C84"/>
    <w:rsid w:val="00F53A23"/>
    <w:rsid w:val="00F54256"/>
    <w:rsid w:val="00F61276"/>
    <w:rsid w:val="00F6229C"/>
    <w:rsid w:val="00F622AF"/>
    <w:rsid w:val="00F7035C"/>
    <w:rsid w:val="00F7060A"/>
    <w:rsid w:val="00F75C46"/>
    <w:rsid w:val="00F80A58"/>
    <w:rsid w:val="00F845E6"/>
    <w:rsid w:val="00F84A4E"/>
    <w:rsid w:val="00F84FF8"/>
    <w:rsid w:val="00F96773"/>
    <w:rsid w:val="00F976F5"/>
    <w:rsid w:val="00FA2C6B"/>
    <w:rsid w:val="00FA4D0F"/>
    <w:rsid w:val="00FA700D"/>
    <w:rsid w:val="00FB0949"/>
    <w:rsid w:val="00FB4BF1"/>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sv-SE"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sv-SE" w:eastAsia="en-GB"/>
    </w:rPr>
  </w:style>
  <w:style w:type="character" w:customStyle="1" w:styleId="FooterChar">
    <w:name w:val="Footer Char"/>
    <w:link w:val="Footer"/>
    <w:uiPriority w:val="99"/>
    <w:rsid w:val="00D03309"/>
    <w:rPr>
      <w:sz w:val="24"/>
      <w:szCs w:val="24"/>
      <w:lang w:val="sv-SE" w:eastAsia="en-GB"/>
    </w:rPr>
  </w:style>
  <w:style w:type="character" w:customStyle="1" w:styleId="BalloonTextChar">
    <w:name w:val="Balloon Text Char"/>
    <w:link w:val="BalloonText"/>
    <w:semiHidden/>
    <w:rsid w:val="00D03309"/>
    <w:rPr>
      <w:rFonts w:ascii="Tahoma" w:hAnsi="Tahoma" w:cs="Tahoma"/>
      <w:sz w:val="16"/>
      <w:szCs w:val="16"/>
      <w:lang w:val="sv-SE"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sv-SE"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sv-SE"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paragraph" w:customStyle="1" w:styleId="Char0">
    <w:name w:val="Char"/>
    <w:basedOn w:val="Normal"/>
    <w:rsid w:val="00793E4D"/>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467D-F4FC-4244-A29B-2C650828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3034</Words>
  <Characters>18543</Characters>
  <Application>Microsoft Office Word</Application>
  <DocSecurity>0</DocSecurity>
  <Lines>598</Lines>
  <Paragraphs>287</Paragraphs>
  <ScaleCrop>false</ScaleCrop>
  <Company/>
  <LinksUpToDate>false</LinksUpToDate>
  <CharactersWithSpaces>21290</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2026-04-22T13:56:00Z</dcterms:created>
  <dcterms:modified xsi:type="dcterms:W3CDTF">2026-04-22T13:56:00Z</dcterms:modified>
</cp:coreProperties>
</file>