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98" w:rsidRPr="005C7322" w:rsidRDefault="005B3698" w:rsidP="00127431">
      <w:pPr>
        <w:jc w:val="both"/>
        <w:rPr>
          <w:rFonts w:ascii="Verdana" w:hAnsi="Verdana"/>
          <w:b/>
          <w:sz w:val="24"/>
          <w:szCs w:val="24"/>
        </w:rPr>
      </w:pPr>
      <w:bookmarkStart w:id="0" w:name="_GoBack"/>
      <w:bookmarkEnd w:id="0"/>
      <w:r w:rsidRPr="005C7322">
        <w:rPr>
          <w:rFonts w:ascii="Verdana" w:hAnsi="Verdana"/>
          <w:b/>
          <w:sz w:val="24"/>
          <w:szCs w:val="24"/>
        </w:rPr>
        <w:t>SEGNALAZIONE DI PRONUNC</w:t>
      </w:r>
      <w:r w:rsidR="00A11ABC">
        <w:rPr>
          <w:rFonts w:ascii="Verdana" w:hAnsi="Verdana"/>
          <w:b/>
          <w:sz w:val="24"/>
          <w:szCs w:val="24"/>
        </w:rPr>
        <w:t>IA</w:t>
      </w:r>
      <w:r w:rsidRPr="005C7322">
        <w:rPr>
          <w:rFonts w:ascii="Verdana" w:hAnsi="Verdana"/>
          <w:b/>
          <w:sz w:val="24"/>
          <w:szCs w:val="24"/>
        </w:rPr>
        <w:t xml:space="preserve"> CHE </w:t>
      </w:r>
      <w:r w:rsidR="003C73C9" w:rsidRPr="005C7322">
        <w:rPr>
          <w:rFonts w:ascii="Verdana" w:hAnsi="Verdana"/>
          <w:b/>
          <w:sz w:val="24"/>
          <w:szCs w:val="24"/>
        </w:rPr>
        <w:t>CONCERNE</w:t>
      </w:r>
      <w:r w:rsidRPr="005C7322">
        <w:rPr>
          <w:rFonts w:ascii="Verdana" w:hAnsi="Verdana"/>
          <w:b/>
          <w:sz w:val="24"/>
          <w:szCs w:val="24"/>
        </w:rPr>
        <w:t xml:space="preserve"> L’INTERPRETAZIONE DI </w:t>
      </w:r>
      <w:r w:rsidR="003C73C9" w:rsidRPr="005C7322">
        <w:rPr>
          <w:rFonts w:ascii="Verdana" w:hAnsi="Verdana"/>
          <w:b/>
          <w:sz w:val="24"/>
          <w:szCs w:val="24"/>
        </w:rPr>
        <w:t xml:space="preserve">NORMATIVA INTERNA ALLA LUCE DI UNA </w:t>
      </w:r>
      <w:r w:rsidRPr="005C7322">
        <w:rPr>
          <w:rFonts w:ascii="Verdana" w:hAnsi="Verdana"/>
          <w:b/>
          <w:sz w:val="24"/>
          <w:szCs w:val="24"/>
        </w:rPr>
        <w:t xml:space="preserve">DIRETTIVA COMUNITARIA. </w:t>
      </w:r>
    </w:p>
    <w:p w:rsidR="005B3698" w:rsidRPr="005B3698" w:rsidRDefault="005B3698" w:rsidP="005B3698">
      <w:pPr>
        <w:jc w:val="both"/>
        <w:rPr>
          <w:rFonts w:ascii="Verdana" w:hAnsi="Verdana"/>
          <w:sz w:val="24"/>
          <w:szCs w:val="24"/>
        </w:rPr>
      </w:pPr>
      <w:r>
        <w:rPr>
          <w:rFonts w:ascii="Verdana" w:hAnsi="Verdana"/>
          <w:sz w:val="24"/>
          <w:szCs w:val="24"/>
        </w:rPr>
        <w:t xml:space="preserve">Cass. </w:t>
      </w:r>
      <w:r w:rsidR="005C7322">
        <w:rPr>
          <w:rFonts w:ascii="Verdana" w:hAnsi="Verdana"/>
          <w:sz w:val="24"/>
          <w:szCs w:val="24"/>
        </w:rPr>
        <w:t xml:space="preserve">1/6/2020 </w:t>
      </w:r>
      <w:r>
        <w:rPr>
          <w:rFonts w:ascii="Verdana" w:hAnsi="Verdana"/>
          <w:sz w:val="24"/>
          <w:szCs w:val="24"/>
        </w:rPr>
        <w:t>n.</w:t>
      </w:r>
      <w:r w:rsidR="005C7322">
        <w:rPr>
          <w:rFonts w:ascii="Verdana" w:hAnsi="Verdana"/>
          <w:sz w:val="24"/>
          <w:szCs w:val="24"/>
        </w:rPr>
        <w:t xml:space="preserve"> 1041</w:t>
      </w:r>
      <w:r w:rsidR="00852E18">
        <w:rPr>
          <w:rFonts w:ascii="Verdana" w:hAnsi="Verdana"/>
          <w:sz w:val="24"/>
          <w:szCs w:val="24"/>
        </w:rPr>
        <w:t>4</w:t>
      </w:r>
      <w:r>
        <w:rPr>
          <w:rFonts w:ascii="Verdana" w:hAnsi="Verdana"/>
          <w:sz w:val="24"/>
          <w:szCs w:val="24"/>
        </w:rPr>
        <w:t xml:space="preserve">   </w:t>
      </w:r>
      <w:r w:rsidR="00852E18">
        <w:rPr>
          <w:rFonts w:ascii="Verdana" w:hAnsi="Verdana"/>
          <w:sz w:val="24"/>
          <w:szCs w:val="24"/>
        </w:rPr>
        <w:t>e Cass. 1/6/2020 n. 10415</w:t>
      </w:r>
      <w:r>
        <w:rPr>
          <w:rFonts w:ascii="Verdana" w:hAnsi="Verdana"/>
          <w:sz w:val="24"/>
          <w:szCs w:val="24"/>
        </w:rPr>
        <w:t xml:space="preserve">   ha</w:t>
      </w:r>
      <w:r w:rsidR="00852E18">
        <w:rPr>
          <w:rFonts w:ascii="Verdana" w:hAnsi="Verdana"/>
          <w:sz w:val="24"/>
          <w:szCs w:val="24"/>
        </w:rPr>
        <w:t xml:space="preserve">nno – in egual misura, trattandosi di ricorsi aventi ad oggetto la stessa impresa e lo stesso trasferimento - </w:t>
      </w:r>
      <w:r>
        <w:rPr>
          <w:rFonts w:ascii="Verdana" w:hAnsi="Verdana"/>
          <w:sz w:val="24"/>
          <w:szCs w:val="24"/>
        </w:rPr>
        <w:t xml:space="preserve"> affrontato il problema del</w:t>
      </w:r>
      <w:r w:rsidRPr="005B3698">
        <w:rPr>
          <w:rFonts w:ascii="Verdana" w:hAnsi="Verdana"/>
          <w:sz w:val="24"/>
          <w:szCs w:val="24"/>
        </w:rPr>
        <w:t xml:space="preserve">l'interpretazione e </w:t>
      </w:r>
      <w:r>
        <w:rPr>
          <w:rFonts w:ascii="Verdana" w:hAnsi="Verdana"/>
          <w:sz w:val="24"/>
          <w:szCs w:val="24"/>
        </w:rPr>
        <w:t>del</w:t>
      </w:r>
      <w:r w:rsidRPr="005B3698">
        <w:rPr>
          <w:rFonts w:ascii="Verdana" w:hAnsi="Verdana"/>
          <w:sz w:val="24"/>
          <w:szCs w:val="24"/>
        </w:rPr>
        <w:t xml:space="preserve">la portata applicativa dell'art. 47, comma 4-bis,I. 29 dicembre 1990, n. 428, introdotto </w:t>
      </w:r>
      <w:r>
        <w:rPr>
          <w:rFonts w:ascii="Verdana" w:hAnsi="Verdana"/>
          <w:sz w:val="24"/>
          <w:szCs w:val="24"/>
        </w:rPr>
        <w:t xml:space="preserve"> </w:t>
      </w:r>
      <w:r w:rsidRPr="005B3698">
        <w:rPr>
          <w:rFonts w:ascii="Verdana" w:hAnsi="Verdana"/>
          <w:sz w:val="24"/>
          <w:szCs w:val="24"/>
        </w:rPr>
        <w:t>all'art. 19-quater del dl. 25 settembre 2009,</w:t>
      </w:r>
      <w:r>
        <w:rPr>
          <w:rFonts w:ascii="Verdana" w:hAnsi="Verdana"/>
          <w:sz w:val="24"/>
          <w:szCs w:val="24"/>
        </w:rPr>
        <w:t xml:space="preserve"> </w:t>
      </w:r>
      <w:r w:rsidRPr="005B3698">
        <w:rPr>
          <w:rFonts w:ascii="Verdana" w:hAnsi="Verdana"/>
          <w:sz w:val="24"/>
          <w:szCs w:val="24"/>
        </w:rPr>
        <w:t>n. 135 (Disposizioni urgenti per l'attuazione degli obblighi comunitari e per</w:t>
      </w:r>
      <w:r>
        <w:rPr>
          <w:rFonts w:ascii="Verdana" w:hAnsi="Verdana"/>
          <w:sz w:val="24"/>
          <w:szCs w:val="24"/>
        </w:rPr>
        <w:t xml:space="preserve"> </w:t>
      </w:r>
      <w:r w:rsidRPr="005B3698">
        <w:rPr>
          <w:rFonts w:ascii="Verdana" w:hAnsi="Verdana"/>
          <w:sz w:val="24"/>
          <w:szCs w:val="24"/>
        </w:rPr>
        <w:t xml:space="preserve">l'esecuzione di sentenze della Corte di giustizia delle Comunità europee), conv. in </w:t>
      </w:r>
      <w:r>
        <w:rPr>
          <w:rFonts w:ascii="Verdana" w:hAnsi="Verdana"/>
          <w:sz w:val="24"/>
          <w:szCs w:val="24"/>
        </w:rPr>
        <w:t>l</w:t>
      </w:r>
      <w:r w:rsidRPr="005B3698">
        <w:rPr>
          <w:rFonts w:ascii="Verdana" w:hAnsi="Verdana"/>
          <w:sz w:val="24"/>
          <w:szCs w:val="24"/>
        </w:rPr>
        <w:t>. 20</w:t>
      </w:r>
      <w:r>
        <w:rPr>
          <w:rFonts w:ascii="Verdana" w:hAnsi="Verdana"/>
          <w:sz w:val="24"/>
          <w:szCs w:val="24"/>
        </w:rPr>
        <w:t xml:space="preserve"> </w:t>
      </w:r>
      <w:r w:rsidRPr="005B3698">
        <w:rPr>
          <w:rFonts w:ascii="Verdana" w:hAnsi="Verdana"/>
          <w:sz w:val="24"/>
          <w:szCs w:val="24"/>
        </w:rPr>
        <w:t xml:space="preserve">novembre 2009, n. 166, "al fine di dare esecuzione alla </w:t>
      </w:r>
      <w:r w:rsidRPr="003C73C9">
        <w:rPr>
          <w:rFonts w:ascii="Verdana" w:hAnsi="Verdana"/>
          <w:b/>
          <w:sz w:val="24"/>
          <w:szCs w:val="24"/>
        </w:rPr>
        <w:t>sentenza di condanna emessa dalla Corte di giustizia delle Comunità europee 1'11 giugno 2009</w:t>
      </w:r>
      <w:r w:rsidRPr="005B3698">
        <w:rPr>
          <w:rFonts w:ascii="Verdana" w:hAnsi="Verdana"/>
          <w:sz w:val="24"/>
          <w:szCs w:val="24"/>
        </w:rPr>
        <w:t xml:space="preserve"> nella causa C-</w:t>
      </w:r>
      <w:r>
        <w:rPr>
          <w:rFonts w:ascii="Verdana" w:hAnsi="Verdana"/>
          <w:sz w:val="24"/>
          <w:szCs w:val="24"/>
        </w:rPr>
        <w:t xml:space="preserve"> </w:t>
      </w:r>
      <w:r w:rsidRPr="005B3698">
        <w:rPr>
          <w:rFonts w:ascii="Verdana" w:hAnsi="Verdana"/>
          <w:sz w:val="24"/>
          <w:szCs w:val="24"/>
        </w:rPr>
        <w:t>561/07", la quale aveva affermato che, con i commi 5 e 6 dell'art. 47 della legge n.</w:t>
      </w:r>
      <w:r>
        <w:rPr>
          <w:rFonts w:ascii="Verdana" w:hAnsi="Verdana"/>
          <w:sz w:val="24"/>
          <w:szCs w:val="24"/>
        </w:rPr>
        <w:t xml:space="preserve"> </w:t>
      </w:r>
      <w:r w:rsidRPr="005B3698">
        <w:rPr>
          <w:rFonts w:ascii="Verdana" w:hAnsi="Verdana"/>
          <w:sz w:val="24"/>
          <w:szCs w:val="24"/>
        </w:rPr>
        <w:t xml:space="preserve">428 del 1990, la "Repubblica italiana è venuta meno agli obblighi ad essa </w:t>
      </w:r>
      <w:r>
        <w:rPr>
          <w:rFonts w:ascii="Verdana" w:hAnsi="Verdana"/>
          <w:sz w:val="24"/>
          <w:szCs w:val="24"/>
        </w:rPr>
        <w:t xml:space="preserve"> i</w:t>
      </w:r>
      <w:r w:rsidRPr="005B3698">
        <w:rPr>
          <w:rFonts w:ascii="Verdana" w:hAnsi="Verdana"/>
          <w:sz w:val="24"/>
          <w:szCs w:val="24"/>
        </w:rPr>
        <w:t>ncombenti</w:t>
      </w:r>
      <w:r>
        <w:rPr>
          <w:rFonts w:ascii="Verdana" w:hAnsi="Verdana"/>
          <w:sz w:val="24"/>
          <w:szCs w:val="24"/>
        </w:rPr>
        <w:t xml:space="preserve"> </w:t>
      </w:r>
      <w:r w:rsidRPr="005B3698">
        <w:rPr>
          <w:rFonts w:ascii="Verdana" w:hAnsi="Verdana"/>
          <w:sz w:val="24"/>
          <w:szCs w:val="24"/>
        </w:rPr>
        <w:t xml:space="preserve">in forza della </w:t>
      </w:r>
      <w:r w:rsidRPr="003C73C9">
        <w:rPr>
          <w:rFonts w:ascii="Verdana" w:hAnsi="Verdana"/>
          <w:b/>
          <w:sz w:val="24"/>
          <w:szCs w:val="24"/>
        </w:rPr>
        <w:t>direttiva" 2001/23/CE</w:t>
      </w:r>
      <w:r w:rsidRPr="005B3698">
        <w:rPr>
          <w:rFonts w:ascii="Verdana" w:hAnsi="Verdana"/>
          <w:sz w:val="24"/>
          <w:szCs w:val="24"/>
        </w:rPr>
        <w:t>.</w:t>
      </w:r>
    </w:p>
    <w:p w:rsidR="005C7322" w:rsidRDefault="005C7322" w:rsidP="005B3698">
      <w:pPr>
        <w:jc w:val="both"/>
        <w:rPr>
          <w:rFonts w:ascii="Verdana" w:hAnsi="Verdana"/>
          <w:sz w:val="24"/>
          <w:szCs w:val="24"/>
        </w:rPr>
      </w:pPr>
      <w:r>
        <w:rPr>
          <w:rFonts w:ascii="Verdana" w:hAnsi="Verdana"/>
          <w:sz w:val="24"/>
          <w:szCs w:val="24"/>
        </w:rPr>
        <w:t>PREMESSA:</w:t>
      </w:r>
    </w:p>
    <w:p w:rsidR="005C7322" w:rsidRPr="005C7322" w:rsidRDefault="005C7322" w:rsidP="005C7322">
      <w:pPr>
        <w:jc w:val="both"/>
        <w:rPr>
          <w:rFonts w:ascii="Verdana" w:hAnsi="Verdana"/>
          <w:sz w:val="24"/>
          <w:szCs w:val="24"/>
        </w:rPr>
      </w:pPr>
      <w:r w:rsidRPr="005C7322">
        <w:rPr>
          <w:rFonts w:ascii="Verdana" w:hAnsi="Verdana"/>
          <w:sz w:val="24"/>
          <w:szCs w:val="24"/>
        </w:rPr>
        <w:t xml:space="preserve">L'art. 47, comma 5,  </w:t>
      </w:r>
      <w:r>
        <w:rPr>
          <w:rFonts w:ascii="Verdana" w:hAnsi="Verdana"/>
          <w:sz w:val="24"/>
          <w:szCs w:val="24"/>
        </w:rPr>
        <w:t>d</w:t>
      </w:r>
      <w:r w:rsidRPr="005C7322">
        <w:rPr>
          <w:rFonts w:ascii="Verdana" w:hAnsi="Verdana"/>
          <w:sz w:val="24"/>
          <w:szCs w:val="24"/>
        </w:rPr>
        <w:t xml:space="preserve">ella l. n. 428 del 1990 è stato giudicato, dalla Corte di Giustizia, in contrasto con i principi della direttiva, in  quanto privava "puramente e semplicemente" i lavoratori, in caso trasferimento di un'impresa di cui sia stato accertato lo stato di crisi, della garanzie previste dagli artt. 3 e 4 delle direttiva </w:t>
      </w:r>
      <w:r>
        <w:rPr>
          <w:rFonts w:ascii="Verdana" w:hAnsi="Verdana"/>
          <w:sz w:val="24"/>
          <w:szCs w:val="24"/>
        </w:rPr>
        <w:t>(mantenimento delle condizioni di lavoro da cedente a cessionario; esclusione della integrazione di un licenziamento a fronte di un trasferimento di stabilimento/</w:t>
      </w:r>
      <w:r w:rsidR="008E1ACE">
        <w:rPr>
          <w:rFonts w:ascii="Verdana" w:hAnsi="Verdana"/>
          <w:sz w:val="24"/>
          <w:szCs w:val="24"/>
        </w:rPr>
        <w:t>ramo d’</w:t>
      </w:r>
      <w:r>
        <w:rPr>
          <w:rFonts w:ascii="Verdana" w:hAnsi="Verdana"/>
          <w:sz w:val="24"/>
          <w:szCs w:val="24"/>
        </w:rPr>
        <w:t xml:space="preserve">azienda salvo integrazione di altro motivo di carattere </w:t>
      </w:r>
      <w:r w:rsidR="008E1ACE">
        <w:rPr>
          <w:rFonts w:ascii="Verdana" w:hAnsi="Verdana"/>
          <w:sz w:val="24"/>
          <w:szCs w:val="24"/>
        </w:rPr>
        <w:t xml:space="preserve">economico, </w:t>
      </w:r>
      <w:r>
        <w:rPr>
          <w:rFonts w:ascii="Verdana" w:hAnsi="Verdana"/>
          <w:sz w:val="24"/>
          <w:szCs w:val="24"/>
        </w:rPr>
        <w:t xml:space="preserve">organizzativo, tecnico) </w:t>
      </w:r>
      <w:r w:rsidRPr="005C7322">
        <w:rPr>
          <w:rFonts w:ascii="Verdana" w:hAnsi="Verdana"/>
          <w:sz w:val="24"/>
          <w:szCs w:val="24"/>
        </w:rPr>
        <w:t xml:space="preserve">e "non si limita, di conseguenza, ad una modifica delle condizioni di lavoro, quale è autorizzata dall'art. 5 n. 3 delle direttiva" (punto 45 della sentenza). </w:t>
      </w:r>
    </w:p>
    <w:p w:rsidR="005C7322" w:rsidRPr="005C7322" w:rsidRDefault="005C7322" w:rsidP="005C7322">
      <w:pPr>
        <w:jc w:val="both"/>
        <w:rPr>
          <w:rFonts w:ascii="Verdana" w:hAnsi="Verdana"/>
          <w:sz w:val="24"/>
          <w:szCs w:val="24"/>
        </w:rPr>
      </w:pPr>
      <w:r w:rsidRPr="005C7322">
        <w:rPr>
          <w:rFonts w:ascii="Verdana" w:hAnsi="Verdana"/>
          <w:sz w:val="24"/>
          <w:szCs w:val="24"/>
        </w:rPr>
        <w:t>Invero, la Corte di giustizia ha distinto, agli effetti dell'interpretazione delle deroghe alle garanzie previste dagli artt. 3 e 4 della Direttiva, "la situazione dell'impresa di cui sia stato accertato lo stato di crisi", il cui procedimento mira a favorire la prosecuzione dell'attività dell'impresa nella prospettiva di una futura ripresa, rispetto alla situazione di imprese nei cui confronti siano in atto procedure concorsuali liquidative, rispetto alle quali la continuazione dell'attività non sia stata disposta o sia cessata.</w:t>
      </w:r>
    </w:p>
    <w:p w:rsidR="005C7322" w:rsidRPr="005C7322" w:rsidRDefault="005C7322" w:rsidP="005C7322">
      <w:pPr>
        <w:jc w:val="both"/>
        <w:rPr>
          <w:rFonts w:ascii="Verdana" w:hAnsi="Verdana"/>
          <w:sz w:val="24"/>
          <w:szCs w:val="24"/>
        </w:rPr>
      </w:pPr>
      <w:r w:rsidRPr="005C7322">
        <w:rPr>
          <w:rFonts w:ascii="Verdana" w:hAnsi="Verdana"/>
          <w:sz w:val="24"/>
          <w:szCs w:val="24"/>
        </w:rPr>
        <w:t>Per la prima categoria di imprese - alveo in cui è riconducibile la vicenda oggetto  del presente giudizio, come è pacifico in giudizio e neppure controverso tra le parti   l'art. 5, paragrafo 2, lettera b), così come richiamato dal paragrafo 3 della Direttiva 2001/23, autorizza gli Stati membri a prevedere che possano essere modificate "le condizioni di lavoro dei lavoratori intese a salvaguardare le opportunità occupazionali garantendo la sopravvivenza dell'impresa", ma - secondo la Corte di Giustizia - "senza tuttavia privare i lavoratori dei diritti loro garantiti dagli artt. 3 e 4 della direttiva 2001/23".</w:t>
      </w:r>
    </w:p>
    <w:p w:rsidR="00920B99" w:rsidRPr="005B3698" w:rsidRDefault="00920B99" w:rsidP="00920B99">
      <w:pPr>
        <w:jc w:val="both"/>
        <w:rPr>
          <w:rFonts w:ascii="Verdana" w:hAnsi="Verdana"/>
          <w:sz w:val="24"/>
          <w:szCs w:val="24"/>
        </w:rPr>
      </w:pPr>
      <w:r>
        <w:rPr>
          <w:rFonts w:ascii="Verdana" w:hAnsi="Verdana"/>
          <w:sz w:val="24"/>
          <w:szCs w:val="24"/>
        </w:rPr>
        <w:t xml:space="preserve">A seguito della condanna, l’Italia – con legge n. 135 del 2009 - ha introdotto il comma 4-bis all’art. 47 che recita: </w:t>
      </w:r>
      <w:r w:rsidRPr="005B3698">
        <w:rPr>
          <w:rFonts w:ascii="Verdana" w:hAnsi="Verdana"/>
          <w:sz w:val="24"/>
          <w:szCs w:val="24"/>
        </w:rPr>
        <w:t>"</w:t>
      </w:r>
      <w:r w:rsidRPr="00920B99">
        <w:rPr>
          <w:rFonts w:ascii="Verdana" w:hAnsi="Verdana"/>
          <w:i/>
          <w:sz w:val="24"/>
          <w:szCs w:val="24"/>
        </w:rPr>
        <w:t xml:space="preserve">Nel caso in cui sia stato raggiunto un accordo </w:t>
      </w:r>
      <w:r w:rsidRPr="00920B99">
        <w:rPr>
          <w:rFonts w:ascii="Verdana" w:hAnsi="Verdana"/>
          <w:i/>
          <w:sz w:val="24"/>
          <w:szCs w:val="24"/>
        </w:rPr>
        <w:lastRenderedPageBreak/>
        <w:t>circa il mantenimento, anche parziale, dell'occupazione, l'articolo 2112 del codice civile trova applicazione nei termini e con le limitazioni previste dall'accordo medesimo qualora il trasferimento riguardi aziende: a) delle quali sia stato accertato lo stato di crisi aziendale, ai sensi dell'articolo 2, quinto comma, lettera c), della legge 12 agosto 1977, n.675; b) per le quali sia stata disposta l'amministrazione straordinaria, ai sensi del decreto legislativo 8 luglio 1999, n. 270, in caso di continuazione o di mancata cessazione dell'attività</w:t>
      </w:r>
      <w:r w:rsidRPr="005B3698">
        <w:rPr>
          <w:rFonts w:ascii="Verdana" w:hAnsi="Verdana"/>
          <w:sz w:val="24"/>
          <w:szCs w:val="24"/>
        </w:rPr>
        <w:t>".</w:t>
      </w:r>
    </w:p>
    <w:p w:rsidR="00920B99" w:rsidRPr="005B3698" w:rsidRDefault="00920B99" w:rsidP="00920B99">
      <w:pPr>
        <w:jc w:val="both"/>
        <w:rPr>
          <w:rFonts w:ascii="Verdana" w:hAnsi="Verdana"/>
          <w:sz w:val="24"/>
          <w:szCs w:val="24"/>
        </w:rPr>
      </w:pPr>
      <w:r>
        <w:rPr>
          <w:rFonts w:ascii="Verdana" w:hAnsi="Verdana"/>
          <w:sz w:val="24"/>
          <w:szCs w:val="24"/>
        </w:rPr>
        <w:t>La novella del 2009 ha, altresì, parzialmente modificato il c</w:t>
      </w:r>
      <w:r w:rsidRPr="005B3698">
        <w:rPr>
          <w:rFonts w:ascii="Verdana" w:hAnsi="Verdana"/>
          <w:sz w:val="24"/>
          <w:szCs w:val="24"/>
        </w:rPr>
        <w:t>omma 5 dell</w:t>
      </w:r>
      <w:r w:rsidR="00E00A9F">
        <w:rPr>
          <w:rFonts w:ascii="Verdana" w:hAnsi="Verdana"/>
          <w:sz w:val="24"/>
          <w:szCs w:val="24"/>
        </w:rPr>
        <w:t>a l. n. 428 del 1990 che attualmente prevede che</w:t>
      </w:r>
      <w:r w:rsidRPr="005B3698">
        <w:rPr>
          <w:rFonts w:ascii="Verdana" w:hAnsi="Verdana"/>
          <w:sz w:val="24"/>
          <w:szCs w:val="24"/>
        </w:rPr>
        <w:t xml:space="preserve">, in </w:t>
      </w:r>
      <w:r w:rsidR="00E00A9F">
        <w:rPr>
          <w:rFonts w:ascii="Verdana" w:hAnsi="Verdana"/>
          <w:sz w:val="24"/>
          <w:szCs w:val="24"/>
        </w:rPr>
        <w:t>caso di dichiarazione di fallimento, omologazione di concordato preventivo  consistente nella cessione di beni, liquidazione coatta amministrativa ovvero sottoposizione all’amministrazione straordinaria</w:t>
      </w:r>
      <w:r w:rsidRPr="005B3698">
        <w:rPr>
          <w:rFonts w:ascii="Verdana" w:hAnsi="Verdana"/>
          <w:sz w:val="24"/>
          <w:szCs w:val="24"/>
        </w:rPr>
        <w:t>, ove nel corso delle</w:t>
      </w:r>
      <w:r>
        <w:rPr>
          <w:rFonts w:ascii="Verdana" w:hAnsi="Verdana"/>
          <w:sz w:val="24"/>
          <w:szCs w:val="24"/>
        </w:rPr>
        <w:t xml:space="preserve"> </w:t>
      </w:r>
      <w:r w:rsidRPr="005B3698">
        <w:rPr>
          <w:rFonts w:ascii="Verdana" w:hAnsi="Verdana"/>
          <w:sz w:val="24"/>
          <w:szCs w:val="24"/>
        </w:rPr>
        <w:t>consultazioni sindacali "sia stato raggiunto un accordo circa il mantenimento anche</w:t>
      </w:r>
      <w:r>
        <w:rPr>
          <w:rFonts w:ascii="Verdana" w:hAnsi="Verdana"/>
          <w:sz w:val="24"/>
          <w:szCs w:val="24"/>
        </w:rPr>
        <w:t xml:space="preserve"> </w:t>
      </w:r>
      <w:r w:rsidRPr="005B3698">
        <w:rPr>
          <w:rFonts w:ascii="Verdana" w:hAnsi="Verdana"/>
          <w:sz w:val="24"/>
          <w:szCs w:val="24"/>
        </w:rPr>
        <w:t>parziale dell'occupazione", "ai lavoratori il cui rapporto di lavoro continua con</w:t>
      </w:r>
      <w:r>
        <w:rPr>
          <w:rFonts w:ascii="Verdana" w:hAnsi="Verdana"/>
          <w:sz w:val="24"/>
          <w:szCs w:val="24"/>
        </w:rPr>
        <w:t xml:space="preserve"> </w:t>
      </w:r>
      <w:r w:rsidRPr="005B3698">
        <w:rPr>
          <w:rFonts w:ascii="Verdana" w:hAnsi="Verdana"/>
          <w:sz w:val="24"/>
          <w:szCs w:val="24"/>
        </w:rPr>
        <w:t>l'acquirente non trova applicazione l'art. 2112 c.c., salvo che dall'accordo risultino</w:t>
      </w:r>
      <w:r>
        <w:rPr>
          <w:rFonts w:ascii="Verdana" w:hAnsi="Verdana"/>
          <w:sz w:val="24"/>
          <w:szCs w:val="24"/>
        </w:rPr>
        <w:t xml:space="preserve"> </w:t>
      </w:r>
      <w:r w:rsidRPr="005B3698">
        <w:rPr>
          <w:rFonts w:ascii="Verdana" w:hAnsi="Verdana"/>
          <w:sz w:val="24"/>
          <w:szCs w:val="24"/>
        </w:rPr>
        <w:t>condizioni di miglior favore".</w:t>
      </w:r>
    </w:p>
    <w:p w:rsidR="005C7322" w:rsidRDefault="00E00A9F" w:rsidP="005B3698">
      <w:pPr>
        <w:jc w:val="both"/>
        <w:rPr>
          <w:rFonts w:ascii="Verdana" w:hAnsi="Verdana"/>
          <w:sz w:val="24"/>
          <w:szCs w:val="24"/>
        </w:rPr>
      </w:pPr>
      <w:r>
        <w:rPr>
          <w:rFonts w:ascii="Verdana" w:hAnsi="Verdana"/>
          <w:sz w:val="24"/>
          <w:szCs w:val="24"/>
        </w:rPr>
        <w:t>QUESITO INTERPRETATIVO</w:t>
      </w:r>
    </w:p>
    <w:p w:rsidR="00E00A9F" w:rsidRDefault="00E00A9F" w:rsidP="005B3698">
      <w:pPr>
        <w:jc w:val="both"/>
        <w:rPr>
          <w:rFonts w:ascii="Verdana" w:hAnsi="Verdana"/>
          <w:sz w:val="24"/>
          <w:szCs w:val="24"/>
        </w:rPr>
      </w:pPr>
      <w:r>
        <w:rPr>
          <w:rFonts w:ascii="Verdana" w:hAnsi="Verdana"/>
          <w:sz w:val="24"/>
          <w:szCs w:val="24"/>
        </w:rPr>
        <w:t xml:space="preserve">Ove sia stato raggiunto un </w:t>
      </w:r>
      <w:r w:rsidRPr="0079348F">
        <w:rPr>
          <w:rFonts w:ascii="Verdana" w:hAnsi="Verdana"/>
          <w:sz w:val="24"/>
          <w:szCs w:val="24"/>
        </w:rPr>
        <w:t>accordo sindacale</w:t>
      </w:r>
      <w:r>
        <w:rPr>
          <w:rFonts w:ascii="Verdana" w:hAnsi="Verdana"/>
          <w:sz w:val="24"/>
          <w:szCs w:val="24"/>
        </w:rPr>
        <w:t xml:space="preserve"> circa il mantenimento, anche parziale, dell’occupazione, le parti </w:t>
      </w:r>
      <w:r w:rsidRPr="0079348F">
        <w:rPr>
          <w:rFonts w:ascii="Verdana" w:hAnsi="Verdana"/>
          <w:sz w:val="24"/>
          <w:szCs w:val="24"/>
        </w:rPr>
        <w:t>poss</w:t>
      </w:r>
      <w:r>
        <w:rPr>
          <w:rFonts w:ascii="Verdana" w:hAnsi="Verdana"/>
          <w:sz w:val="24"/>
          <w:szCs w:val="24"/>
        </w:rPr>
        <w:t>ono</w:t>
      </w:r>
      <w:r w:rsidRPr="0079348F">
        <w:rPr>
          <w:rFonts w:ascii="Verdana" w:hAnsi="Verdana"/>
          <w:sz w:val="24"/>
          <w:szCs w:val="24"/>
        </w:rPr>
        <w:t xml:space="preserve"> disporre, in senso limitativo, dei trasferimenti</w:t>
      </w:r>
      <w:r>
        <w:rPr>
          <w:rFonts w:ascii="Verdana" w:hAnsi="Verdana"/>
          <w:sz w:val="24"/>
          <w:szCs w:val="24"/>
        </w:rPr>
        <w:t xml:space="preserve"> </w:t>
      </w:r>
      <w:r w:rsidRPr="0079348F">
        <w:rPr>
          <w:rFonts w:ascii="Verdana" w:hAnsi="Verdana"/>
          <w:sz w:val="24"/>
          <w:szCs w:val="24"/>
        </w:rPr>
        <w:t>dei lavoratori dell'impresa cedente</w:t>
      </w:r>
      <w:r>
        <w:rPr>
          <w:rFonts w:ascii="Verdana" w:hAnsi="Verdana"/>
          <w:sz w:val="24"/>
          <w:szCs w:val="24"/>
        </w:rPr>
        <w:t xml:space="preserve">? Ossia, la deroga </w:t>
      </w:r>
      <w:r w:rsidR="00AB2F94">
        <w:rPr>
          <w:rFonts w:ascii="Verdana" w:hAnsi="Verdana"/>
          <w:sz w:val="24"/>
          <w:szCs w:val="24"/>
        </w:rPr>
        <w:t xml:space="preserve">all’art. 2112 c.c. è possibile – in egual misura - sia per le aziende </w:t>
      </w:r>
      <w:r w:rsidRPr="0079348F">
        <w:rPr>
          <w:rFonts w:ascii="Verdana" w:hAnsi="Verdana"/>
          <w:sz w:val="24"/>
          <w:szCs w:val="24"/>
        </w:rPr>
        <w:t>rientrant</w:t>
      </w:r>
      <w:r w:rsidR="00AB2F94">
        <w:rPr>
          <w:rFonts w:ascii="Verdana" w:hAnsi="Verdana"/>
          <w:sz w:val="24"/>
          <w:szCs w:val="24"/>
        </w:rPr>
        <w:t>i</w:t>
      </w:r>
      <w:r w:rsidRPr="0079348F">
        <w:rPr>
          <w:rFonts w:ascii="Verdana" w:hAnsi="Verdana"/>
          <w:sz w:val="24"/>
          <w:szCs w:val="24"/>
        </w:rPr>
        <w:t xml:space="preserve"> nell'ipotesi di cui</w:t>
      </w:r>
      <w:r>
        <w:rPr>
          <w:rFonts w:ascii="Verdana" w:hAnsi="Verdana"/>
          <w:sz w:val="24"/>
          <w:szCs w:val="24"/>
        </w:rPr>
        <w:t xml:space="preserve"> </w:t>
      </w:r>
      <w:r w:rsidRPr="0079348F">
        <w:rPr>
          <w:rFonts w:ascii="Verdana" w:hAnsi="Verdana"/>
          <w:sz w:val="24"/>
          <w:szCs w:val="24"/>
        </w:rPr>
        <w:t>al comma 4- bis</w:t>
      </w:r>
      <w:r w:rsidR="00AB2F94">
        <w:rPr>
          <w:rFonts w:ascii="Verdana" w:hAnsi="Verdana"/>
          <w:sz w:val="24"/>
          <w:szCs w:val="24"/>
        </w:rPr>
        <w:t xml:space="preserve"> sia per quelle comprese nella previsione del comma 5?</w:t>
      </w:r>
    </w:p>
    <w:p w:rsidR="00E00A9F" w:rsidRDefault="00E00A9F" w:rsidP="005B3698">
      <w:pPr>
        <w:jc w:val="both"/>
        <w:rPr>
          <w:rFonts w:ascii="Verdana" w:hAnsi="Verdana"/>
          <w:sz w:val="24"/>
          <w:szCs w:val="24"/>
        </w:rPr>
      </w:pPr>
      <w:r>
        <w:rPr>
          <w:rFonts w:ascii="Verdana" w:hAnsi="Verdana"/>
          <w:sz w:val="24"/>
          <w:szCs w:val="24"/>
        </w:rPr>
        <w:t xml:space="preserve">SOLUZIONE PRESCELTA </w:t>
      </w:r>
    </w:p>
    <w:p w:rsidR="00920B99" w:rsidRDefault="00E00A9F" w:rsidP="00920B99">
      <w:pPr>
        <w:jc w:val="both"/>
        <w:rPr>
          <w:rFonts w:ascii="Verdana" w:hAnsi="Verdana"/>
          <w:sz w:val="24"/>
          <w:szCs w:val="24"/>
        </w:rPr>
      </w:pPr>
      <w:r>
        <w:rPr>
          <w:rFonts w:ascii="Verdana" w:hAnsi="Verdana"/>
          <w:sz w:val="24"/>
          <w:szCs w:val="24"/>
        </w:rPr>
        <w:t xml:space="preserve">La Corte di Cassazione ha ritenuto che - </w:t>
      </w:r>
      <w:r w:rsidR="00920B99" w:rsidRPr="0079348F">
        <w:rPr>
          <w:rFonts w:ascii="Verdana" w:hAnsi="Verdana"/>
          <w:sz w:val="24"/>
          <w:szCs w:val="24"/>
        </w:rPr>
        <w:t xml:space="preserve">a fronte di espressioni generiche, le quali </w:t>
      </w:r>
      <w:r w:rsidR="00920B99">
        <w:rPr>
          <w:rFonts w:ascii="Verdana" w:hAnsi="Verdana"/>
          <w:sz w:val="24"/>
          <w:szCs w:val="24"/>
        </w:rPr>
        <w:t xml:space="preserve"> p</w:t>
      </w:r>
      <w:r w:rsidR="00920B99" w:rsidRPr="0079348F">
        <w:rPr>
          <w:rFonts w:ascii="Verdana" w:hAnsi="Verdana"/>
          <w:sz w:val="24"/>
          <w:szCs w:val="24"/>
        </w:rPr>
        <w:t>ossano</w:t>
      </w:r>
      <w:r w:rsidR="00920B99">
        <w:rPr>
          <w:rFonts w:ascii="Verdana" w:hAnsi="Verdana"/>
          <w:sz w:val="24"/>
          <w:szCs w:val="24"/>
        </w:rPr>
        <w:t xml:space="preserve"> </w:t>
      </w:r>
      <w:r w:rsidR="00920B99" w:rsidRPr="0079348F">
        <w:rPr>
          <w:rFonts w:ascii="Verdana" w:hAnsi="Verdana"/>
          <w:sz w:val="24"/>
          <w:szCs w:val="24"/>
        </w:rPr>
        <w:t>condurre a risultati interpretativi diversi</w:t>
      </w:r>
      <w:r>
        <w:rPr>
          <w:rFonts w:ascii="Verdana" w:hAnsi="Verdana"/>
          <w:sz w:val="24"/>
          <w:szCs w:val="24"/>
        </w:rPr>
        <w:t xml:space="preserve"> - </w:t>
      </w:r>
      <w:r w:rsidR="00920B99" w:rsidRPr="0079348F">
        <w:rPr>
          <w:rFonts w:ascii="Verdana" w:hAnsi="Verdana"/>
          <w:sz w:val="24"/>
          <w:szCs w:val="24"/>
        </w:rPr>
        <w:t>deve essere privilegiato il significato</w:t>
      </w:r>
      <w:r w:rsidR="00920B99">
        <w:rPr>
          <w:rFonts w:ascii="Verdana" w:hAnsi="Verdana"/>
          <w:sz w:val="24"/>
          <w:szCs w:val="24"/>
        </w:rPr>
        <w:t xml:space="preserve"> </w:t>
      </w:r>
      <w:r w:rsidR="00920B99" w:rsidRPr="0079348F">
        <w:rPr>
          <w:rFonts w:ascii="Verdana" w:hAnsi="Verdana"/>
          <w:sz w:val="24"/>
          <w:szCs w:val="24"/>
        </w:rPr>
        <w:t>conforme al diritto dell'Unione e alla interpretazione che dello stesso fornisce la CGUE</w:t>
      </w:r>
      <w:r>
        <w:rPr>
          <w:rFonts w:ascii="Verdana" w:hAnsi="Verdana"/>
          <w:sz w:val="24"/>
          <w:szCs w:val="24"/>
        </w:rPr>
        <w:t xml:space="preserve"> (</w:t>
      </w:r>
      <w:r w:rsidR="00920B99" w:rsidRPr="0079348F">
        <w:rPr>
          <w:rFonts w:ascii="Verdana" w:hAnsi="Verdana"/>
          <w:sz w:val="24"/>
          <w:szCs w:val="24"/>
        </w:rPr>
        <w:t>che, peraltro, nel caso di specie è anche più coerente con l'interpretazione logicosistematica</w:t>
      </w:r>
      <w:r w:rsidR="00920B99">
        <w:rPr>
          <w:rFonts w:ascii="Verdana" w:hAnsi="Verdana"/>
          <w:sz w:val="24"/>
          <w:szCs w:val="24"/>
        </w:rPr>
        <w:t xml:space="preserve"> </w:t>
      </w:r>
      <w:r w:rsidR="00920B99" w:rsidRPr="0079348F">
        <w:rPr>
          <w:rFonts w:ascii="Verdana" w:hAnsi="Verdana"/>
          <w:sz w:val="24"/>
          <w:szCs w:val="24"/>
        </w:rPr>
        <w:t>e con la voluntas legis</w:t>
      </w:r>
      <w:r>
        <w:rPr>
          <w:rFonts w:ascii="Verdana" w:hAnsi="Verdana"/>
          <w:sz w:val="24"/>
          <w:szCs w:val="24"/>
        </w:rPr>
        <w:t xml:space="preserve">), </w:t>
      </w:r>
      <w:r w:rsidR="00920B99" w:rsidRPr="0079348F">
        <w:rPr>
          <w:rFonts w:ascii="Verdana" w:hAnsi="Verdana"/>
          <w:sz w:val="24"/>
          <w:szCs w:val="24"/>
        </w:rPr>
        <w:t xml:space="preserve"> per cui l'accordo con le organizzazioni sindacali</w:t>
      </w:r>
      <w:r w:rsidR="00920B99">
        <w:rPr>
          <w:rFonts w:ascii="Verdana" w:hAnsi="Verdana"/>
          <w:sz w:val="24"/>
          <w:szCs w:val="24"/>
        </w:rPr>
        <w:t xml:space="preserve"> </w:t>
      </w:r>
      <w:r w:rsidR="00920B99" w:rsidRPr="0079348F">
        <w:rPr>
          <w:rFonts w:ascii="Verdana" w:hAnsi="Verdana"/>
          <w:sz w:val="24"/>
          <w:szCs w:val="24"/>
        </w:rPr>
        <w:t>raggiunto ai sensi del comma 4-bis dell'art. 47 legge n. 428 del 1990, a differenza di</w:t>
      </w:r>
      <w:r w:rsidR="00920B99">
        <w:rPr>
          <w:rFonts w:ascii="Verdana" w:hAnsi="Verdana"/>
          <w:sz w:val="24"/>
          <w:szCs w:val="24"/>
        </w:rPr>
        <w:t xml:space="preserve"> </w:t>
      </w:r>
      <w:r w:rsidR="00920B99" w:rsidRPr="0079348F">
        <w:rPr>
          <w:rFonts w:ascii="Verdana" w:hAnsi="Verdana"/>
          <w:sz w:val="24"/>
          <w:szCs w:val="24"/>
        </w:rPr>
        <w:t>quello raggiunto ai sensi del comma 5 dello stesso articolo, non consente di incidere</w:t>
      </w:r>
      <w:r w:rsidR="00920B99">
        <w:rPr>
          <w:rFonts w:ascii="Verdana" w:hAnsi="Verdana"/>
          <w:sz w:val="24"/>
          <w:szCs w:val="24"/>
        </w:rPr>
        <w:t xml:space="preserve"> </w:t>
      </w:r>
      <w:r w:rsidR="00920B99" w:rsidRPr="0079348F">
        <w:rPr>
          <w:rFonts w:ascii="Verdana" w:hAnsi="Verdana"/>
          <w:sz w:val="24"/>
          <w:szCs w:val="24"/>
        </w:rPr>
        <w:t>sulla continuità del rapporto di lavoro, in quanto la deroga all'art. 2112 c.c. cui il</w:t>
      </w:r>
      <w:r w:rsidR="00920B99">
        <w:rPr>
          <w:rFonts w:ascii="Verdana" w:hAnsi="Verdana"/>
          <w:sz w:val="24"/>
          <w:szCs w:val="24"/>
        </w:rPr>
        <w:t xml:space="preserve"> </w:t>
      </w:r>
      <w:r w:rsidR="00920B99" w:rsidRPr="0079348F">
        <w:rPr>
          <w:rFonts w:ascii="Verdana" w:hAnsi="Verdana"/>
          <w:sz w:val="24"/>
          <w:szCs w:val="24"/>
        </w:rPr>
        <w:t>co</w:t>
      </w:r>
      <w:r w:rsidR="00920B99">
        <w:rPr>
          <w:rFonts w:ascii="Verdana" w:hAnsi="Verdana"/>
          <w:sz w:val="24"/>
          <w:szCs w:val="24"/>
        </w:rPr>
        <w:t>m</w:t>
      </w:r>
      <w:r w:rsidR="00920B99" w:rsidRPr="0079348F">
        <w:rPr>
          <w:rFonts w:ascii="Verdana" w:hAnsi="Verdana"/>
          <w:sz w:val="24"/>
          <w:szCs w:val="24"/>
        </w:rPr>
        <w:t>ma 4-bis si riferisce può riguardare esclusivamente le "condizioni di lavoro", nel</w:t>
      </w:r>
      <w:r w:rsidR="00920B99">
        <w:rPr>
          <w:rFonts w:ascii="Verdana" w:hAnsi="Verdana"/>
          <w:sz w:val="24"/>
          <w:szCs w:val="24"/>
        </w:rPr>
        <w:t xml:space="preserve"> </w:t>
      </w:r>
      <w:r w:rsidR="00920B99" w:rsidRPr="0079348F">
        <w:rPr>
          <w:rFonts w:ascii="Verdana" w:hAnsi="Verdana"/>
          <w:sz w:val="24"/>
          <w:szCs w:val="24"/>
        </w:rPr>
        <w:t>contesto di un rapporto di lavoro comunque trasferito.</w:t>
      </w:r>
    </w:p>
    <w:p w:rsidR="00AB2F94" w:rsidRPr="0079348F" w:rsidRDefault="00AB2F94" w:rsidP="00AB2F94">
      <w:pPr>
        <w:jc w:val="both"/>
        <w:rPr>
          <w:rFonts w:ascii="Verdana" w:hAnsi="Verdana"/>
          <w:sz w:val="24"/>
          <w:szCs w:val="24"/>
        </w:rPr>
      </w:pPr>
      <w:r>
        <w:rPr>
          <w:rFonts w:ascii="Verdana" w:hAnsi="Verdana"/>
          <w:sz w:val="24"/>
          <w:szCs w:val="24"/>
        </w:rPr>
        <w:t>Dunque, n</w:t>
      </w:r>
      <w:r w:rsidRPr="0079348F">
        <w:rPr>
          <w:rFonts w:ascii="Verdana" w:hAnsi="Verdana"/>
          <w:sz w:val="24"/>
          <w:szCs w:val="24"/>
        </w:rPr>
        <w:t xml:space="preserve">el contesto del </w:t>
      </w:r>
      <w:r w:rsidRPr="00AB2F94">
        <w:rPr>
          <w:rFonts w:ascii="Verdana" w:hAnsi="Verdana"/>
          <w:sz w:val="24"/>
          <w:szCs w:val="24"/>
          <w:u w:val="single"/>
        </w:rPr>
        <w:t>comma 5</w:t>
      </w:r>
      <w:r w:rsidRPr="0079348F">
        <w:rPr>
          <w:rFonts w:ascii="Verdana" w:hAnsi="Verdana"/>
          <w:sz w:val="24"/>
          <w:szCs w:val="24"/>
        </w:rPr>
        <w:t xml:space="preserve"> dell'art. 47, in caso di trasferimento di imprese o parti di</w:t>
      </w:r>
      <w:r>
        <w:rPr>
          <w:rFonts w:ascii="Verdana" w:hAnsi="Verdana"/>
          <w:sz w:val="24"/>
          <w:szCs w:val="24"/>
        </w:rPr>
        <w:t xml:space="preserve"> </w:t>
      </w:r>
      <w:r w:rsidRPr="0079348F">
        <w:rPr>
          <w:rFonts w:ascii="Verdana" w:hAnsi="Verdana"/>
          <w:sz w:val="24"/>
          <w:szCs w:val="24"/>
        </w:rPr>
        <w:t>imprese il cui cedente sia oggetto di una procedura fallimentare o di una procedura di</w:t>
      </w:r>
      <w:r>
        <w:rPr>
          <w:rFonts w:ascii="Verdana" w:hAnsi="Verdana"/>
          <w:sz w:val="24"/>
          <w:szCs w:val="24"/>
        </w:rPr>
        <w:t xml:space="preserve"> </w:t>
      </w:r>
      <w:r w:rsidRPr="0079348F">
        <w:rPr>
          <w:rFonts w:ascii="Verdana" w:hAnsi="Verdana"/>
          <w:sz w:val="24"/>
          <w:szCs w:val="24"/>
        </w:rPr>
        <w:t>insolvenza analoga aperta in vista della liquidazione dei beni del cedente stesso, il</w:t>
      </w:r>
      <w:r>
        <w:rPr>
          <w:rFonts w:ascii="Verdana" w:hAnsi="Verdana"/>
          <w:sz w:val="24"/>
          <w:szCs w:val="24"/>
        </w:rPr>
        <w:t xml:space="preserve"> </w:t>
      </w:r>
      <w:r w:rsidRPr="0079348F">
        <w:rPr>
          <w:rFonts w:ascii="Verdana" w:hAnsi="Verdana"/>
          <w:sz w:val="24"/>
          <w:szCs w:val="24"/>
        </w:rPr>
        <w:t>principio generale è (per i lavoratori trasferiti alle dipendenze del cessionario)</w:t>
      </w:r>
      <w:r>
        <w:rPr>
          <w:rFonts w:ascii="Verdana" w:hAnsi="Verdana"/>
          <w:sz w:val="24"/>
          <w:szCs w:val="24"/>
        </w:rPr>
        <w:t xml:space="preserve"> </w:t>
      </w:r>
      <w:r w:rsidRPr="0079348F">
        <w:rPr>
          <w:rFonts w:ascii="Verdana" w:hAnsi="Verdana"/>
          <w:sz w:val="24"/>
          <w:szCs w:val="24"/>
        </w:rPr>
        <w:t>l'esclusione delle tutele di cui all'art. 2112 c.c., salvo che l'accordo preveda condizioni</w:t>
      </w:r>
      <w:r>
        <w:rPr>
          <w:rFonts w:ascii="Verdana" w:hAnsi="Verdana"/>
          <w:sz w:val="24"/>
          <w:szCs w:val="24"/>
        </w:rPr>
        <w:t xml:space="preserve"> </w:t>
      </w:r>
      <w:r w:rsidRPr="0079348F">
        <w:rPr>
          <w:rFonts w:ascii="Verdana" w:hAnsi="Verdana"/>
          <w:sz w:val="24"/>
          <w:szCs w:val="24"/>
        </w:rPr>
        <w:t>di 'miglior favore; la regola è dunque l'inapplicabilità, salvo deroghe.</w:t>
      </w:r>
      <w:r>
        <w:rPr>
          <w:rFonts w:ascii="Verdana" w:hAnsi="Verdana"/>
          <w:sz w:val="24"/>
          <w:szCs w:val="24"/>
        </w:rPr>
        <w:t xml:space="preserve"> </w:t>
      </w:r>
      <w:r w:rsidRPr="0079348F">
        <w:rPr>
          <w:rFonts w:ascii="Verdana" w:hAnsi="Verdana"/>
          <w:sz w:val="24"/>
          <w:szCs w:val="24"/>
        </w:rPr>
        <w:t xml:space="preserve">Al contrario, nel </w:t>
      </w:r>
      <w:r w:rsidRPr="00AB2F94">
        <w:rPr>
          <w:rFonts w:ascii="Verdana" w:hAnsi="Verdana"/>
          <w:sz w:val="24"/>
          <w:szCs w:val="24"/>
          <w:u w:val="single"/>
        </w:rPr>
        <w:t>comma 4-bis</w:t>
      </w:r>
      <w:r w:rsidRPr="0079348F">
        <w:rPr>
          <w:rFonts w:ascii="Verdana" w:hAnsi="Verdana"/>
          <w:sz w:val="24"/>
          <w:szCs w:val="24"/>
        </w:rPr>
        <w:t xml:space="preserve"> la regola è di ordine positivo ("trova applicazione"),</w:t>
      </w:r>
      <w:r>
        <w:rPr>
          <w:rFonts w:ascii="Verdana" w:hAnsi="Verdana"/>
          <w:sz w:val="24"/>
          <w:szCs w:val="24"/>
        </w:rPr>
        <w:t xml:space="preserve"> </w:t>
      </w:r>
      <w:r w:rsidRPr="0079348F">
        <w:rPr>
          <w:rFonts w:ascii="Verdana" w:hAnsi="Verdana"/>
          <w:sz w:val="24"/>
          <w:szCs w:val="24"/>
        </w:rPr>
        <w:t>per cui la specificazione "nei termini e con le limitazioni previste dall'accordo</w:t>
      </w:r>
      <w:r>
        <w:rPr>
          <w:rFonts w:ascii="Verdana" w:hAnsi="Verdana"/>
          <w:sz w:val="24"/>
          <w:szCs w:val="24"/>
        </w:rPr>
        <w:t xml:space="preserve"> </w:t>
      </w:r>
      <w:r w:rsidRPr="0079348F">
        <w:rPr>
          <w:rFonts w:ascii="Verdana" w:hAnsi="Verdana"/>
          <w:sz w:val="24"/>
          <w:szCs w:val="24"/>
        </w:rPr>
        <w:t xml:space="preserve">medesimo" non può avere un significato </w:t>
      </w:r>
      <w:r w:rsidRPr="0079348F">
        <w:rPr>
          <w:rFonts w:ascii="Verdana" w:hAnsi="Verdana"/>
          <w:sz w:val="24"/>
          <w:szCs w:val="24"/>
        </w:rPr>
        <w:lastRenderedPageBreak/>
        <w:t xml:space="preserve">sostanzialmente equivalente </w:t>
      </w:r>
      <w:r>
        <w:rPr>
          <w:rFonts w:ascii="Verdana" w:hAnsi="Verdana"/>
          <w:sz w:val="24"/>
          <w:szCs w:val="24"/>
        </w:rPr>
        <w:t>–</w:t>
      </w:r>
      <w:r w:rsidRPr="0079348F">
        <w:rPr>
          <w:rFonts w:ascii="Verdana" w:hAnsi="Verdana"/>
          <w:sz w:val="24"/>
          <w:szCs w:val="24"/>
        </w:rPr>
        <w:t xml:space="preserve"> con</w:t>
      </w:r>
      <w:r>
        <w:rPr>
          <w:rFonts w:ascii="Verdana" w:hAnsi="Verdana"/>
          <w:sz w:val="24"/>
          <w:szCs w:val="24"/>
        </w:rPr>
        <w:t xml:space="preserve"> </w:t>
      </w:r>
      <w:r w:rsidRPr="0079348F">
        <w:rPr>
          <w:rFonts w:ascii="Verdana" w:hAnsi="Verdana"/>
          <w:sz w:val="24"/>
          <w:szCs w:val="24"/>
        </w:rPr>
        <w:t>sovrapposizione di effetti - rispetto al comma 5, se non contraddicendo la ratio sottesa</w:t>
      </w:r>
      <w:r>
        <w:rPr>
          <w:rFonts w:ascii="Verdana" w:hAnsi="Verdana"/>
          <w:sz w:val="24"/>
          <w:szCs w:val="24"/>
        </w:rPr>
        <w:t xml:space="preserve"> </w:t>
      </w:r>
      <w:r w:rsidRPr="0079348F">
        <w:rPr>
          <w:rFonts w:ascii="Verdana" w:hAnsi="Verdana"/>
          <w:sz w:val="24"/>
          <w:szCs w:val="24"/>
        </w:rPr>
        <w:t>alla diversità testuale delle previsioni.</w:t>
      </w:r>
    </w:p>
    <w:p w:rsidR="00BD408A" w:rsidRPr="00C50EBF" w:rsidRDefault="00D73B46" w:rsidP="00BD408A">
      <w:pPr>
        <w:jc w:val="both"/>
        <w:rPr>
          <w:rFonts w:ascii="Verdana" w:hAnsi="Verdana"/>
          <w:sz w:val="24"/>
          <w:szCs w:val="24"/>
        </w:rPr>
      </w:pPr>
      <w:r>
        <w:rPr>
          <w:rFonts w:ascii="Verdana" w:hAnsi="Verdana"/>
          <w:sz w:val="24"/>
          <w:szCs w:val="24"/>
        </w:rPr>
        <w:t>C</w:t>
      </w:r>
      <w:r w:rsidR="00BD408A" w:rsidRPr="00C50EBF">
        <w:rPr>
          <w:rFonts w:ascii="Verdana" w:hAnsi="Verdana"/>
          <w:sz w:val="24"/>
          <w:szCs w:val="24"/>
        </w:rPr>
        <w:t xml:space="preserve">ome ulteriore avallo della soluzione accolta, </w:t>
      </w:r>
      <w:r>
        <w:rPr>
          <w:rFonts w:ascii="Verdana" w:hAnsi="Verdana"/>
          <w:sz w:val="24"/>
          <w:szCs w:val="24"/>
        </w:rPr>
        <w:t xml:space="preserve">è stata altresì </w:t>
      </w:r>
      <w:r w:rsidR="00BD408A" w:rsidRPr="00C50EBF">
        <w:rPr>
          <w:rFonts w:ascii="Verdana" w:hAnsi="Verdana"/>
          <w:sz w:val="24"/>
          <w:szCs w:val="24"/>
        </w:rPr>
        <w:t>richiama</w:t>
      </w:r>
      <w:r>
        <w:rPr>
          <w:rFonts w:ascii="Verdana" w:hAnsi="Verdana"/>
          <w:sz w:val="24"/>
          <w:szCs w:val="24"/>
        </w:rPr>
        <w:t>ta</w:t>
      </w:r>
      <w:r w:rsidR="00BD408A" w:rsidRPr="00C50EBF">
        <w:rPr>
          <w:rFonts w:ascii="Verdana" w:hAnsi="Verdana"/>
          <w:sz w:val="24"/>
          <w:szCs w:val="24"/>
        </w:rPr>
        <w:t xml:space="preserve"> la recente sentenza del 16 maggio 2019 - C-509/17 - con cui la CGUE </w:t>
      </w:r>
      <w:r w:rsidR="00BD408A">
        <w:rPr>
          <w:rFonts w:ascii="Verdana" w:hAnsi="Verdana"/>
          <w:sz w:val="24"/>
          <w:szCs w:val="24"/>
        </w:rPr>
        <w:t xml:space="preserve"> </w:t>
      </w:r>
      <w:r w:rsidR="00BD408A" w:rsidRPr="00C50EBF">
        <w:rPr>
          <w:rFonts w:ascii="Verdana" w:hAnsi="Verdana"/>
          <w:sz w:val="24"/>
          <w:szCs w:val="24"/>
        </w:rPr>
        <w:t>a</w:t>
      </w:r>
      <w:r w:rsidR="00BD408A">
        <w:rPr>
          <w:rFonts w:ascii="Verdana" w:hAnsi="Verdana"/>
          <w:sz w:val="24"/>
          <w:szCs w:val="24"/>
        </w:rPr>
        <w:t xml:space="preserve"> </w:t>
      </w:r>
      <w:r w:rsidR="00BD408A" w:rsidRPr="00C50EBF">
        <w:rPr>
          <w:rFonts w:ascii="Verdana" w:hAnsi="Verdana"/>
          <w:sz w:val="24"/>
          <w:szCs w:val="24"/>
        </w:rPr>
        <w:t xml:space="preserve">ribadito che, poiché l'articolo 5, paragrafo 1, della Direttiva 2001/23 rende, in </w:t>
      </w:r>
      <w:r w:rsidR="00BD408A">
        <w:rPr>
          <w:rFonts w:ascii="Verdana" w:hAnsi="Verdana"/>
          <w:sz w:val="24"/>
          <w:szCs w:val="24"/>
        </w:rPr>
        <w:t xml:space="preserve"> l</w:t>
      </w:r>
      <w:r w:rsidR="00BD408A" w:rsidRPr="00C50EBF">
        <w:rPr>
          <w:rFonts w:ascii="Verdana" w:hAnsi="Verdana"/>
          <w:sz w:val="24"/>
          <w:szCs w:val="24"/>
        </w:rPr>
        <w:t>inea di</w:t>
      </w:r>
      <w:r w:rsidR="00BD408A">
        <w:rPr>
          <w:rFonts w:ascii="Verdana" w:hAnsi="Verdana"/>
          <w:sz w:val="24"/>
          <w:szCs w:val="24"/>
        </w:rPr>
        <w:t xml:space="preserve"> </w:t>
      </w:r>
      <w:r w:rsidR="00BD408A" w:rsidRPr="00C50EBF">
        <w:rPr>
          <w:rFonts w:ascii="Verdana" w:hAnsi="Verdana"/>
          <w:sz w:val="24"/>
          <w:szCs w:val="24"/>
        </w:rPr>
        <w:t>principio, inapplicabile il regime di tutela dei lavoratori in determinati casi di</w:t>
      </w:r>
      <w:r w:rsidR="00BD408A">
        <w:rPr>
          <w:rFonts w:ascii="Verdana" w:hAnsi="Verdana"/>
          <w:sz w:val="24"/>
          <w:szCs w:val="24"/>
        </w:rPr>
        <w:t xml:space="preserve"> </w:t>
      </w:r>
      <w:r w:rsidR="00BD408A" w:rsidRPr="00C50EBF">
        <w:rPr>
          <w:rFonts w:ascii="Verdana" w:hAnsi="Verdana"/>
          <w:sz w:val="24"/>
          <w:szCs w:val="24"/>
        </w:rPr>
        <w:t>trasferimento di imprese e si discosta dall'obiettivo principale alla base di tale</w:t>
      </w:r>
      <w:r w:rsidR="00BD408A">
        <w:rPr>
          <w:rFonts w:ascii="Verdana" w:hAnsi="Verdana"/>
          <w:sz w:val="24"/>
          <w:szCs w:val="24"/>
        </w:rPr>
        <w:t xml:space="preserve"> </w:t>
      </w:r>
      <w:r w:rsidR="00BD408A" w:rsidRPr="00C50EBF">
        <w:rPr>
          <w:rFonts w:ascii="Verdana" w:hAnsi="Verdana"/>
          <w:sz w:val="24"/>
          <w:szCs w:val="24"/>
        </w:rPr>
        <w:t xml:space="preserve">direttiva, esso deve necessariamente essere oggetto di una interpretazione </w:t>
      </w:r>
      <w:r w:rsidR="00BD408A">
        <w:rPr>
          <w:rFonts w:ascii="Verdana" w:hAnsi="Verdana"/>
          <w:sz w:val="24"/>
          <w:szCs w:val="24"/>
        </w:rPr>
        <w:t xml:space="preserve"> r</w:t>
      </w:r>
      <w:r w:rsidR="00BD408A" w:rsidRPr="00C50EBF">
        <w:rPr>
          <w:rFonts w:ascii="Verdana" w:hAnsi="Verdana"/>
          <w:sz w:val="24"/>
          <w:szCs w:val="24"/>
        </w:rPr>
        <w:t>estrittiva</w:t>
      </w:r>
      <w:r w:rsidR="00BD408A">
        <w:rPr>
          <w:rFonts w:ascii="Verdana" w:hAnsi="Verdana"/>
          <w:sz w:val="24"/>
          <w:szCs w:val="24"/>
        </w:rPr>
        <w:t xml:space="preserve"> </w:t>
      </w:r>
      <w:r w:rsidR="00BD408A" w:rsidRPr="00C50EBF">
        <w:rPr>
          <w:rFonts w:ascii="Verdana" w:hAnsi="Verdana"/>
          <w:sz w:val="24"/>
          <w:szCs w:val="24"/>
        </w:rPr>
        <w:t>(punto 38, che richiama la sentenza del 22 giugno 2017, Federatie Nederlandse</w:t>
      </w:r>
      <w:r w:rsidR="00BD408A">
        <w:rPr>
          <w:rFonts w:ascii="Verdana" w:hAnsi="Verdana"/>
          <w:sz w:val="24"/>
          <w:szCs w:val="24"/>
        </w:rPr>
        <w:t xml:space="preserve"> </w:t>
      </w:r>
      <w:r w:rsidR="00BD408A" w:rsidRPr="00C50EBF">
        <w:rPr>
          <w:rFonts w:ascii="Verdana" w:hAnsi="Verdana"/>
          <w:sz w:val="24"/>
          <w:szCs w:val="24"/>
        </w:rPr>
        <w:t>Vakvereniging C-126/16, punto 41).</w:t>
      </w:r>
    </w:p>
    <w:p w:rsidR="00BE5CD9" w:rsidRPr="008443D9" w:rsidRDefault="00BE5CD9" w:rsidP="00BE5CD9">
      <w:pPr>
        <w:jc w:val="both"/>
        <w:rPr>
          <w:rFonts w:ascii="Verdana" w:hAnsi="Verdana"/>
          <w:sz w:val="24"/>
          <w:szCs w:val="24"/>
        </w:rPr>
      </w:pPr>
      <w:r>
        <w:rPr>
          <w:rFonts w:ascii="Verdana" w:hAnsi="Verdana"/>
          <w:sz w:val="24"/>
          <w:szCs w:val="24"/>
        </w:rPr>
        <w:t>La Corte di Cassazione – esaminando l’evoluzione della legislazione dettata in materia, pur se non direttamente applicabile al caso esaminato - ha sottolineato che i</w:t>
      </w:r>
      <w:r w:rsidRPr="008443D9">
        <w:rPr>
          <w:rFonts w:ascii="Verdana" w:hAnsi="Verdana"/>
          <w:sz w:val="24"/>
          <w:szCs w:val="24"/>
        </w:rPr>
        <w:t>l legislatore del Codice della crisi</w:t>
      </w:r>
      <w:r>
        <w:rPr>
          <w:rFonts w:ascii="Verdana" w:hAnsi="Verdana"/>
          <w:sz w:val="24"/>
          <w:szCs w:val="24"/>
        </w:rPr>
        <w:t xml:space="preserve"> (d.lgs. 12.1.2019 n. 14)</w:t>
      </w:r>
      <w:r w:rsidRPr="008443D9">
        <w:rPr>
          <w:rFonts w:ascii="Verdana" w:hAnsi="Verdana"/>
          <w:sz w:val="24"/>
          <w:szCs w:val="24"/>
        </w:rPr>
        <w:t>, espun</w:t>
      </w:r>
      <w:r>
        <w:rPr>
          <w:rFonts w:ascii="Verdana" w:hAnsi="Verdana"/>
          <w:sz w:val="24"/>
          <w:szCs w:val="24"/>
        </w:rPr>
        <w:t xml:space="preserve">gendo dal comma 4-bis dell’art. 47 </w:t>
      </w:r>
      <w:r w:rsidRPr="008443D9">
        <w:rPr>
          <w:rFonts w:ascii="Verdana" w:hAnsi="Verdana"/>
          <w:sz w:val="24"/>
          <w:szCs w:val="24"/>
        </w:rPr>
        <w:t>l'equivoco inciso precedente sul</w:t>
      </w:r>
      <w:r>
        <w:rPr>
          <w:rFonts w:ascii="Verdana" w:hAnsi="Verdana"/>
          <w:sz w:val="24"/>
          <w:szCs w:val="24"/>
        </w:rPr>
        <w:t xml:space="preserve"> </w:t>
      </w:r>
      <w:r w:rsidRPr="008443D9">
        <w:rPr>
          <w:rFonts w:ascii="Verdana" w:hAnsi="Verdana"/>
          <w:sz w:val="24"/>
          <w:szCs w:val="24"/>
        </w:rPr>
        <w:t>"mantenimento anche parziale dell'occupazione" e ribad</w:t>
      </w:r>
      <w:r>
        <w:rPr>
          <w:rFonts w:ascii="Verdana" w:hAnsi="Verdana"/>
          <w:sz w:val="24"/>
          <w:szCs w:val="24"/>
        </w:rPr>
        <w:t>endo</w:t>
      </w:r>
      <w:r w:rsidRPr="008443D9">
        <w:rPr>
          <w:rFonts w:ascii="Verdana" w:hAnsi="Verdana"/>
          <w:sz w:val="24"/>
          <w:szCs w:val="24"/>
        </w:rPr>
        <w:t xml:space="preserve"> come "fermo il</w:t>
      </w:r>
      <w:r>
        <w:rPr>
          <w:rFonts w:ascii="Verdana" w:hAnsi="Verdana"/>
          <w:sz w:val="24"/>
          <w:szCs w:val="24"/>
        </w:rPr>
        <w:t xml:space="preserve"> </w:t>
      </w:r>
      <w:r w:rsidRPr="008443D9">
        <w:rPr>
          <w:rFonts w:ascii="Verdana" w:hAnsi="Verdana"/>
          <w:sz w:val="24"/>
          <w:szCs w:val="24"/>
        </w:rPr>
        <w:t>trasferimento al cessionario dei rapporti di lavoro", ha più esplicitamente inteso</w:t>
      </w:r>
      <w:r>
        <w:rPr>
          <w:rFonts w:ascii="Verdana" w:hAnsi="Verdana"/>
          <w:sz w:val="24"/>
          <w:szCs w:val="24"/>
        </w:rPr>
        <w:t xml:space="preserve"> </w:t>
      </w:r>
      <w:r w:rsidRPr="008443D9">
        <w:rPr>
          <w:rFonts w:ascii="Verdana" w:hAnsi="Verdana"/>
          <w:sz w:val="24"/>
          <w:szCs w:val="24"/>
        </w:rPr>
        <w:t>l'unica lettura percorribile in via ermeneutica anche per il passato,</w:t>
      </w:r>
      <w:r>
        <w:rPr>
          <w:rFonts w:ascii="Verdana" w:hAnsi="Verdana"/>
          <w:sz w:val="24"/>
          <w:szCs w:val="24"/>
        </w:rPr>
        <w:t xml:space="preserve"> </w:t>
      </w:r>
      <w:r w:rsidRPr="008443D9">
        <w:rPr>
          <w:rFonts w:ascii="Verdana" w:hAnsi="Verdana"/>
          <w:sz w:val="24"/>
          <w:szCs w:val="24"/>
        </w:rPr>
        <w:t>quale unica "interpretazione conforme" al diritto dell'Unione</w:t>
      </w:r>
      <w:r>
        <w:rPr>
          <w:rFonts w:ascii="Verdana" w:hAnsi="Verdana"/>
          <w:sz w:val="24"/>
          <w:szCs w:val="24"/>
        </w:rPr>
        <w:t xml:space="preserve">. </w:t>
      </w:r>
    </w:p>
    <w:p w:rsidR="005C7322" w:rsidRDefault="00B3428B" w:rsidP="005B3698">
      <w:pPr>
        <w:jc w:val="both"/>
        <w:rPr>
          <w:rFonts w:ascii="Verdana" w:hAnsi="Verdana"/>
          <w:sz w:val="24"/>
          <w:szCs w:val="24"/>
        </w:rPr>
      </w:pPr>
      <w:r>
        <w:rPr>
          <w:rFonts w:ascii="Verdana" w:hAnsi="Verdana"/>
          <w:sz w:val="24"/>
          <w:szCs w:val="24"/>
        </w:rPr>
        <w:t xml:space="preserve">E’ stato, dunque, enunciato </w:t>
      </w:r>
      <w:r w:rsidRPr="00B81F43">
        <w:rPr>
          <w:rFonts w:ascii="Verdana" w:hAnsi="Verdana"/>
          <w:sz w:val="24"/>
          <w:szCs w:val="24"/>
        </w:rPr>
        <w:t>il</w:t>
      </w:r>
      <w:r>
        <w:rPr>
          <w:rFonts w:ascii="Verdana" w:hAnsi="Verdana"/>
          <w:sz w:val="24"/>
          <w:szCs w:val="24"/>
        </w:rPr>
        <w:t xml:space="preserve"> </w:t>
      </w:r>
      <w:r w:rsidRPr="00B81F43">
        <w:rPr>
          <w:rFonts w:ascii="Verdana" w:hAnsi="Verdana"/>
          <w:sz w:val="24"/>
          <w:szCs w:val="24"/>
        </w:rPr>
        <w:t>seguente principio di diritto:</w:t>
      </w:r>
      <w:r>
        <w:rPr>
          <w:rFonts w:ascii="Verdana" w:hAnsi="Verdana"/>
          <w:sz w:val="24"/>
          <w:szCs w:val="24"/>
        </w:rPr>
        <w:t xml:space="preserve"> </w:t>
      </w:r>
      <w:r w:rsidRPr="00B81F43">
        <w:rPr>
          <w:rFonts w:ascii="Verdana" w:hAnsi="Verdana"/>
          <w:sz w:val="24"/>
          <w:szCs w:val="24"/>
        </w:rPr>
        <w:t>"In caso di trasferimento che riguardi aziende delle quali sia stato accertato lo stato</w:t>
      </w:r>
      <w:r>
        <w:rPr>
          <w:rFonts w:ascii="Verdana" w:hAnsi="Verdana"/>
          <w:sz w:val="24"/>
          <w:szCs w:val="24"/>
        </w:rPr>
        <w:t xml:space="preserve"> </w:t>
      </w:r>
      <w:r w:rsidRPr="00B81F43">
        <w:rPr>
          <w:rFonts w:ascii="Verdana" w:hAnsi="Verdana"/>
          <w:sz w:val="24"/>
          <w:szCs w:val="24"/>
        </w:rPr>
        <w:t>di crisi aziendale, ai sensi dell'articolo 2, quinto comma, lettera c), della legge 12</w:t>
      </w:r>
      <w:r>
        <w:rPr>
          <w:rFonts w:ascii="Verdana" w:hAnsi="Verdana"/>
          <w:sz w:val="24"/>
          <w:szCs w:val="24"/>
        </w:rPr>
        <w:t xml:space="preserve"> </w:t>
      </w:r>
      <w:r w:rsidRPr="00B81F43">
        <w:rPr>
          <w:rFonts w:ascii="Verdana" w:hAnsi="Verdana"/>
          <w:sz w:val="24"/>
          <w:szCs w:val="24"/>
        </w:rPr>
        <w:t xml:space="preserve">agosto 1977, n.675, </w:t>
      </w:r>
      <w:r>
        <w:rPr>
          <w:rFonts w:ascii="Verdana" w:hAnsi="Verdana"/>
          <w:sz w:val="24"/>
          <w:szCs w:val="24"/>
        </w:rPr>
        <w:t xml:space="preserve"> o</w:t>
      </w:r>
      <w:r w:rsidRPr="00B81F43">
        <w:rPr>
          <w:rFonts w:ascii="Verdana" w:hAnsi="Verdana"/>
          <w:sz w:val="24"/>
          <w:szCs w:val="24"/>
        </w:rPr>
        <w:t>vvero per le quali sia stata disposta l'amministrazione</w:t>
      </w:r>
      <w:r>
        <w:rPr>
          <w:rFonts w:ascii="Verdana" w:hAnsi="Verdana"/>
          <w:sz w:val="24"/>
          <w:szCs w:val="24"/>
        </w:rPr>
        <w:t xml:space="preserve"> </w:t>
      </w:r>
      <w:r w:rsidRPr="00B81F43">
        <w:rPr>
          <w:rFonts w:ascii="Verdana" w:hAnsi="Verdana"/>
          <w:sz w:val="24"/>
          <w:szCs w:val="24"/>
        </w:rPr>
        <w:t xml:space="preserve">straordinaria, in caso di continuazione o di mancata cessazione dell'attività, ai </w:t>
      </w:r>
      <w:r>
        <w:rPr>
          <w:rFonts w:ascii="Verdana" w:hAnsi="Verdana"/>
          <w:sz w:val="24"/>
          <w:szCs w:val="24"/>
        </w:rPr>
        <w:t xml:space="preserve"> s</w:t>
      </w:r>
      <w:r w:rsidRPr="00B81F43">
        <w:rPr>
          <w:rFonts w:ascii="Verdana" w:hAnsi="Verdana"/>
          <w:sz w:val="24"/>
          <w:szCs w:val="24"/>
        </w:rPr>
        <w:t>ensi</w:t>
      </w:r>
      <w:r>
        <w:rPr>
          <w:rFonts w:ascii="Verdana" w:hAnsi="Verdana"/>
          <w:sz w:val="24"/>
          <w:szCs w:val="24"/>
        </w:rPr>
        <w:t xml:space="preserve"> </w:t>
      </w:r>
      <w:r w:rsidRPr="00B81F43">
        <w:rPr>
          <w:rFonts w:ascii="Verdana" w:hAnsi="Verdana"/>
          <w:sz w:val="24"/>
          <w:szCs w:val="24"/>
        </w:rPr>
        <w:t>del decreto legislativo 8 luglio 1999, n. 270, l'accordo sindacale di cui all'art. 47 della</w:t>
      </w:r>
      <w:r>
        <w:rPr>
          <w:rFonts w:ascii="Verdana" w:hAnsi="Verdana"/>
          <w:sz w:val="24"/>
          <w:szCs w:val="24"/>
        </w:rPr>
        <w:t xml:space="preserve"> </w:t>
      </w:r>
      <w:r w:rsidRPr="00B81F43">
        <w:rPr>
          <w:rFonts w:ascii="Verdana" w:hAnsi="Verdana"/>
          <w:sz w:val="24"/>
          <w:szCs w:val="24"/>
        </w:rPr>
        <w:t xml:space="preserve">I. 29 dicembre 1990, n. 428, comma 4-bis, inserito dal d.l. n. 135 del 2009, conv. in </w:t>
      </w:r>
      <w:r>
        <w:rPr>
          <w:rFonts w:ascii="Verdana" w:hAnsi="Verdana"/>
          <w:sz w:val="24"/>
          <w:szCs w:val="24"/>
        </w:rPr>
        <w:t>l</w:t>
      </w:r>
      <w:r w:rsidRPr="00B81F43">
        <w:rPr>
          <w:rFonts w:ascii="Verdana" w:hAnsi="Verdana"/>
          <w:sz w:val="24"/>
          <w:szCs w:val="24"/>
        </w:rPr>
        <w:t>.</w:t>
      </w:r>
      <w:r>
        <w:rPr>
          <w:rFonts w:ascii="Verdana" w:hAnsi="Verdana"/>
          <w:sz w:val="24"/>
          <w:szCs w:val="24"/>
        </w:rPr>
        <w:t xml:space="preserve"> </w:t>
      </w:r>
      <w:r w:rsidRPr="00B81F43">
        <w:rPr>
          <w:rFonts w:ascii="Verdana" w:hAnsi="Verdana"/>
          <w:sz w:val="24"/>
          <w:szCs w:val="24"/>
        </w:rPr>
        <w:t>n. 166 del 2009, può prevedere deroghe all'art. 2112 c.c. concernenti le condizioni di</w:t>
      </w:r>
      <w:r>
        <w:rPr>
          <w:rFonts w:ascii="Verdana" w:hAnsi="Verdana"/>
          <w:sz w:val="24"/>
          <w:szCs w:val="24"/>
        </w:rPr>
        <w:t xml:space="preserve"> </w:t>
      </w:r>
      <w:r w:rsidRPr="00B81F43">
        <w:rPr>
          <w:rFonts w:ascii="Verdana" w:hAnsi="Verdana"/>
          <w:sz w:val="24"/>
          <w:szCs w:val="24"/>
        </w:rPr>
        <w:t>lavoro, fermo restando il trasferimento dei rapporti di lavoro al cessionario".</w:t>
      </w:r>
      <w:r>
        <w:rPr>
          <w:rFonts w:ascii="Verdana" w:hAnsi="Verdana"/>
          <w:sz w:val="24"/>
          <w:szCs w:val="24"/>
        </w:rPr>
        <w:t xml:space="preserve"> </w:t>
      </w:r>
    </w:p>
    <w:p w:rsidR="00945F2A" w:rsidRDefault="00945F2A" w:rsidP="005B3698">
      <w:pPr>
        <w:jc w:val="both"/>
        <w:rPr>
          <w:rFonts w:ascii="Verdana" w:hAnsi="Verdana"/>
          <w:sz w:val="24"/>
          <w:szCs w:val="24"/>
        </w:rPr>
      </w:pPr>
    </w:p>
    <w:p w:rsidR="00945F2A" w:rsidRDefault="00945F2A" w:rsidP="005B3698">
      <w:pPr>
        <w:jc w:val="both"/>
        <w:rPr>
          <w:rFonts w:ascii="Verdana" w:hAnsi="Verdana"/>
          <w:sz w:val="24"/>
          <w:szCs w:val="24"/>
        </w:rPr>
      </w:pPr>
      <w:r>
        <w:rPr>
          <w:rFonts w:ascii="Verdana" w:hAnsi="Verdana"/>
          <w:sz w:val="24"/>
          <w:szCs w:val="24"/>
        </w:rPr>
        <w:t>Elena Boghetich</w:t>
      </w:r>
    </w:p>
    <w:sectPr w:rsidR="00945F2A">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4CE" w:rsidRDefault="007454CE" w:rsidP="00A11ABC">
      <w:pPr>
        <w:spacing w:after="0" w:line="240" w:lineRule="auto"/>
      </w:pPr>
      <w:r>
        <w:separator/>
      </w:r>
    </w:p>
  </w:endnote>
  <w:endnote w:type="continuationSeparator" w:id="0">
    <w:p w:rsidR="007454CE" w:rsidRDefault="007454CE" w:rsidP="00A1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831453"/>
      <w:docPartObj>
        <w:docPartGallery w:val="Page Numbers (Bottom of Page)"/>
        <w:docPartUnique/>
      </w:docPartObj>
    </w:sdtPr>
    <w:sdtEndPr/>
    <w:sdtContent>
      <w:p w:rsidR="00A11ABC" w:rsidRDefault="00A11ABC">
        <w:pPr>
          <w:pStyle w:val="Pidipagina"/>
          <w:jc w:val="center"/>
        </w:pPr>
        <w:r>
          <w:fldChar w:fldCharType="begin"/>
        </w:r>
        <w:r>
          <w:instrText>PAGE   \* MERGEFORMAT</w:instrText>
        </w:r>
        <w:r>
          <w:fldChar w:fldCharType="separate"/>
        </w:r>
        <w:r w:rsidR="00487BBB">
          <w:rPr>
            <w:noProof/>
          </w:rPr>
          <w:t>1</w:t>
        </w:r>
        <w:r>
          <w:fldChar w:fldCharType="end"/>
        </w:r>
      </w:p>
    </w:sdtContent>
  </w:sdt>
  <w:p w:rsidR="00A11ABC" w:rsidRDefault="00A11A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4CE" w:rsidRDefault="007454CE" w:rsidP="00A11ABC">
      <w:pPr>
        <w:spacing w:after="0" w:line="240" w:lineRule="auto"/>
      </w:pPr>
      <w:r>
        <w:separator/>
      </w:r>
    </w:p>
  </w:footnote>
  <w:footnote w:type="continuationSeparator" w:id="0">
    <w:p w:rsidR="007454CE" w:rsidRDefault="007454CE" w:rsidP="00A11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98"/>
    <w:rsid w:val="00127431"/>
    <w:rsid w:val="002E0513"/>
    <w:rsid w:val="003C73C9"/>
    <w:rsid w:val="00467DF3"/>
    <w:rsid w:val="00487BBB"/>
    <w:rsid w:val="004A4B31"/>
    <w:rsid w:val="005B3698"/>
    <w:rsid w:val="005C0521"/>
    <w:rsid w:val="005C7322"/>
    <w:rsid w:val="007454CE"/>
    <w:rsid w:val="0079348F"/>
    <w:rsid w:val="008443D9"/>
    <w:rsid w:val="00852E18"/>
    <w:rsid w:val="00897E5C"/>
    <w:rsid w:val="008A2308"/>
    <w:rsid w:val="008E1ACE"/>
    <w:rsid w:val="00920B99"/>
    <w:rsid w:val="00945F2A"/>
    <w:rsid w:val="00A11ABC"/>
    <w:rsid w:val="00AB2F94"/>
    <w:rsid w:val="00AD2DE4"/>
    <w:rsid w:val="00B3428B"/>
    <w:rsid w:val="00B81F43"/>
    <w:rsid w:val="00BD408A"/>
    <w:rsid w:val="00BE5CD9"/>
    <w:rsid w:val="00C4320C"/>
    <w:rsid w:val="00C50EBF"/>
    <w:rsid w:val="00D73B46"/>
    <w:rsid w:val="00E00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54FA6-D473-47AA-B09F-A4F63A28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1A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1ABC"/>
  </w:style>
  <w:style w:type="paragraph" w:styleId="Pidipagina">
    <w:name w:val="footer"/>
    <w:basedOn w:val="Normale"/>
    <w:link w:val="PidipaginaCarattere"/>
    <w:uiPriority w:val="99"/>
    <w:unhideWhenUsed/>
    <w:rsid w:val="00A11A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Boghetich</dc:creator>
  <cp:keywords/>
  <dc:description/>
  <cp:lastModifiedBy>Giuseppe Nicastro</cp:lastModifiedBy>
  <cp:revision>2</cp:revision>
  <dcterms:created xsi:type="dcterms:W3CDTF">2020-06-16T09:29:00Z</dcterms:created>
  <dcterms:modified xsi:type="dcterms:W3CDTF">2020-06-16T09:29:00Z</dcterms:modified>
</cp:coreProperties>
</file>