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32" w:rsidRPr="00C15837" w:rsidRDefault="00250332" w:rsidP="00BF7E33">
      <w:pPr>
        <w:jc w:val="right"/>
        <w:rPr>
          <w:rFonts w:ascii="Garamond" w:hAnsi="Garamond"/>
        </w:rPr>
      </w:pPr>
      <w:bookmarkStart w:id="0" w:name="_GoBack"/>
      <w:bookmarkEnd w:id="0"/>
    </w:p>
    <w:p w:rsidR="00BF7E33" w:rsidRPr="00C15837" w:rsidRDefault="00681072" w:rsidP="00BF7E33">
      <w:pPr>
        <w:jc w:val="center"/>
        <w:rPr>
          <w:rFonts w:ascii="Garamond" w:hAnsi="Garamond"/>
        </w:rPr>
      </w:pPr>
      <w:r w:rsidRPr="00C15837">
        <w:rPr>
          <w:rFonts w:ascii="Garamond" w:hAnsi="Garamond"/>
          <w:noProof/>
        </w:rPr>
        <w:drawing>
          <wp:inline distT="0" distB="0" distL="0" distR="0">
            <wp:extent cx="1047750" cy="12477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E33" w:rsidRPr="00C15837" w:rsidRDefault="00BF7E33" w:rsidP="00BF7E33">
      <w:pPr>
        <w:rPr>
          <w:rFonts w:ascii="Garamond" w:hAnsi="Garamond"/>
        </w:rPr>
      </w:pPr>
    </w:p>
    <w:p w:rsidR="00BF7E33" w:rsidRPr="00C15837" w:rsidRDefault="00BF7E33" w:rsidP="003D0DE2">
      <w:pPr>
        <w:jc w:val="center"/>
        <w:rPr>
          <w:rFonts w:ascii="Garamond" w:hAnsi="Garamond"/>
        </w:rPr>
      </w:pPr>
      <w:r w:rsidRPr="00C15837">
        <w:rPr>
          <w:rFonts w:ascii="Garamond" w:hAnsi="Garamond"/>
          <w:sz w:val="28"/>
          <w:szCs w:val="28"/>
        </w:rPr>
        <w:t>ČESKÁ REPUBLIKA</w:t>
      </w:r>
    </w:p>
    <w:p w:rsidR="00BF7E33" w:rsidRPr="00C15837" w:rsidRDefault="00BF7E33" w:rsidP="003D0DE2">
      <w:pPr>
        <w:jc w:val="center"/>
        <w:rPr>
          <w:rFonts w:ascii="Garamond" w:hAnsi="Garamond"/>
        </w:rPr>
      </w:pPr>
    </w:p>
    <w:p w:rsidR="00BF7E33" w:rsidRPr="00C15837" w:rsidRDefault="00BF7E33" w:rsidP="003D0DE2">
      <w:pPr>
        <w:jc w:val="center"/>
        <w:rPr>
          <w:rFonts w:ascii="Garamond" w:hAnsi="Garamond"/>
          <w:b/>
        </w:rPr>
      </w:pPr>
      <w:r w:rsidRPr="00C15837">
        <w:rPr>
          <w:rFonts w:ascii="Garamond" w:hAnsi="Garamond"/>
          <w:b/>
          <w:sz w:val="32"/>
          <w:szCs w:val="32"/>
        </w:rPr>
        <w:t>R O Z S U D E K</w:t>
      </w:r>
    </w:p>
    <w:p w:rsidR="00BF7E33" w:rsidRPr="00C15837" w:rsidRDefault="00BF7E33" w:rsidP="003D0DE2">
      <w:pPr>
        <w:jc w:val="center"/>
        <w:rPr>
          <w:rFonts w:ascii="Garamond" w:hAnsi="Garamond"/>
          <w:b/>
          <w:sz w:val="32"/>
          <w:szCs w:val="32"/>
        </w:rPr>
      </w:pPr>
      <w:r w:rsidRPr="00C15837">
        <w:rPr>
          <w:rFonts w:ascii="Garamond" w:hAnsi="Garamond"/>
          <w:b/>
          <w:sz w:val="32"/>
          <w:szCs w:val="32"/>
        </w:rPr>
        <w:t>J M É N E M   R E P U B L I K Y</w:t>
      </w:r>
    </w:p>
    <w:p w:rsidR="00BF7E33" w:rsidRDefault="00BF7E33" w:rsidP="00BF7E33">
      <w:pPr>
        <w:jc w:val="center"/>
        <w:rPr>
          <w:rFonts w:ascii="Garamond" w:hAnsi="Garamond"/>
          <w:b/>
        </w:rPr>
      </w:pPr>
    </w:p>
    <w:p w:rsidR="005B515E" w:rsidRDefault="005B515E" w:rsidP="00314349">
      <w:pPr>
        <w:spacing w:before="100" w:beforeAutospacing="1" w:after="100" w:afterAutospacing="1"/>
        <w:jc w:val="both"/>
        <w:rPr>
          <w:rFonts w:ascii="Garamond" w:hAnsi="Garamond"/>
        </w:rPr>
      </w:pPr>
      <w:r w:rsidRPr="008A209C">
        <w:rPr>
          <w:rFonts w:ascii="Garamond" w:hAnsi="Garamond"/>
        </w:rPr>
        <w:t>Nejvyšší správní soud rozhodl v senátě složeném z</w:t>
      </w:r>
      <w:r>
        <w:rPr>
          <w:rFonts w:ascii="Garamond" w:hAnsi="Garamond"/>
        </w:rPr>
        <w:t xml:space="preserve"> </w:t>
      </w:r>
      <w:r w:rsidRPr="008A209C">
        <w:rPr>
          <w:rFonts w:ascii="Garamond" w:hAnsi="Garamond"/>
        </w:rPr>
        <w:t>předsed</w:t>
      </w:r>
      <w:r>
        <w:rPr>
          <w:rFonts w:ascii="Garamond" w:hAnsi="Garamond"/>
        </w:rPr>
        <w:t>kyně JUDr. Lenky Matyášové a </w:t>
      </w:r>
      <w:r w:rsidRPr="008A209C">
        <w:rPr>
          <w:rFonts w:ascii="Garamond" w:hAnsi="Garamond"/>
        </w:rPr>
        <w:t xml:space="preserve">soudců JUDr. Viktora Kučery a JUDr. </w:t>
      </w:r>
      <w:r>
        <w:rPr>
          <w:rFonts w:ascii="Garamond" w:hAnsi="Garamond"/>
        </w:rPr>
        <w:t xml:space="preserve">Jakuba Camrdy v </w:t>
      </w:r>
      <w:r w:rsidRPr="00F169E4">
        <w:rPr>
          <w:rFonts w:ascii="Garamond" w:hAnsi="Garamond"/>
        </w:rPr>
        <w:t xml:space="preserve">právní věci </w:t>
      </w:r>
      <w:r w:rsidRPr="00CE1CA4">
        <w:rPr>
          <w:rFonts w:ascii="Garamond" w:hAnsi="Garamond"/>
        </w:rPr>
        <w:t>žalob</w:t>
      </w:r>
      <w:r>
        <w:rPr>
          <w:rFonts w:ascii="Garamond" w:hAnsi="Garamond"/>
        </w:rPr>
        <w:t xml:space="preserve">ce: </w:t>
      </w:r>
      <w:r w:rsidRPr="001065AE">
        <w:rPr>
          <w:rFonts w:ascii="Garamond" w:hAnsi="Garamond"/>
          <w:b/>
        </w:rPr>
        <w:t>A</w:t>
      </w:r>
      <w:r w:rsidR="00B149D8">
        <w:rPr>
          <w:rFonts w:ascii="Garamond" w:hAnsi="Garamond"/>
          <w:b/>
        </w:rPr>
        <w:t>.</w:t>
      </w:r>
      <w:r w:rsidRPr="001065AE">
        <w:rPr>
          <w:rFonts w:ascii="Garamond" w:hAnsi="Garamond"/>
          <w:b/>
        </w:rPr>
        <w:t xml:space="preserve"> H</w:t>
      </w:r>
      <w:r w:rsidR="00B149D8">
        <w:rPr>
          <w:rFonts w:ascii="Garamond" w:hAnsi="Garamond"/>
          <w:b/>
        </w:rPr>
        <w:t>.</w:t>
      </w:r>
      <w:r w:rsidRPr="005B515E">
        <w:rPr>
          <w:rFonts w:ascii="Garamond" w:hAnsi="Garamond"/>
          <w:b/>
        </w:rPr>
        <w:t>,</w:t>
      </w:r>
      <w:r w:rsidR="000F2BFE">
        <w:rPr>
          <w:rFonts w:ascii="Garamond" w:hAnsi="Garamond"/>
          <w:b/>
        </w:rPr>
        <w:t> </w:t>
      </w:r>
      <w:r>
        <w:rPr>
          <w:rFonts w:ascii="Garamond" w:hAnsi="Garamond"/>
        </w:rPr>
        <w:t xml:space="preserve">zast. Mgr. Faridem Alizeyem, advokátem se sídlem Stodolní 7, Ostrava – Moravská Ostrava, proti </w:t>
      </w:r>
      <w:r w:rsidRPr="00DB6853">
        <w:rPr>
          <w:rFonts w:ascii="Garamond" w:hAnsi="Garamond"/>
        </w:rPr>
        <w:t>žalovan</w:t>
      </w:r>
      <w:r>
        <w:rPr>
          <w:rFonts w:ascii="Garamond" w:hAnsi="Garamond"/>
        </w:rPr>
        <w:t xml:space="preserve">ému: </w:t>
      </w:r>
      <w:r w:rsidRPr="001065AE">
        <w:rPr>
          <w:rFonts w:ascii="Garamond" w:hAnsi="Garamond"/>
          <w:b/>
        </w:rPr>
        <w:t>Ministerstvo vnitra</w:t>
      </w:r>
      <w:r w:rsidRPr="00314349">
        <w:rPr>
          <w:rFonts w:ascii="Garamond" w:hAnsi="Garamond"/>
          <w:b/>
        </w:rPr>
        <w:t>,</w:t>
      </w:r>
      <w:r>
        <w:rPr>
          <w:rFonts w:ascii="Garamond" w:hAnsi="Garamond"/>
        </w:rPr>
        <w:t xml:space="preserve"> odbor azylové a migrační politiky, se sídlem Nad Štolou 936/3, Praha, v řízení o </w:t>
      </w:r>
      <w:r w:rsidRPr="00DB6853">
        <w:rPr>
          <w:rFonts w:ascii="Garamond" w:hAnsi="Garamond"/>
        </w:rPr>
        <w:t>kasační stížnosti žalob</w:t>
      </w:r>
      <w:r>
        <w:rPr>
          <w:rFonts w:ascii="Garamond" w:hAnsi="Garamond"/>
        </w:rPr>
        <w:t>ce proti rozsudku Krajského soudu v Ostravě ze</w:t>
      </w:r>
      <w:r w:rsidR="00B149D8">
        <w:rPr>
          <w:rFonts w:ascii="Garamond" w:hAnsi="Garamond"/>
        </w:rPr>
        <w:t> </w:t>
      </w:r>
      <w:r>
        <w:rPr>
          <w:rFonts w:ascii="Garamond" w:hAnsi="Garamond"/>
        </w:rPr>
        <w:t>dne 20. 1. 2020, č. j. 62 Az 46/2019 - 25,</w:t>
      </w:r>
    </w:p>
    <w:p w:rsidR="005B515E" w:rsidRPr="00314349" w:rsidRDefault="005B515E" w:rsidP="00314349">
      <w:pPr>
        <w:spacing w:before="100" w:beforeAutospacing="1" w:after="100" w:afterAutospacing="1"/>
        <w:jc w:val="center"/>
        <w:rPr>
          <w:rFonts w:ascii="Garamond" w:hAnsi="Garamond"/>
          <w:b/>
          <w:spacing w:val="60"/>
        </w:rPr>
      </w:pPr>
      <w:r w:rsidRPr="00314349">
        <w:rPr>
          <w:rFonts w:ascii="Garamond" w:hAnsi="Garamond"/>
          <w:b/>
          <w:spacing w:val="60"/>
        </w:rPr>
        <w:t>takto:</w:t>
      </w:r>
    </w:p>
    <w:p w:rsidR="005B515E" w:rsidRPr="000A03A8" w:rsidRDefault="005B515E" w:rsidP="00314349">
      <w:pPr>
        <w:pStyle w:val="odst"/>
        <w:numPr>
          <w:ilvl w:val="0"/>
          <w:numId w:val="7"/>
        </w:numPr>
        <w:spacing w:before="100" w:beforeAutospacing="1"/>
        <w:ind w:left="709" w:hanging="709"/>
      </w:pPr>
      <w:r>
        <w:rPr>
          <w:lang w:eastAsia="ar-SA"/>
        </w:rPr>
        <w:t>Kasační stížnost</w:t>
      </w:r>
      <w:r w:rsidRPr="0021159E">
        <w:rPr>
          <w:b/>
          <w:spacing w:val="60"/>
        </w:rPr>
        <w:t> se </w:t>
      </w:r>
      <w:r>
        <w:rPr>
          <w:b/>
          <w:spacing w:val="60"/>
        </w:rPr>
        <w:t>zamítá.</w:t>
      </w:r>
    </w:p>
    <w:p w:rsidR="005B515E" w:rsidRPr="000A03A8" w:rsidRDefault="005B515E" w:rsidP="000D2E56">
      <w:pPr>
        <w:pStyle w:val="odst"/>
        <w:numPr>
          <w:ilvl w:val="0"/>
          <w:numId w:val="0"/>
        </w:numPr>
      </w:pPr>
    </w:p>
    <w:p w:rsidR="005B515E" w:rsidRDefault="005B515E" w:rsidP="005B515E">
      <w:pPr>
        <w:pStyle w:val="odst"/>
        <w:numPr>
          <w:ilvl w:val="0"/>
          <w:numId w:val="7"/>
        </w:numPr>
        <w:ind w:left="709" w:hanging="709"/>
      </w:pPr>
      <w:r>
        <w:t>Žalovanému</w:t>
      </w:r>
      <w:r w:rsidRPr="0021159E">
        <w:rPr>
          <w:b/>
          <w:spacing w:val="60"/>
        </w:rPr>
        <w:t> se </w:t>
      </w:r>
      <w:r w:rsidRPr="005473A5">
        <w:t>náhrad</w:t>
      </w:r>
      <w:r>
        <w:t>a</w:t>
      </w:r>
      <w:r w:rsidRPr="005473A5">
        <w:t xml:space="preserve"> nákladů řízení</w:t>
      </w:r>
      <w:r>
        <w:t xml:space="preserve"> o kasační stížnosti</w:t>
      </w:r>
      <w:r w:rsidRPr="0021159E">
        <w:rPr>
          <w:b/>
          <w:spacing w:val="60"/>
        </w:rPr>
        <w:t> </w:t>
      </w:r>
      <w:r w:rsidRPr="005473A5">
        <w:rPr>
          <w:b/>
          <w:spacing w:val="60"/>
        </w:rPr>
        <w:t>ne</w:t>
      </w:r>
      <w:r>
        <w:rPr>
          <w:b/>
          <w:spacing w:val="60"/>
        </w:rPr>
        <w:t>přiznává</w:t>
      </w:r>
      <w:r w:rsidRPr="005473A5">
        <w:t>.</w:t>
      </w:r>
    </w:p>
    <w:p w:rsidR="005B515E" w:rsidRDefault="005B515E" w:rsidP="005B515E">
      <w:pPr>
        <w:rPr>
          <w:lang w:eastAsia="ar-SA"/>
        </w:rPr>
      </w:pPr>
    </w:p>
    <w:p w:rsidR="005B515E" w:rsidRPr="00C063A4" w:rsidRDefault="005B515E" w:rsidP="005B515E">
      <w:pPr>
        <w:jc w:val="center"/>
        <w:rPr>
          <w:rFonts w:ascii="Garamond" w:hAnsi="Garamond"/>
          <w:b/>
          <w:spacing w:val="60"/>
        </w:rPr>
      </w:pPr>
      <w:r w:rsidRPr="00C063A4">
        <w:rPr>
          <w:rFonts w:ascii="Garamond" w:hAnsi="Garamond"/>
          <w:b/>
          <w:spacing w:val="60"/>
          <w:sz w:val="28"/>
          <w:szCs w:val="28"/>
        </w:rPr>
        <w:t>Odůvodnění:</w:t>
      </w:r>
    </w:p>
    <w:p w:rsidR="005B515E" w:rsidRPr="008A209C" w:rsidRDefault="005B515E" w:rsidP="005B515E">
      <w:pPr>
        <w:rPr>
          <w:rFonts w:ascii="Garamond" w:hAnsi="Garamond"/>
        </w:rPr>
      </w:pPr>
    </w:p>
    <w:p w:rsidR="005B515E" w:rsidRPr="008A209C" w:rsidRDefault="005B515E" w:rsidP="005B515E">
      <w:pPr>
        <w:tabs>
          <w:tab w:val="left" w:pos="284"/>
        </w:tabs>
        <w:jc w:val="center"/>
        <w:rPr>
          <w:rFonts w:ascii="Garamond" w:hAnsi="Garamond"/>
          <w:b/>
        </w:rPr>
      </w:pPr>
      <w:r w:rsidRPr="008A209C">
        <w:rPr>
          <w:rFonts w:ascii="Garamond" w:hAnsi="Garamond"/>
          <w:b/>
        </w:rPr>
        <w:t>I. Vymezení</w:t>
      </w:r>
      <w:r w:rsidRPr="008A209C">
        <w:rPr>
          <w:rFonts w:ascii="Garamond" w:hAnsi="Garamond"/>
          <w:b/>
          <w:iCs/>
        </w:rPr>
        <w:t xml:space="preserve"> věci</w:t>
      </w:r>
    </w:p>
    <w:p w:rsidR="005B515E" w:rsidRPr="0079151B" w:rsidRDefault="005B515E" w:rsidP="005B515E">
      <w:pPr>
        <w:jc w:val="both"/>
        <w:rPr>
          <w:rFonts w:ascii="Garamond" w:hAnsi="Garamond"/>
        </w:rPr>
      </w:pPr>
    </w:p>
    <w:p w:rsidR="005B515E" w:rsidRDefault="005B515E" w:rsidP="005B515E">
      <w:pPr>
        <w:numPr>
          <w:ilvl w:val="0"/>
          <w:numId w:val="2"/>
        </w:numPr>
        <w:ind w:left="0" w:firstLine="0"/>
        <w:jc w:val="both"/>
        <w:rPr>
          <w:rFonts w:ascii="Garamond" w:hAnsi="Garamond"/>
        </w:rPr>
      </w:pPr>
      <w:r w:rsidRPr="00A52F8A">
        <w:rPr>
          <w:rFonts w:ascii="Garamond" w:hAnsi="Garamond"/>
        </w:rPr>
        <w:t>Kasační stížností se žalob</w:t>
      </w:r>
      <w:r>
        <w:rPr>
          <w:rFonts w:ascii="Garamond" w:hAnsi="Garamond"/>
        </w:rPr>
        <w:t xml:space="preserve">ce </w:t>
      </w:r>
      <w:r w:rsidRPr="00A52F8A">
        <w:rPr>
          <w:rFonts w:ascii="Garamond" w:hAnsi="Garamond"/>
        </w:rPr>
        <w:t>(dále jen „stěžovatel“) domá</w:t>
      </w:r>
      <w:r>
        <w:rPr>
          <w:rFonts w:ascii="Garamond" w:hAnsi="Garamond"/>
        </w:rPr>
        <w:t xml:space="preserve">há </w:t>
      </w:r>
      <w:r w:rsidRPr="00A52F8A">
        <w:rPr>
          <w:rFonts w:ascii="Garamond" w:hAnsi="Garamond"/>
        </w:rPr>
        <w:t xml:space="preserve">zrušení v záhlaví označeného </w:t>
      </w:r>
      <w:r>
        <w:rPr>
          <w:rFonts w:ascii="Garamond" w:hAnsi="Garamond"/>
        </w:rPr>
        <w:t xml:space="preserve">rozsudku Krajského soudu v Ostravě </w:t>
      </w:r>
      <w:r w:rsidRPr="00A52F8A">
        <w:rPr>
          <w:rFonts w:ascii="Garamond" w:hAnsi="Garamond"/>
        </w:rPr>
        <w:t>(dále jen „</w:t>
      </w:r>
      <w:r>
        <w:rPr>
          <w:rFonts w:ascii="Garamond" w:hAnsi="Garamond"/>
        </w:rPr>
        <w:t>krajský soud</w:t>
      </w:r>
      <w:r w:rsidRPr="00A52F8A">
        <w:rPr>
          <w:rFonts w:ascii="Garamond" w:hAnsi="Garamond"/>
        </w:rPr>
        <w:t xml:space="preserve">“), kterým byla </w:t>
      </w:r>
      <w:r>
        <w:rPr>
          <w:rFonts w:ascii="Garamond" w:hAnsi="Garamond"/>
        </w:rPr>
        <w:t xml:space="preserve">zamítnuta jeho </w:t>
      </w:r>
      <w:r w:rsidRPr="00A52F8A">
        <w:rPr>
          <w:rFonts w:ascii="Garamond" w:hAnsi="Garamond"/>
        </w:rPr>
        <w:t>žaloba proti rozhodnutí žalovaného</w:t>
      </w:r>
      <w:r>
        <w:rPr>
          <w:rFonts w:ascii="Garamond" w:hAnsi="Garamond"/>
        </w:rPr>
        <w:t xml:space="preserve"> </w:t>
      </w:r>
      <w:r w:rsidRPr="00DB6853">
        <w:rPr>
          <w:rFonts w:ascii="Garamond" w:hAnsi="Garamond"/>
        </w:rPr>
        <w:t xml:space="preserve">ze dne </w:t>
      </w:r>
      <w:r>
        <w:rPr>
          <w:rFonts w:ascii="Garamond" w:hAnsi="Garamond"/>
        </w:rPr>
        <w:t>7.</w:t>
      </w:r>
      <w:r w:rsidR="000D2E56">
        <w:rPr>
          <w:rFonts w:ascii="Garamond" w:hAnsi="Garamond"/>
        </w:rPr>
        <w:t> </w:t>
      </w:r>
      <w:r>
        <w:rPr>
          <w:rFonts w:ascii="Garamond" w:hAnsi="Garamond"/>
        </w:rPr>
        <w:t>10.</w:t>
      </w:r>
      <w:r w:rsidR="000D2E56">
        <w:rPr>
          <w:rFonts w:ascii="Garamond" w:hAnsi="Garamond"/>
        </w:rPr>
        <w:t> </w:t>
      </w:r>
      <w:r>
        <w:rPr>
          <w:rFonts w:ascii="Garamond" w:hAnsi="Garamond"/>
        </w:rPr>
        <w:t xml:space="preserve">2019, </w:t>
      </w:r>
      <w:r w:rsidRPr="00DB6853">
        <w:rPr>
          <w:rFonts w:ascii="Garamond" w:hAnsi="Garamond"/>
        </w:rPr>
        <w:t xml:space="preserve">č. j. </w:t>
      </w:r>
      <w:r>
        <w:rPr>
          <w:rFonts w:ascii="Garamond" w:hAnsi="Garamond"/>
        </w:rPr>
        <w:t xml:space="preserve">OAM-763/ZA-ZA11-ZA15-2019; tímto rozhodnutím </w:t>
      </w:r>
      <w:r w:rsidRPr="00C73E14">
        <w:rPr>
          <w:rFonts w:ascii="Garamond" w:hAnsi="Garamond"/>
        </w:rPr>
        <w:t>žalovaný zastavil řízení o žádosti stěžovatele o udělení mezinárodní ochrany v České republice podle § 25 písm. i) ve spojení s § 10a odst. 1 písm. c) zákona č. 325/1999 Sb., o azylu, ve znění pozdějších předpisů (dále jen „zákon o azylu“)</w:t>
      </w:r>
      <w:r>
        <w:rPr>
          <w:rFonts w:ascii="Garamond" w:hAnsi="Garamond"/>
        </w:rPr>
        <w:t xml:space="preserve">. </w:t>
      </w:r>
    </w:p>
    <w:p w:rsidR="005B515E" w:rsidRPr="001F5219" w:rsidRDefault="005B515E" w:rsidP="005B515E">
      <w:pPr>
        <w:jc w:val="both"/>
        <w:rPr>
          <w:rFonts w:ascii="Garamond" w:hAnsi="Garamond"/>
        </w:rPr>
      </w:pPr>
    </w:p>
    <w:p w:rsidR="005B515E" w:rsidRPr="001F5219" w:rsidRDefault="005B515E" w:rsidP="005B515E">
      <w:pPr>
        <w:numPr>
          <w:ilvl w:val="0"/>
          <w:numId w:val="2"/>
        </w:numPr>
        <w:ind w:left="0" w:firstLine="0"/>
        <w:jc w:val="both"/>
        <w:rPr>
          <w:rFonts w:ascii="Garamond" w:hAnsi="Garamond"/>
        </w:rPr>
      </w:pPr>
      <w:r w:rsidRPr="001F5219">
        <w:rPr>
          <w:rFonts w:ascii="Garamond" w:hAnsi="Garamond"/>
        </w:rPr>
        <w:t>Dne 25.</w:t>
      </w:r>
      <w:r w:rsidR="000D2E56">
        <w:rPr>
          <w:rFonts w:ascii="Garamond" w:hAnsi="Garamond"/>
        </w:rPr>
        <w:t> </w:t>
      </w:r>
      <w:r w:rsidRPr="001F5219">
        <w:rPr>
          <w:rFonts w:ascii="Garamond" w:hAnsi="Garamond"/>
        </w:rPr>
        <w:t>8.</w:t>
      </w:r>
      <w:r w:rsidR="000D2E56">
        <w:rPr>
          <w:rFonts w:ascii="Garamond" w:hAnsi="Garamond"/>
        </w:rPr>
        <w:t> </w:t>
      </w:r>
      <w:r w:rsidRPr="001F5219">
        <w:rPr>
          <w:rFonts w:ascii="Garamond" w:hAnsi="Garamond"/>
        </w:rPr>
        <w:t xml:space="preserve">2019 požádal stěžovatel o udělení mezinárodní ochrany na území České republiky. Z podané žádosti, jakož i </w:t>
      </w:r>
      <w:r>
        <w:rPr>
          <w:rFonts w:ascii="Garamond" w:hAnsi="Garamond"/>
        </w:rPr>
        <w:t xml:space="preserve">z </w:t>
      </w:r>
      <w:r w:rsidRPr="001F5219">
        <w:rPr>
          <w:rFonts w:ascii="Garamond" w:hAnsi="Garamond"/>
        </w:rPr>
        <w:t>následně poskytnutých údajů</w:t>
      </w:r>
      <w:r>
        <w:rPr>
          <w:rFonts w:ascii="Garamond" w:hAnsi="Garamond"/>
        </w:rPr>
        <w:t xml:space="preserve"> k ní, </w:t>
      </w:r>
      <w:r w:rsidRPr="001F5219">
        <w:rPr>
          <w:rFonts w:ascii="Garamond" w:hAnsi="Garamond"/>
        </w:rPr>
        <w:t xml:space="preserve">vyplynulo, že stěžovatel </w:t>
      </w:r>
      <w:r>
        <w:rPr>
          <w:rFonts w:ascii="Garamond" w:hAnsi="Garamond"/>
        </w:rPr>
        <w:t xml:space="preserve">je zletilý mladý muž, který </w:t>
      </w:r>
      <w:r w:rsidRPr="001F5219">
        <w:rPr>
          <w:rFonts w:ascii="Garamond" w:hAnsi="Garamond"/>
        </w:rPr>
        <w:t>je syrským státn</w:t>
      </w:r>
      <w:r>
        <w:rPr>
          <w:rFonts w:ascii="Garamond" w:hAnsi="Garamond"/>
        </w:rPr>
        <w:t>ím občanem, kurdské národnosti. D</w:t>
      </w:r>
      <w:r w:rsidRPr="001F5219">
        <w:rPr>
          <w:rFonts w:ascii="Garamond" w:hAnsi="Garamond"/>
        </w:rPr>
        <w:t>ne 3.</w:t>
      </w:r>
      <w:r w:rsidR="000D2E56">
        <w:rPr>
          <w:rFonts w:ascii="Garamond" w:hAnsi="Garamond"/>
        </w:rPr>
        <w:t> </w:t>
      </w:r>
      <w:r w:rsidRPr="001F5219">
        <w:rPr>
          <w:rFonts w:ascii="Garamond" w:hAnsi="Garamond"/>
        </w:rPr>
        <w:t>11.</w:t>
      </w:r>
      <w:r w:rsidR="000D2E56">
        <w:rPr>
          <w:rFonts w:ascii="Garamond" w:hAnsi="Garamond"/>
        </w:rPr>
        <w:t> </w:t>
      </w:r>
      <w:r w:rsidRPr="001F5219">
        <w:rPr>
          <w:rFonts w:ascii="Garamond" w:hAnsi="Garamond"/>
        </w:rPr>
        <w:t>2017 připlul na řecký ostrov Samos, poté se dostal do Atén a byl mu vystaven „</w:t>
      </w:r>
      <w:r w:rsidRPr="001F5219">
        <w:rPr>
          <w:rFonts w:ascii="Garamond" w:hAnsi="Garamond"/>
          <w:i/>
        </w:rPr>
        <w:t>nějaký doklad</w:t>
      </w:r>
      <w:r w:rsidRPr="001F5219">
        <w:rPr>
          <w:rFonts w:ascii="Garamond" w:hAnsi="Garamond"/>
        </w:rPr>
        <w:t>“. Následně stěžovatel odcestoval do Turecka, kde nějakou dobu pobýval a rodina z Německa mu posílala peníze, aby pokračoval dále; k tomu stěžovatel uvedl: „</w:t>
      </w:r>
      <w:r w:rsidRPr="001F5219">
        <w:rPr>
          <w:rFonts w:ascii="Garamond" w:hAnsi="Garamond"/>
          <w:i/>
        </w:rPr>
        <w:t>Je jedno, zda jsem byl v Řecku nebo Turecku nebo Sýrii. V Řecku jenom není válka.</w:t>
      </w:r>
      <w:r w:rsidRPr="001F5219">
        <w:rPr>
          <w:rFonts w:ascii="Garamond" w:hAnsi="Garamond"/>
        </w:rPr>
        <w:t xml:space="preserve">“ Vrátil se zpět do Řecka, kde se seznámil s člověkem, který mu pomohl dostat se do kamionu, jenž zastavil v České republice. K důvodům své žádosti stěžovatel uvedl, že se v zemi původu necítí bezpečně, situace se tam často mění a v České republice má strýce s povoleným trvalým pobytem. </w:t>
      </w:r>
    </w:p>
    <w:p w:rsidR="005B515E" w:rsidRPr="00442A0C" w:rsidRDefault="005B515E" w:rsidP="005B515E">
      <w:pPr>
        <w:numPr>
          <w:ilvl w:val="0"/>
          <w:numId w:val="2"/>
        </w:numPr>
        <w:ind w:left="0" w:firstLine="0"/>
        <w:jc w:val="both"/>
        <w:rPr>
          <w:rFonts w:ascii="Garamond" w:hAnsi="Garamond"/>
        </w:rPr>
      </w:pPr>
      <w:r w:rsidRPr="00442A0C">
        <w:rPr>
          <w:rFonts w:ascii="Garamond" w:hAnsi="Garamond"/>
        </w:rPr>
        <w:lastRenderedPageBreak/>
        <w:t xml:space="preserve">Podle databáze EURODAC (dle porovnání otisků prstů) </w:t>
      </w:r>
      <w:r>
        <w:rPr>
          <w:rFonts w:ascii="Garamond" w:hAnsi="Garamond"/>
        </w:rPr>
        <w:t xml:space="preserve">zjistil žalovaný, že </w:t>
      </w:r>
      <w:r w:rsidRPr="00442A0C">
        <w:rPr>
          <w:rFonts w:ascii="Garamond" w:hAnsi="Garamond"/>
        </w:rPr>
        <w:t>stěžova</w:t>
      </w:r>
      <w:r>
        <w:rPr>
          <w:rFonts w:ascii="Garamond" w:hAnsi="Garamond"/>
        </w:rPr>
        <w:t xml:space="preserve">tel podal </w:t>
      </w:r>
      <w:r w:rsidRPr="00442A0C">
        <w:rPr>
          <w:rFonts w:ascii="Garamond" w:hAnsi="Garamond"/>
        </w:rPr>
        <w:t>žádost o udělení mezinárodní ochrany</w:t>
      </w:r>
      <w:r>
        <w:rPr>
          <w:rFonts w:ascii="Garamond" w:hAnsi="Garamond"/>
        </w:rPr>
        <w:t xml:space="preserve"> v Řecku</w:t>
      </w:r>
      <w:r w:rsidRPr="00442A0C">
        <w:rPr>
          <w:rFonts w:ascii="Garamond" w:hAnsi="Garamond"/>
        </w:rPr>
        <w:t xml:space="preserve">, a proto požádal o jeho přijetí zpět </w:t>
      </w:r>
      <w:r>
        <w:rPr>
          <w:rFonts w:ascii="Garamond" w:hAnsi="Garamond"/>
        </w:rPr>
        <w:t>do</w:t>
      </w:r>
      <w:r w:rsidR="000D2E56">
        <w:rPr>
          <w:rFonts w:ascii="Garamond" w:hAnsi="Garamond"/>
        </w:rPr>
        <w:t> </w:t>
      </w:r>
      <w:r>
        <w:rPr>
          <w:rFonts w:ascii="Garamond" w:hAnsi="Garamond"/>
        </w:rPr>
        <w:t xml:space="preserve">tohoto členského státu Evropské unie (EU) v souladu s </w:t>
      </w:r>
      <w:r w:rsidRPr="00442A0C">
        <w:rPr>
          <w:rFonts w:ascii="Garamond" w:hAnsi="Garamond"/>
        </w:rPr>
        <w:t>čl. 18 odst. 1 písm. d) n</w:t>
      </w:r>
      <w:r>
        <w:rPr>
          <w:rFonts w:ascii="Garamond" w:hAnsi="Garamond"/>
        </w:rPr>
        <w:t>ařízení Evropského parlamentu a </w:t>
      </w:r>
      <w:r w:rsidRPr="00442A0C">
        <w:rPr>
          <w:rFonts w:ascii="Garamond" w:hAnsi="Garamond"/>
        </w:rPr>
        <w:t>Rady (EU) č. 604/2013</w:t>
      </w:r>
      <w:r>
        <w:rPr>
          <w:rFonts w:ascii="Garamond" w:hAnsi="Garamond"/>
        </w:rPr>
        <w:t xml:space="preserve"> ze dne 26.</w:t>
      </w:r>
      <w:r w:rsidR="000D2E56">
        <w:rPr>
          <w:rFonts w:ascii="Garamond" w:hAnsi="Garamond"/>
        </w:rPr>
        <w:t> </w:t>
      </w:r>
      <w:r>
        <w:rPr>
          <w:rFonts w:ascii="Garamond" w:hAnsi="Garamond"/>
        </w:rPr>
        <w:t>6.</w:t>
      </w:r>
      <w:r w:rsidR="000D2E56">
        <w:rPr>
          <w:rFonts w:ascii="Garamond" w:hAnsi="Garamond"/>
        </w:rPr>
        <w:t> </w:t>
      </w:r>
      <w:r>
        <w:rPr>
          <w:rFonts w:ascii="Garamond" w:hAnsi="Garamond"/>
        </w:rPr>
        <w:t>2013, kterým se stanoví kritéria a </w:t>
      </w:r>
      <w:r w:rsidRPr="00442A0C">
        <w:rPr>
          <w:rFonts w:ascii="Garamond" w:hAnsi="Garamond"/>
        </w:rPr>
        <w:t>postupy pro určení členského státu příslušného k posuzování žádosti o mezinárodní ochranu podané státním příslušníkem třetí země nebo osobou bez státní příslušnosti v některém z členských států (dále jen „nařízení Dublin III“). Dne 5.</w:t>
      </w:r>
      <w:r w:rsidR="000D2E56">
        <w:rPr>
          <w:rFonts w:ascii="Garamond" w:hAnsi="Garamond"/>
        </w:rPr>
        <w:t> </w:t>
      </w:r>
      <w:r w:rsidRPr="00442A0C">
        <w:rPr>
          <w:rFonts w:ascii="Garamond" w:hAnsi="Garamond"/>
        </w:rPr>
        <w:t>9.</w:t>
      </w:r>
      <w:r w:rsidR="000D2E56">
        <w:rPr>
          <w:rFonts w:ascii="Garamond" w:hAnsi="Garamond"/>
        </w:rPr>
        <w:t> </w:t>
      </w:r>
      <w:r w:rsidRPr="00442A0C">
        <w:rPr>
          <w:rFonts w:ascii="Garamond" w:hAnsi="Garamond"/>
        </w:rPr>
        <w:t>2019 žalovaný obdržel sdělení řecké strany, podle něhož žádost o přijetí zpět nemůže být akceptována, neboť stěžovateli v</w:t>
      </w:r>
      <w:r>
        <w:rPr>
          <w:rFonts w:ascii="Garamond" w:hAnsi="Garamond"/>
        </w:rPr>
        <w:t xml:space="preserve"> Řecku </w:t>
      </w:r>
      <w:r w:rsidRPr="00442A0C">
        <w:rPr>
          <w:rFonts w:ascii="Garamond" w:hAnsi="Garamond"/>
        </w:rPr>
        <w:t>byla udělena dne 18. 6.</w:t>
      </w:r>
      <w:r w:rsidR="000D2E56">
        <w:rPr>
          <w:rFonts w:ascii="Garamond" w:hAnsi="Garamond"/>
        </w:rPr>
        <w:t> </w:t>
      </w:r>
      <w:r w:rsidRPr="00442A0C">
        <w:rPr>
          <w:rFonts w:ascii="Garamond" w:hAnsi="Garamond"/>
        </w:rPr>
        <w:t>2019 mezinárodní ochrana ve formě azylu; z toho důvodu se na případ stěžovatele nařízení Dublin III nevztahuje. Dne 30.</w:t>
      </w:r>
      <w:r w:rsidR="000D2E56">
        <w:rPr>
          <w:rFonts w:ascii="Garamond" w:hAnsi="Garamond"/>
        </w:rPr>
        <w:t> </w:t>
      </w:r>
      <w:r w:rsidRPr="00442A0C">
        <w:rPr>
          <w:rFonts w:ascii="Garamond" w:hAnsi="Garamond"/>
        </w:rPr>
        <w:t>9.</w:t>
      </w:r>
      <w:r w:rsidR="000D2E56">
        <w:rPr>
          <w:rFonts w:ascii="Garamond" w:hAnsi="Garamond"/>
        </w:rPr>
        <w:t> </w:t>
      </w:r>
      <w:r w:rsidRPr="00442A0C">
        <w:rPr>
          <w:rFonts w:ascii="Garamond" w:hAnsi="Garamond"/>
        </w:rPr>
        <w:t>2019 byl se stěžovatelem proveden pohovor, ve kterém uvedl, že své doklady nechal v Řecku</w:t>
      </w:r>
      <w:r>
        <w:rPr>
          <w:rFonts w:ascii="Garamond" w:hAnsi="Garamond"/>
        </w:rPr>
        <w:t xml:space="preserve">. Poté, co žalovaný seznámil stěžovatele s informací, že </w:t>
      </w:r>
      <w:r w:rsidRPr="00442A0C">
        <w:rPr>
          <w:rFonts w:ascii="Garamond" w:hAnsi="Garamond"/>
        </w:rPr>
        <w:t>mu byl v Řecku udělen azyl, stěžovatel</w:t>
      </w:r>
      <w:r>
        <w:rPr>
          <w:rFonts w:ascii="Garamond" w:hAnsi="Garamond"/>
        </w:rPr>
        <w:t xml:space="preserve"> konstatoval, že </w:t>
      </w:r>
      <w:r w:rsidRPr="00442A0C">
        <w:rPr>
          <w:rFonts w:ascii="Garamond" w:hAnsi="Garamond"/>
        </w:rPr>
        <w:t>kdyby to věděl, v České republice by žádost nepodal.</w:t>
      </w:r>
      <w:r>
        <w:rPr>
          <w:rFonts w:ascii="Garamond" w:hAnsi="Garamond"/>
        </w:rPr>
        <w:t xml:space="preserve"> Když přijel do Řecka, ptali se ho, zda chce požádat o </w:t>
      </w:r>
      <w:r w:rsidRPr="00442A0C">
        <w:rPr>
          <w:rFonts w:ascii="Garamond" w:hAnsi="Garamond"/>
        </w:rPr>
        <w:t xml:space="preserve">azyl anebo vyhostit; stěžovatel dle svého </w:t>
      </w:r>
      <w:r>
        <w:rPr>
          <w:rFonts w:ascii="Garamond" w:hAnsi="Garamond"/>
        </w:rPr>
        <w:t xml:space="preserve">vyjádření </w:t>
      </w:r>
      <w:r w:rsidRPr="00442A0C">
        <w:rPr>
          <w:rFonts w:ascii="Garamond" w:hAnsi="Garamond"/>
        </w:rPr>
        <w:t>nechtěl ani jedno a dodal: „</w:t>
      </w:r>
      <w:r w:rsidRPr="00442A0C">
        <w:rPr>
          <w:rFonts w:ascii="Garamond" w:hAnsi="Garamond"/>
          <w:i/>
        </w:rPr>
        <w:t>Jen jsem podepsal papír, že</w:t>
      </w:r>
      <w:r w:rsidR="000D2E56">
        <w:rPr>
          <w:rFonts w:ascii="Garamond" w:hAnsi="Garamond"/>
          <w:i/>
        </w:rPr>
        <w:t> </w:t>
      </w:r>
      <w:r w:rsidRPr="00442A0C">
        <w:rPr>
          <w:rFonts w:ascii="Garamond" w:hAnsi="Garamond"/>
          <w:i/>
        </w:rPr>
        <w:t>projíždím</w:t>
      </w:r>
      <w:r w:rsidRPr="00442A0C">
        <w:rPr>
          <w:rFonts w:ascii="Garamond" w:hAnsi="Garamond"/>
        </w:rPr>
        <w:t>“. Současně s</w:t>
      </w:r>
      <w:r>
        <w:rPr>
          <w:rFonts w:ascii="Garamond" w:hAnsi="Garamond"/>
        </w:rPr>
        <w:t>dělil, že nechce řecký azyl, n</w:t>
      </w:r>
      <w:r w:rsidRPr="00442A0C">
        <w:rPr>
          <w:rFonts w:ascii="Garamond" w:hAnsi="Garamond"/>
        </w:rPr>
        <w:t>akonec však uvedl, že si zkusí řecké doklady vyřídit.</w:t>
      </w:r>
    </w:p>
    <w:p w:rsidR="005B515E" w:rsidRPr="001F5219" w:rsidRDefault="005B515E" w:rsidP="005B515E">
      <w:pPr>
        <w:jc w:val="both"/>
        <w:rPr>
          <w:rFonts w:ascii="Garamond" w:hAnsi="Garamond"/>
        </w:rPr>
      </w:pPr>
    </w:p>
    <w:p w:rsidR="005B515E" w:rsidRPr="001F5219" w:rsidRDefault="005B515E" w:rsidP="005B515E">
      <w:pPr>
        <w:numPr>
          <w:ilvl w:val="0"/>
          <w:numId w:val="2"/>
        </w:numPr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Dne 7.</w:t>
      </w:r>
      <w:r w:rsidR="000D2E56">
        <w:rPr>
          <w:rFonts w:ascii="Garamond" w:hAnsi="Garamond"/>
        </w:rPr>
        <w:t> </w:t>
      </w:r>
      <w:r>
        <w:rPr>
          <w:rFonts w:ascii="Garamond" w:hAnsi="Garamond"/>
        </w:rPr>
        <w:t>10.</w:t>
      </w:r>
      <w:r w:rsidR="000D2E56">
        <w:rPr>
          <w:rFonts w:ascii="Garamond" w:hAnsi="Garamond"/>
        </w:rPr>
        <w:t> </w:t>
      </w:r>
      <w:r>
        <w:rPr>
          <w:rFonts w:ascii="Garamond" w:hAnsi="Garamond"/>
        </w:rPr>
        <w:t xml:space="preserve">2019 vydal žalovaný </w:t>
      </w:r>
      <w:r w:rsidRPr="001F5219">
        <w:rPr>
          <w:rFonts w:ascii="Garamond" w:hAnsi="Garamond"/>
        </w:rPr>
        <w:t xml:space="preserve">výše uvedené rozhodnutí o zastavení řízení, neboť žádost stěžovatele o udělení mezinárodní ochrany </w:t>
      </w:r>
      <w:r>
        <w:rPr>
          <w:rFonts w:ascii="Garamond" w:hAnsi="Garamond"/>
        </w:rPr>
        <w:t xml:space="preserve">v České republice </w:t>
      </w:r>
      <w:r w:rsidRPr="001F5219">
        <w:rPr>
          <w:rFonts w:ascii="Garamond" w:hAnsi="Garamond"/>
        </w:rPr>
        <w:t xml:space="preserve">je nepřípustná – stěžovateli totiž </w:t>
      </w:r>
      <w:r>
        <w:rPr>
          <w:rFonts w:ascii="Garamond" w:hAnsi="Garamond"/>
        </w:rPr>
        <w:t xml:space="preserve">již </w:t>
      </w:r>
      <w:r w:rsidRPr="001F5219">
        <w:rPr>
          <w:rFonts w:ascii="Garamond" w:hAnsi="Garamond"/>
        </w:rPr>
        <w:t xml:space="preserve">byla udělena mezinárodní ochrana </w:t>
      </w:r>
      <w:r>
        <w:rPr>
          <w:rFonts w:ascii="Garamond" w:hAnsi="Garamond"/>
        </w:rPr>
        <w:t xml:space="preserve">(ve formě azylu) </w:t>
      </w:r>
      <w:r w:rsidRPr="001F5219">
        <w:rPr>
          <w:rFonts w:ascii="Garamond" w:hAnsi="Garamond"/>
        </w:rPr>
        <w:t>jiným členským státem E</w:t>
      </w:r>
      <w:r>
        <w:rPr>
          <w:rFonts w:ascii="Garamond" w:hAnsi="Garamond"/>
        </w:rPr>
        <w:t>U.</w:t>
      </w:r>
    </w:p>
    <w:p w:rsidR="005B515E" w:rsidRDefault="005B515E" w:rsidP="005B515E">
      <w:pPr>
        <w:jc w:val="both"/>
        <w:rPr>
          <w:rFonts w:ascii="Garamond" w:hAnsi="Garamond"/>
        </w:rPr>
      </w:pPr>
    </w:p>
    <w:p w:rsidR="005B515E" w:rsidRPr="0070685A" w:rsidRDefault="005B515E" w:rsidP="005B515E">
      <w:pPr>
        <w:tabs>
          <w:tab w:val="left" w:pos="284"/>
        </w:tabs>
        <w:jc w:val="center"/>
        <w:rPr>
          <w:rFonts w:ascii="Garamond" w:hAnsi="Garamond"/>
          <w:b/>
        </w:rPr>
      </w:pPr>
      <w:r w:rsidRPr="0070685A">
        <w:rPr>
          <w:rFonts w:ascii="Garamond" w:hAnsi="Garamond"/>
          <w:b/>
        </w:rPr>
        <w:t>II. Rozhodnutí krajského soudu</w:t>
      </w:r>
    </w:p>
    <w:p w:rsidR="005B515E" w:rsidRPr="0070685A" w:rsidRDefault="005B515E" w:rsidP="005B515E"/>
    <w:p w:rsidR="005B515E" w:rsidRPr="0070685A" w:rsidRDefault="005B515E" w:rsidP="005B515E">
      <w:pPr>
        <w:numPr>
          <w:ilvl w:val="0"/>
          <w:numId w:val="2"/>
        </w:numPr>
        <w:ind w:left="0" w:firstLine="0"/>
        <w:jc w:val="both"/>
        <w:rPr>
          <w:rFonts w:ascii="Garamond" w:hAnsi="Garamond"/>
        </w:rPr>
      </w:pPr>
      <w:r w:rsidRPr="0070685A">
        <w:rPr>
          <w:rFonts w:ascii="Garamond" w:hAnsi="Garamond"/>
        </w:rPr>
        <w:t>Rozhodnutí žalovaného o zastavení řízení napadl stěžovatel žalobou, v níž připustil, že</w:t>
      </w:r>
      <w:r w:rsidR="000D2E56">
        <w:rPr>
          <w:rFonts w:ascii="Garamond" w:hAnsi="Garamond"/>
        </w:rPr>
        <w:t> </w:t>
      </w:r>
      <w:r w:rsidRPr="0070685A">
        <w:rPr>
          <w:rFonts w:ascii="Garamond" w:hAnsi="Garamond"/>
        </w:rPr>
        <w:t>pobýval v Řecku, nikoli však s úmyslem požádat zde o mezinárodní ochranu. Jeho cílem bylo dostat se do České republiky, kde žije jeho strýc, a o skutečnosti, že mu byla v Řecku udělena mezinárodní ochrana, nevěděl. Nesouhlasil proto s rozhodnutím žalovaného, který se vůbec nezabýval bezpečnostní situací v zemi původu stěžovatele, kde dochází k pronásledování osob kurdské národnosti.</w:t>
      </w:r>
    </w:p>
    <w:p w:rsidR="005B515E" w:rsidRPr="0070685A" w:rsidRDefault="005B515E" w:rsidP="005B515E">
      <w:pPr>
        <w:jc w:val="both"/>
        <w:rPr>
          <w:rFonts w:ascii="Garamond" w:hAnsi="Garamond"/>
        </w:rPr>
      </w:pPr>
    </w:p>
    <w:p w:rsidR="005B515E" w:rsidRPr="0070685A" w:rsidRDefault="005B515E" w:rsidP="005B515E">
      <w:pPr>
        <w:numPr>
          <w:ilvl w:val="0"/>
          <w:numId w:val="2"/>
        </w:numPr>
        <w:ind w:left="0" w:firstLine="0"/>
        <w:jc w:val="both"/>
        <w:rPr>
          <w:rFonts w:ascii="Garamond" w:hAnsi="Garamond"/>
        </w:rPr>
      </w:pPr>
      <w:r w:rsidRPr="0070685A">
        <w:rPr>
          <w:rFonts w:ascii="Garamond" w:hAnsi="Garamond"/>
        </w:rPr>
        <w:t>Krajský soud neshledal žalobu důvodnou a dle § 78 odst. 7 zákona č. </w:t>
      </w:r>
      <w:r w:rsidRPr="0070685A">
        <w:rPr>
          <w:rFonts w:ascii="Garamond" w:hAnsi="Garamond"/>
          <w:bCs/>
          <w:iCs/>
        </w:rPr>
        <w:t>150/2002 Sb., soudní řád správní, ve znění pozdějších předpisů (dále jen „s. ř. s.“), ji zamítl</w:t>
      </w:r>
      <w:r w:rsidRPr="0070685A">
        <w:rPr>
          <w:rFonts w:ascii="Garamond" w:hAnsi="Garamond"/>
        </w:rPr>
        <w:t xml:space="preserve">. Stěžovatel </w:t>
      </w:r>
      <w:r w:rsidRPr="0070685A">
        <w:rPr>
          <w:rFonts w:ascii="Garamond" w:hAnsi="Garamond" w:cs="Arial"/>
        </w:rPr>
        <w:t xml:space="preserve">neuvedl žádné skutečnosti, které by vyvracely to, že v Řecku požádal o mezinárodní ochranu a že jeho žádosti bylo vyhověno a má zde tedy udělenu mezinárodní ochranu ve formě azylu. Stěžovatel nezpochybnil obsah žádné z listin, které byly součástí správního spisu, a nenavrhl provedení žádných důkazů. Krajský soud neměl důvodu považovat za jakkoli nevěrohodné sdělení Řecka o udělení mezinárodní ochrany stěžovateli. Uzavřel proto, že byl naplněn důvod nepřípustnosti žádosti </w:t>
      </w:r>
      <w:r>
        <w:rPr>
          <w:rFonts w:ascii="Garamond" w:hAnsi="Garamond" w:cs="Arial"/>
        </w:rPr>
        <w:t>po</w:t>
      </w:r>
      <w:r w:rsidRPr="0070685A">
        <w:rPr>
          <w:rFonts w:ascii="Garamond" w:hAnsi="Garamond" w:cs="Arial"/>
        </w:rPr>
        <w:t>dle § 10a o</w:t>
      </w:r>
      <w:r>
        <w:rPr>
          <w:rFonts w:ascii="Garamond" w:hAnsi="Garamond" w:cs="Arial"/>
        </w:rPr>
        <w:t xml:space="preserve">dst. 1 písm. c) zákona o azylu </w:t>
      </w:r>
      <w:r w:rsidRPr="0070685A">
        <w:rPr>
          <w:rFonts w:ascii="Garamond" w:hAnsi="Garamond" w:cs="Arial"/>
        </w:rPr>
        <w:t xml:space="preserve">a bylo zcela na místě řízení </w:t>
      </w:r>
      <w:r>
        <w:rPr>
          <w:rFonts w:ascii="Garamond" w:hAnsi="Garamond" w:cs="Arial"/>
        </w:rPr>
        <w:t>zastavit v souladu s § 25 písm. i) zákona o azylu. P</w:t>
      </w:r>
      <w:r w:rsidRPr="0070685A">
        <w:rPr>
          <w:rFonts w:ascii="Garamond" w:hAnsi="Garamond" w:cs="Arial"/>
        </w:rPr>
        <w:t>okud žalovaný neposuzoval bezpečnostní situaci v zemi původu stěžovatele a jeho obavy z pronásledování, nepochybil, neboť tento postup je výslovně předvídán</w:t>
      </w:r>
      <w:r>
        <w:rPr>
          <w:rFonts w:ascii="Garamond" w:hAnsi="Garamond" w:cs="Arial"/>
        </w:rPr>
        <w:t xml:space="preserve"> v </w:t>
      </w:r>
      <w:r w:rsidRPr="0070685A">
        <w:rPr>
          <w:rFonts w:ascii="Garamond" w:hAnsi="Garamond" w:cs="Arial"/>
        </w:rPr>
        <w:t>§ 10a odst. 2 zákona o azylu; je-li žádost o mezinárodní ochranu nepřípustná, důvody pro</w:t>
      </w:r>
      <w:r w:rsidR="000D2E56">
        <w:rPr>
          <w:rFonts w:ascii="Garamond" w:hAnsi="Garamond" w:cs="Arial"/>
        </w:rPr>
        <w:t> </w:t>
      </w:r>
      <w:r w:rsidRPr="0070685A">
        <w:rPr>
          <w:rFonts w:ascii="Garamond" w:hAnsi="Garamond" w:cs="Arial"/>
        </w:rPr>
        <w:t xml:space="preserve">udělení azylu nebo doplňkové ochrany se neposuzují. </w:t>
      </w:r>
    </w:p>
    <w:p w:rsidR="005B515E" w:rsidRPr="000D2E56" w:rsidRDefault="005B515E" w:rsidP="005B515E">
      <w:pPr>
        <w:pStyle w:val="Odstavecseseznamem"/>
        <w:rPr>
          <w:lang w:val="cs-CZ"/>
        </w:rPr>
      </w:pPr>
    </w:p>
    <w:p w:rsidR="005B515E" w:rsidRPr="0070685A" w:rsidRDefault="005B515E" w:rsidP="005B515E">
      <w:pPr>
        <w:tabs>
          <w:tab w:val="left" w:pos="284"/>
        </w:tabs>
        <w:jc w:val="center"/>
        <w:rPr>
          <w:rFonts w:ascii="Garamond" w:hAnsi="Garamond"/>
          <w:b/>
        </w:rPr>
      </w:pPr>
      <w:r w:rsidRPr="0070685A">
        <w:rPr>
          <w:rFonts w:ascii="Garamond" w:hAnsi="Garamond"/>
          <w:b/>
        </w:rPr>
        <w:t>III. Kasační stížnost a vyjádření žalovaného</w:t>
      </w:r>
    </w:p>
    <w:p w:rsidR="005B515E" w:rsidRPr="0070685A" w:rsidRDefault="005B515E" w:rsidP="005B515E">
      <w:pPr>
        <w:jc w:val="both"/>
        <w:rPr>
          <w:rFonts w:ascii="Garamond" w:hAnsi="Garamond"/>
        </w:rPr>
      </w:pPr>
    </w:p>
    <w:p w:rsidR="005B515E" w:rsidRPr="0070685A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Style w:val="slostrnky"/>
          <w:rFonts w:ascii="Garamond" w:eastAsia="Calibri" w:hAnsi="Garamond" w:cs="ArialMT"/>
          <w:lang w:eastAsia="en-US"/>
        </w:rPr>
      </w:pPr>
      <w:r w:rsidRPr="0070685A">
        <w:rPr>
          <w:rStyle w:val="slostrnky"/>
          <w:rFonts w:ascii="Garamond" w:hAnsi="Garamond"/>
        </w:rPr>
        <w:t>Proti rozsudku krajského soudu podal stěžovatel kasační stížnost, jejíž součástí byl i návrh na přiznání odkladného účinku, kterému Nejvyšší správní soud vyhověl usnesením ze dne 23.</w:t>
      </w:r>
      <w:r w:rsidR="000D2E56">
        <w:rPr>
          <w:rStyle w:val="slostrnky"/>
          <w:rFonts w:ascii="Garamond" w:hAnsi="Garamond"/>
        </w:rPr>
        <w:t> </w:t>
      </w:r>
      <w:r w:rsidRPr="0070685A">
        <w:rPr>
          <w:rStyle w:val="slostrnky"/>
          <w:rFonts w:ascii="Garamond" w:hAnsi="Garamond"/>
        </w:rPr>
        <w:t>3.</w:t>
      </w:r>
      <w:r w:rsidR="000D2E56">
        <w:rPr>
          <w:rStyle w:val="slostrnky"/>
          <w:rFonts w:ascii="Garamond" w:hAnsi="Garamond"/>
        </w:rPr>
        <w:t> </w:t>
      </w:r>
      <w:r w:rsidRPr="0070685A">
        <w:rPr>
          <w:rStyle w:val="slostrnky"/>
          <w:rFonts w:ascii="Garamond" w:hAnsi="Garamond"/>
        </w:rPr>
        <w:t>2020, č. j. 5 Azs 65/2020</w:t>
      </w:r>
      <w:r w:rsidR="000D2E56">
        <w:rPr>
          <w:rStyle w:val="slostrnky"/>
          <w:rFonts w:ascii="Garamond" w:hAnsi="Garamond"/>
        </w:rPr>
        <w:t> </w:t>
      </w:r>
      <w:r>
        <w:rPr>
          <w:rStyle w:val="slostrnky"/>
          <w:rFonts w:ascii="Garamond" w:hAnsi="Garamond"/>
        </w:rPr>
        <w:t>-</w:t>
      </w:r>
      <w:r w:rsidR="000D2E56">
        <w:rPr>
          <w:rStyle w:val="slostrnky"/>
          <w:rFonts w:ascii="Garamond" w:hAnsi="Garamond"/>
        </w:rPr>
        <w:t> </w:t>
      </w:r>
      <w:r w:rsidRPr="0070685A">
        <w:rPr>
          <w:rStyle w:val="slostrnky"/>
          <w:rFonts w:ascii="Garamond" w:hAnsi="Garamond"/>
        </w:rPr>
        <w:t>23. Stěžovatel obdobně jako v žalobě namít</w:t>
      </w:r>
      <w:r>
        <w:rPr>
          <w:rStyle w:val="slostrnky"/>
          <w:rFonts w:ascii="Garamond" w:hAnsi="Garamond"/>
        </w:rPr>
        <w:t>l, že řízení o jeho žádosti o </w:t>
      </w:r>
      <w:r w:rsidRPr="0070685A">
        <w:rPr>
          <w:rStyle w:val="slostrnky"/>
          <w:rFonts w:ascii="Garamond" w:hAnsi="Garamond"/>
        </w:rPr>
        <w:t>udělení mezinárodní ochrany bylo zastaveno, aniž by byly zkoumány věcné důvody, pro které tuto žádost podal. Krajský soud se podobně jako žalovaný nezabýval důvodností žádosti, ale pouze její přípustností – a to v důsledku zjištění, že mu byla udělena mezinárodní ochran</w:t>
      </w:r>
      <w:r>
        <w:rPr>
          <w:rStyle w:val="slostrnky"/>
          <w:rFonts w:ascii="Garamond" w:hAnsi="Garamond"/>
        </w:rPr>
        <w:t>a</w:t>
      </w:r>
      <w:r w:rsidRPr="0070685A">
        <w:rPr>
          <w:rStyle w:val="slostrnky"/>
          <w:rFonts w:ascii="Garamond" w:hAnsi="Garamond"/>
        </w:rPr>
        <w:t xml:space="preserve"> </w:t>
      </w:r>
      <w:r w:rsidRPr="0070685A">
        <w:rPr>
          <w:rStyle w:val="slostrnky"/>
          <w:rFonts w:ascii="Garamond" w:hAnsi="Garamond"/>
        </w:rPr>
        <w:lastRenderedPageBreak/>
        <w:t>v Řecku. O této s</w:t>
      </w:r>
      <w:r>
        <w:rPr>
          <w:rStyle w:val="slostrnky"/>
          <w:rFonts w:ascii="Garamond" w:hAnsi="Garamond"/>
        </w:rPr>
        <w:t xml:space="preserve">kutečnosti stěžovatel nevěděl a znovu </w:t>
      </w:r>
      <w:r w:rsidRPr="0070685A">
        <w:rPr>
          <w:rStyle w:val="slostrnky"/>
          <w:rFonts w:ascii="Garamond" w:hAnsi="Garamond"/>
        </w:rPr>
        <w:t>zpochybnil,</w:t>
      </w:r>
      <w:r>
        <w:rPr>
          <w:rStyle w:val="slostrnky"/>
          <w:rFonts w:ascii="Garamond" w:hAnsi="Garamond"/>
        </w:rPr>
        <w:t xml:space="preserve"> že by v Řecku vědomě požádal o </w:t>
      </w:r>
      <w:r w:rsidRPr="0070685A">
        <w:rPr>
          <w:rStyle w:val="slostrnky"/>
          <w:rFonts w:ascii="Garamond" w:hAnsi="Garamond"/>
        </w:rPr>
        <w:t>mezinárodní ochranu. Zdůraznil rovněž, že mu jako osobě požívající mezinárodní ochranu nebyly v Řecku vydány žádné doklady (např. průkaz azylanta). Navrhl proto, aby Nejvyšší správní soud napadený rozsudek zrušil a věc vrátil krajskému soud k dalšímu řízení.</w:t>
      </w:r>
    </w:p>
    <w:p w:rsidR="005B515E" w:rsidRPr="0070685A" w:rsidRDefault="005B515E" w:rsidP="005B515E">
      <w:pPr>
        <w:autoSpaceDE w:val="0"/>
        <w:autoSpaceDN w:val="0"/>
        <w:adjustRightInd w:val="0"/>
        <w:jc w:val="both"/>
        <w:rPr>
          <w:rStyle w:val="slostrnky"/>
          <w:rFonts w:ascii="Garamond" w:eastAsia="Calibri" w:hAnsi="Garamond" w:cs="ArialMT"/>
          <w:lang w:eastAsia="en-US"/>
        </w:rPr>
      </w:pPr>
    </w:p>
    <w:p w:rsidR="005B515E" w:rsidRPr="0070685A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Style w:val="slostrnky"/>
          <w:rFonts w:ascii="Garamond" w:eastAsia="Calibri" w:hAnsi="Garamond" w:cs="ArialMT"/>
          <w:lang w:eastAsia="en-US"/>
        </w:rPr>
      </w:pPr>
      <w:r w:rsidRPr="0070685A">
        <w:rPr>
          <w:rStyle w:val="slostrnky"/>
          <w:rFonts w:ascii="Garamond" w:eastAsia="Calibri" w:hAnsi="Garamond" w:cs="ArialMT"/>
          <w:lang w:eastAsia="en-US"/>
        </w:rPr>
        <w:t>Žalovaný ve vyjádření ke kasační stížnosti uvedl, že v průběhu správního řízení bylo průkazně doloženo, že stěžovatel podal žádost o mezinárodní ochranu v Řecku; současně bylo řeckým azylovým úřadem potvrzeno, že mu byla dne 18.</w:t>
      </w:r>
      <w:r w:rsidR="000D2E56">
        <w:rPr>
          <w:rStyle w:val="slostrnky"/>
          <w:rFonts w:ascii="Garamond" w:eastAsia="Calibri" w:hAnsi="Garamond" w:cs="ArialMT"/>
          <w:lang w:eastAsia="en-US"/>
        </w:rPr>
        <w:t> </w:t>
      </w:r>
      <w:r w:rsidRPr="0070685A">
        <w:rPr>
          <w:rStyle w:val="slostrnky"/>
          <w:rFonts w:ascii="Garamond" w:eastAsia="Calibri" w:hAnsi="Garamond" w:cs="ArialMT"/>
          <w:lang w:eastAsia="en-US"/>
        </w:rPr>
        <w:t>6.</w:t>
      </w:r>
      <w:r w:rsidR="000D2E56">
        <w:rPr>
          <w:rStyle w:val="slostrnky"/>
          <w:rFonts w:ascii="Garamond" w:eastAsia="Calibri" w:hAnsi="Garamond" w:cs="ArialMT"/>
          <w:lang w:eastAsia="en-US"/>
        </w:rPr>
        <w:t> </w:t>
      </w:r>
      <w:r w:rsidRPr="0070685A">
        <w:rPr>
          <w:rStyle w:val="slostrnky"/>
          <w:rFonts w:ascii="Garamond" w:eastAsia="Calibri" w:hAnsi="Garamond" w:cs="ArialMT"/>
          <w:lang w:eastAsia="en-US"/>
        </w:rPr>
        <w:t xml:space="preserve">2019 udělena mezinárodní ochrana. S ohledem na to se žalovaný nezabýval žádostí o udělení mezinárodní ochrany v České republice, neboť jde o nepřípustnou žádost, což krajský soud akceptoval. Žalovaný se s jeho závěry ztotožnil a navrhl, aby Nejvyšší správní soud kasační stížnost </w:t>
      </w:r>
      <w:r>
        <w:rPr>
          <w:rStyle w:val="slostrnky"/>
          <w:rFonts w:ascii="Garamond" w:eastAsia="Calibri" w:hAnsi="Garamond" w:cs="ArialMT"/>
          <w:lang w:eastAsia="en-US"/>
        </w:rPr>
        <w:t xml:space="preserve">odmítl </w:t>
      </w:r>
      <w:r w:rsidRPr="0070685A">
        <w:rPr>
          <w:rStyle w:val="slostrnky"/>
          <w:rFonts w:ascii="Garamond" w:eastAsia="Calibri" w:hAnsi="Garamond" w:cs="ArialMT"/>
          <w:lang w:eastAsia="en-US"/>
        </w:rPr>
        <w:t>pro nepřijatelnost (§ 104a odst. 1 s. ř. s.)</w:t>
      </w:r>
      <w:r>
        <w:rPr>
          <w:rStyle w:val="slostrnky"/>
          <w:rFonts w:ascii="Garamond" w:eastAsia="Calibri" w:hAnsi="Garamond" w:cs="ArialMT"/>
          <w:lang w:eastAsia="en-US"/>
        </w:rPr>
        <w:t xml:space="preserve"> anebo </w:t>
      </w:r>
      <w:r w:rsidRPr="0070685A">
        <w:rPr>
          <w:rStyle w:val="slostrnky"/>
          <w:rFonts w:ascii="Garamond" w:eastAsia="Calibri" w:hAnsi="Garamond" w:cs="ArialMT"/>
          <w:lang w:eastAsia="en-US"/>
        </w:rPr>
        <w:t xml:space="preserve">zamítl (§ 110 odst. 1 s. ř. s.). </w:t>
      </w:r>
    </w:p>
    <w:p w:rsidR="005B515E" w:rsidRDefault="005B515E" w:rsidP="005B515E">
      <w:pPr>
        <w:pStyle w:val="Odstavecseseznamem"/>
        <w:rPr>
          <w:rStyle w:val="slostrnky"/>
          <w:rFonts w:eastAsia="Calibri" w:cs="ArialMT"/>
          <w:lang w:eastAsia="en-US"/>
        </w:rPr>
      </w:pPr>
    </w:p>
    <w:p w:rsidR="005B515E" w:rsidRPr="00437327" w:rsidRDefault="005B515E" w:rsidP="005B515E">
      <w:pPr>
        <w:jc w:val="center"/>
        <w:rPr>
          <w:rFonts w:ascii="Garamond" w:hAnsi="Garamond"/>
          <w:b/>
        </w:rPr>
      </w:pPr>
      <w:r w:rsidRPr="00437327">
        <w:rPr>
          <w:rFonts w:ascii="Garamond" w:hAnsi="Garamond"/>
          <w:b/>
        </w:rPr>
        <w:t>IV. Posouzení věci Nejvyšším správním soudem</w:t>
      </w:r>
    </w:p>
    <w:p w:rsidR="005B515E" w:rsidRPr="00437327" w:rsidRDefault="005B515E" w:rsidP="005B515E">
      <w:pPr>
        <w:jc w:val="center"/>
      </w:pPr>
    </w:p>
    <w:p w:rsidR="005B515E" w:rsidRPr="00D2126B" w:rsidRDefault="005B515E" w:rsidP="005B515E">
      <w:pPr>
        <w:numPr>
          <w:ilvl w:val="0"/>
          <w:numId w:val="2"/>
        </w:numPr>
        <w:ind w:left="0" w:firstLine="0"/>
        <w:jc w:val="both"/>
        <w:rPr>
          <w:rFonts w:ascii="Garamond" w:hAnsi="Garamond"/>
        </w:rPr>
      </w:pPr>
      <w:r w:rsidRPr="007B4F25">
        <w:rPr>
          <w:rFonts w:ascii="Garamond" w:hAnsi="Garamond"/>
        </w:rPr>
        <w:t xml:space="preserve">Nejvyšší správní soud nejprve posoudil formální náležitosti kasační stížnosti a shledal, že kasační stížnost byla podána včas, směřuje proti rozhodnutí, proti němuž je podání kasační stížnosti přípustné, a stěžovatel je řádně zastoupen. </w:t>
      </w:r>
      <w:r w:rsidRPr="00D2126B">
        <w:rPr>
          <w:rFonts w:ascii="Garamond" w:hAnsi="Garamond"/>
        </w:rPr>
        <w:t>Poté, v</w:t>
      </w:r>
      <w:r w:rsidRPr="00D2126B">
        <w:rPr>
          <w:rFonts w:ascii="Garamond" w:hAnsi="Garamond"/>
          <w:bCs/>
          <w:iCs/>
        </w:rPr>
        <w:t>zhledem k tomu, že se v dané věci jedná o kasační stížnost ve věci mezinárodní ochrany, se Nejvyšší správní soud ve smyslu § 104a s. ř. s. zabýval otázkou, zda kasační stížnost svým významem podstatně přesahuje vlastní zájmy stěžovatele. Pokud by tomu tak nebylo, musela by být podle citovaného ustanovení odmítnuta jako nepřijatelná.</w:t>
      </w:r>
    </w:p>
    <w:p w:rsidR="005B515E" w:rsidRPr="000D4A80" w:rsidRDefault="005B515E" w:rsidP="005B515E">
      <w:pPr>
        <w:jc w:val="both"/>
        <w:rPr>
          <w:rFonts w:ascii="Garamond" w:hAnsi="Garamond"/>
        </w:rPr>
      </w:pPr>
    </w:p>
    <w:p w:rsidR="005B515E" w:rsidRDefault="005B515E" w:rsidP="005B515E">
      <w:pPr>
        <w:numPr>
          <w:ilvl w:val="0"/>
          <w:numId w:val="2"/>
        </w:numPr>
        <w:ind w:left="0" w:firstLine="0"/>
        <w:jc w:val="both"/>
        <w:rPr>
          <w:rFonts w:ascii="Garamond" w:hAnsi="Garamond"/>
        </w:rPr>
      </w:pPr>
      <w:r w:rsidRPr="00D2126B">
        <w:rPr>
          <w:rFonts w:ascii="Garamond" w:hAnsi="Garamond"/>
        </w:rPr>
        <w:t>Pro vlastní vymezení institutu nepřijatelnosti Nejvyšší správní soud odkazuje na své usnesení ze dne 26. 4. 2006, č. j. 1 Az</w:t>
      </w:r>
      <w:r>
        <w:rPr>
          <w:rFonts w:ascii="Garamond" w:hAnsi="Garamond"/>
        </w:rPr>
        <w:t>s 13/2006 - 39, č. 933/2006 Sb. </w:t>
      </w:r>
      <w:r w:rsidRPr="00D2126B">
        <w:rPr>
          <w:rFonts w:ascii="Garamond" w:hAnsi="Garamond"/>
        </w:rPr>
        <w:t>NSS, v</w:t>
      </w:r>
      <w:r>
        <w:rPr>
          <w:rFonts w:ascii="Garamond" w:hAnsi="Garamond"/>
        </w:rPr>
        <w:t xml:space="preserve"> </w:t>
      </w:r>
      <w:r w:rsidRPr="00D2126B">
        <w:rPr>
          <w:rFonts w:ascii="Garamond" w:hAnsi="Garamond"/>
        </w:rPr>
        <w:t>němž vyložil neurčitý právní pojem „</w:t>
      </w:r>
      <w:r w:rsidRPr="00D2126B">
        <w:rPr>
          <w:rFonts w:ascii="Garamond" w:hAnsi="Garamond"/>
          <w:i/>
        </w:rPr>
        <w:t>přesah vlastních zájmů stěžovatele</w:t>
      </w:r>
      <w:r w:rsidRPr="00D2126B">
        <w:rPr>
          <w:rFonts w:ascii="Garamond" w:hAnsi="Garamond"/>
        </w:rPr>
        <w:t>“. Znaky tohoto pojmu jsou naplněny v případě „</w:t>
      </w:r>
      <w:r w:rsidRPr="00D2126B">
        <w:rPr>
          <w:rFonts w:ascii="Garamond" w:hAnsi="Garamond"/>
          <w:i/>
        </w:rPr>
        <w:t>rozpoznatelného dopadu řešené právní otázky nad rámec konkrétního případu</w:t>
      </w:r>
      <w:r w:rsidRPr="00D2126B">
        <w:rPr>
          <w:rFonts w:ascii="Garamond" w:hAnsi="Garamond"/>
        </w:rPr>
        <w:t>“. Podle citovaného rozhodnutí je tedy kasační stížnost ve věcech mezinárodní ochrany přijatelná v následujících typových případech: (1) kasační stížnost se dotýká právních otázek, které dosud nebyly vůbec či nebyly plně řešeny judikaturou; (2) kasační stížnost se týká právních otázek, které jsou dosavadní judikaturou řešeny rozdílně; (3) kasační stížnost bude přijatelná pro potřebu učinit judikaturní odklon; (4) pokud by bylo v napadeném rozhodnutí krajského soudu shledáno zásadní pochybení, které mohlo mít dopad do hmotně-právního postavení stěžovatele</w:t>
      </w:r>
      <w:r>
        <w:rPr>
          <w:rFonts w:ascii="Garamond" w:hAnsi="Garamond"/>
        </w:rPr>
        <w:t xml:space="preserve">. </w:t>
      </w:r>
    </w:p>
    <w:p w:rsidR="005B515E" w:rsidRPr="00D2126B" w:rsidRDefault="005B515E" w:rsidP="005B515E">
      <w:pPr>
        <w:jc w:val="both"/>
        <w:rPr>
          <w:rFonts w:ascii="Garamond" w:hAnsi="Garamond"/>
        </w:rPr>
      </w:pPr>
    </w:p>
    <w:p w:rsidR="005B515E" w:rsidRPr="00F45884" w:rsidRDefault="005B515E" w:rsidP="005B515E">
      <w:pPr>
        <w:numPr>
          <w:ilvl w:val="0"/>
          <w:numId w:val="2"/>
        </w:numPr>
        <w:ind w:left="0" w:firstLine="0"/>
        <w:jc w:val="both"/>
        <w:rPr>
          <w:rFonts w:ascii="Garamond" w:hAnsi="Garamond"/>
        </w:rPr>
      </w:pPr>
      <w:r w:rsidRPr="00F45884">
        <w:rPr>
          <w:rFonts w:ascii="Garamond" w:hAnsi="Garamond"/>
        </w:rPr>
        <w:t>Ve světle takto vymezených kritérií Nejvyšší správní soud konstatuje, že podaná kasační stížnost předestírá k</w:t>
      </w:r>
      <w:r>
        <w:rPr>
          <w:rFonts w:ascii="Garamond" w:hAnsi="Garamond"/>
        </w:rPr>
        <w:t xml:space="preserve"> </w:t>
      </w:r>
      <w:r w:rsidRPr="00F45884">
        <w:rPr>
          <w:rFonts w:ascii="Garamond" w:hAnsi="Garamond"/>
        </w:rPr>
        <w:t xml:space="preserve">rozhodnutí </w:t>
      </w:r>
      <w:r>
        <w:rPr>
          <w:rFonts w:ascii="Garamond" w:hAnsi="Garamond"/>
        </w:rPr>
        <w:t xml:space="preserve">otázky související </w:t>
      </w:r>
      <w:r w:rsidRPr="00F45884">
        <w:rPr>
          <w:rFonts w:ascii="Garamond" w:hAnsi="Garamond"/>
        </w:rPr>
        <w:t xml:space="preserve">se </w:t>
      </w:r>
      <w:r>
        <w:rPr>
          <w:rFonts w:ascii="Garamond" w:hAnsi="Garamond"/>
        </w:rPr>
        <w:t>zastavením řízení z důvodu nepřípustnosti žádosti dle § 10a odst. 1 písm. c) zákona o azylu, které zasluhují pozornosti zejména z důvodu ad </w:t>
      </w:r>
      <w:r w:rsidRPr="00F45884">
        <w:rPr>
          <w:rFonts w:ascii="Garamond" w:hAnsi="Garamond"/>
        </w:rPr>
        <w:t>1) kritérií přijatelnosti. Jedná se totiž o otázk</w:t>
      </w:r>
      <w:r>
        <w:rPr>
          <w:rFonts w:ascii="Garamond" w:hAnsi="Garamond"/>
        </w:rPr>
        <w:t>y, které dosud nebyly</w:t>
      </w:r>
      <w:r w:rsidRPr="00F45884">
        <w:rPr>
          <w:rFonts w:ascii="Garamond" w:hAnsi="Garamond"/>
        </w:rPr>
        <w:t xml:space="preserve"> v judikatuře Nejvyššího správního soudu </w:t>
      </w:r>
      <w:r>
        <w:rPr>
          <w:rFonts w:ascii="Garamond" w:hAnsi="Garamond"/>
        </w:rPr>
        <w:t xml:space="preserve">dostatečně jasně </w:t>
      </w:r>
      <w:r w:rsidRPr="00F45884">
        <w:rPr>
          <w:rFonts w:ascii="Garamond" w:hAnsi="Garamond"/>
        </w:rPr>
        <w:t>řešen</w:t>
      </w:r>
      <w:r>
        <w:rPr>
          <w:rFonts w:ascii="Garamond" w:hAnsi="Garamond"/>
        </w:rPr>
        <w:t>y</w:t>
      </w:r>
      <w:r w:rsidRPr="00F45884">
        <w:rPr>
          <w:rFonts w:ascii="Garamond" w:hAnsi="Garamond"/>
        </w:rPr>
        <w:t>,</w:t>
      </w:r>
      <w:r>
        <w:rPr>
          <w:rFonts w:ascii="Garamond" w:hAnsi="Garamond"/>
        </w:rPr>
        <w:t xml:space="preserve"> a proto k</w:t>
      </w:r>
      <w:r w:rsidRPr="00F45884">
        <w:rPr>
          <w:rFonts w:ascii="Garamond" w:hAnsi="Garamond" w:cs="Arial"/>
        </w:rPr>
        <w:t xml:space="preserve">asační stížnost shledal </w:t>
      </w:r>
      <w:r>
        <w:rPr>
          <w:rFonts w:ascii="Garamond" w:hAnsi="Garamond" w:cs="Arial"/>
        </w:rPr>
        <w:t xml:space="preserve">zdejší soud </w:t>
      </w:r>
      <w:r w:rsidRPr="00F45884">
        <w:rPr>
          <w:rFonts w:ascii="Garamond" w:hAnsi="Garamond" w:cs="Arial"/>
        </w:rPr>
        <w:t>jako přijatelnou</w:t>
      </w:r>
      <w:r>
        <w:rPr>
          <w:rFonts w:ascii="Garamond" w:hAnsi="Garamond" w:cs="Arial"/>
        </w:rPr>
        <w:t xml:space="preserve"> a přistoupil k jejímu meritornímu posouzení. </w:t>
      </w:r>
    </w:p>
    <w:p w:rsidR="005B515E" w:rsidRDefault="005B515E" w:rsidP="005B515E"/>
    <w:p w:rsidR="005B515E" w:rsidRDefault="005B515E" w:rsidP="005B515E">
      <w:pPr>
        <w:numPr>
          <w:ilvl w:val="0"/>
          <w:numId w:val="2"/>
        </w:numPr>
        <w:ind w:left="0" w:firstLine="0"/>
        <w:jc w:val="both"/>
        <w:rPr>
          <w:rFonts w:ascii="Garamond" w:hAnsi="Garamond"/>
        </w:rPr>
      </w:pPr>
      <w:r w:rsidRPr="00296DC7">
        <w:rPr>
          <w:rFonts w:ascii="Garamond" w:hAnsi="Garamond"/>
        </w:rPr>
        <w:t xml:space="preserve">Kasační stížnost </w:t>
      </w:r>
      <w:r>
        <w:rPr>
          <w:rFonts w:ascii="Garamond" w:hAnsi="Garamond"/>
        </w:rPr>
        <w:t xml:space="preserve">není </w:t>
      </w:r>
      <w:r w:rsidRPr="00013372">
        <w:rPr>
          <w:rFonts w:ascii="Garamond" w:hAnsi="Garamond"/>
        </w:rPr>
        <w:t>důvodná.</w:t>
      </w:r>
    </w:p>
    <w:p w:rsidR="005B515E" w:rsidRPr="00AD6617" w:rsidRDefault="005B515E" w:rsidP="005B515E">
      <w:pPr>
        <w:pStyle w:val="Odstavecseseznamem"/>
      </w:pPr>
    </w:p>
    <w:p w:rsidR="005B515E" w:rsidRPr="00AD6617" w:rsidRDefault="005B515E" w:rsidP="005B515E">
      <w:pPr>
        <w:numPr>
          <w:ilvl w:val="0"/>
          <w:numId w:val="2"/>
        </w:numPr>
        <w:ind w:left="0" w:firstLine="0"/>
        <w:jc w:val="both"/>
        <w:rPr>
          <w:rFonts w:ascii="Garamond" w:hAnsi="Garamond"/>
        </w:rPr>
      </w:pPr>
      <w:r w:rsidRPr="00AD6617">
        <w:rPr>
          <w:rFonts w:ascii="Garamond" w:hAnsi="Garamond"/>
        </w:rPr>
        <w:t xml:space="preserve">Koncept nepřípustných žádostí </w:t>
      </w:r>
      <w:r>
        <w:rPr>
          <w:rFonts w:ascii="Garamond" w:hAnsi="Garamond"/>
        </w:rPr>
        <w:t xml:space="preserve">o udělení mezinárodní ochrany </w:t>
      </w:r>
      <w:r w:rsidRPr="00AD6617">
        <w:rPr>
          <w:rFonts w:ascii="Garamond" w:hAnsi="Garamond"/>
        </w:rPr>
        <w:t>zná vnitrostátní právní úprava již poměrně dlouho; k jeho zavedení došlo novelou zákona o azylu provedenou zákonem č. 57/2005 Sb. (s účinností od 18. 2.</w:t>
      </w:r>
      <w:r w:rsidR="000D2E56">
        <w:rPr>
          <w:rFonts w:ascii="Garamond" w:hAnsi="Garamond"/>
        </w:rPr>
        <w:t> </w:t>
      </w:r>
      <w:r w:rsidRPr="00AD6617">
        <w:rPr>
          <w:rFonts w:ascii="Garamond" w:hAnsi="Garamond"/>
        </w:rPr>
        <w:t xml:space="preserve">2005) a původně 2 důvody nepřípustnosti byly postupně rozšířeny až na současných </w:t>
      </w:r>
      <w:r>
        <w:rPr>
          <w:rFonts w:ascii="Garamond" w:hAnsi="Garamond"/>
        </w:rPr>
        <w:t>7 </w:t>
      </w:r>
      <w:r w:rsidRPr="00AD6617">
        <w:rPr>
          <w:rFonts w:ascii="Garamond" w:hAnsi="Garamond"/>
        </w:rPr>
        <w:t>důvodů</w:t>
      </w:r>
      <w:r>
        <w:rPr>
          <w:rFonts w:ascii="Garamond" w:hAnsi="Garamond"/>
        </w:rPr>
        <w:t xml:space="preserve"> </w:t>
      </w:r>
      <w:r w:rsidRPr="00AD6617">
        <w:rPr>
          <w:rFonts w:ascii="Garamond" w:hAnsi="Garamond"/>
        </w:rPr>
        <w:t xml:space="preserve">obsažených v § 10a odst. 1 písm. a) až g) zákona o azylu. V posuzovaném případě bylo řízení </w:t>
      </w:r>
      <w:r>
        <w:rPr>
          <w:rFonts w:ascii="Garamond" w:hAnsi="Garamond"/>
        </w:rPr>
        <w:t xml:space="preserve">o žádosti o udělení mezinárodní ochrany </w:t>
      </w:r>
      <w:r w:rsidRPr="00AD6617">
        <w:rPr>
          <w:rFonts w:ascii="Garamond" w:hAnsi="Garamond"/>
        </w:rPr>
        <w:t>zastaveno s odkazem na § 25 pí</w:t>
      </w:r>
      <w:r>
        <w:rPr>
          <w:rFonts w:ascii="Garamond" w:hAnsi="Garamond"/>
        </w:rPr>
        <w:t>sm. i) ve spojení s § 10a odst. </w:t>
      </w:r>
      <w:r w:rsidRPr="00AD6617">
        <w:rPr>
          <w:rFonts w:ascii="Garamond" w:hAnsi="Garamond"/>
        </w:rPr>
        <w:t>1 písm. c) zákona o azylu, který stanoví: „</w:t>
      </w:r>
      <w:r w:rsidRPr="00AD6617">
        <w:rPr>
          <w:rFonts w:ascii="Garamond" w:hAnsi="Garamond"/>
          <w:i/>
        </w:rPr>
        <w:t xml:space="preserve">Žádost o udělení mezinárodní ochrany je nepřípustná, byla-li žadateli o udělení mezinárodní ochrany udělena </w:t>
      </w:r>
      <w:r w:rsidRPr="00AD6617">
        <w:rPr>
          <w:rFonts w:ascii="Garamond" w:hAnsi="Garamond"/>
          <w:i/>
        </w:rPr>
        <w:lastRenderedPageBreak/>
        <w:t>mezinárodní ochrana jiným členským státem Evropské unie</w:t>
      </w:r>
      <w:r w:rsidRPr="00C96ACD">
        <w:rPr>
          <w:rFonts w:ascii="Garamond" w:hAnsi="Garamond"/>
        </w:rPr>
        <w:t xml:space="preserve">.“ </w:t>
      </w:r>
      <w:r>
        <w:rPr>
          <w:rFonts w:ascii="Garamond" w:hAnsi="Garamond"/>
        </w:rPr>
        <w:t>Podle § 25 písm. i) zákona o azylu pak platí, že řízení se zastaví, jestliže je žádost o udělení mezinárodní ochrany nepřípustná.</w:t>
      </w:r>
    </w:p>
    <w:p w:rsidR="005B515E" w:rsidRDefault="005B515E" w:rsidP="005B515E">
      <w:pPr>
        <w:pStyle w:val="Odstavecseseznamem"/>
      </w:pPr>
    </w:p>
    <w:p w:rsidR="005B515E" w:rsidRPr="00314200" w:rsidRDefault="005B515E" w:rsidP="005B515E">
      <w:pPr>
        <w:numPr>
          <w:ilvl w:val="0"/>
          <w:numId w:val="2"/>
        </w:numPr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Citovaná právní úprava v zákoně o azylu </w:t>
      </w:r>
      <w:r w:rsidRPr="00A62514">
        <w:rPr>
          <w:rFonts w:ascii="Garamond" w:hAnsi="Garamond"/>
        </w:rPr>
        <w:t>provádí čl. 33 odst. 2 písm. a) s</w:t>
      </w:r>
      <w:r>
        <w:rPr>
          <w:rFonts w:ascii="Garamond" w:hAnsi="Garamond"/>
        </w:rPr>
        <w:t>měrnice Evropského parlamentu a </w:t>
      </w:r>
      <w:r w:rsidRPr="00A62514">
        <w:rPr>
          <w:rFonts w:ascii="Garamond" w:hAnsi="Garamond"/>
        </w:rPr>
        <w:t>Rady 2013/32/EU ze dne 26.</w:t>
      </w:r>
      <w:r w:rsidR="000D2E56">
        <w:rPr>
          <w:rFonts w:ascii="Garamond" w:hAnsi="Garamond"/>
        </w:rPr>
        <w:t> </w:t>
      </w:r>
      <w:r w:rsidRPr="00A62514">
        <w:rPr>
          <w:rFonts w:ascii="Garamond" w:hAnsi="Garamond"/>
        </w:rPr>
        <w:t>6.</w:t>
      </w:r>
      <w:r w:rsidR="000D2E56">
        <w:rPr>
          <w:rFonts w:ascii="Garamond" w:hAnsi="Garamond"/>
        </w:rPr>
        <w:t> </w:t>
      </w:r>
      <w:r w:rsidRPr="00A62514">
        <w:rPr>
          <w:rFonts w:ascii="Garamond" w:hAnsi="Garamond"/>
        </w:rPr>
        <w:t xml:space="preserve">2013 </w:t>
      </w:r>
      <w:r w:rsidRPr="00A62514">
        <w:rPr>
          <w:rFonts w:ascii="Garamond" w:hAnsi="Garamond" w:cs="EUAlbertina"/>
          <w:bCs/>
        </w:rPr>
        <w:t>o společných řízeních pro přiznávání a odnímání statusu mezinárodní ochrany (dále</w:t>
      </w:r>
      <w:r>
        <w:rPr>
          <w:rFonts w:ascii="Garamond" w:hAnsi="Garamond" w:cs="EUAlbertina"/>
          <w:bCs/>
        </w:rPr>
        <w:t xml:space="preserve"> jen „procedurální směrnice“) a </w:t>
      </w:r>
      <w:r w:rsidRPr="00A62514">
        <w:rPr>
          <w:rFonts w:ascii="Garamond" w:hAnsi="Garamond" w:cs="EUAlbertina"/>
          <w:bCs/>
        </w:rPr>
        <w:t>představuje jeden z taxativně daných důvodů nepřípustnosti žádosti o udělení mezinárodní ochrany, kdy není nutné její meritorní posouzení. Jedná se o výjimku z obecného pravidla, podle kterého je potřeba meritorně posoudit všechny žádosti, jak ostatně potvrzuje bod (43) odůvodnění procedurální směrnice: „</w:t>
      </w:r>
      <w:r w:rsidRPr="00A62514">
        <w:rPr>
          <w:rFonts w:ascii="Garamond" w:hAnsi="Garamond" w:cs="EUAlbertina"/>
          <w:bCs/>
          <w:i/>
        </w:rPr>
        <w:t>Členské státy by měly všechny žádosti zhodnotit po věcné stránce, to</w:t>
      </w:r>
      <w:r w:rsidR="000D2E56">
        <w:rPr>
          <w:rFonts w:ascii="Garamond" w:hAnsi="Garamond" w:cs="EUAlbertina"/>
          <w:bCs/>
          <w:i/>
        </w:rPr>
        <w:t> </w:t>
      </w:r>
      <w:r w:rsidRPr="00A62514">
        <w:rPr>
          <w:rFonts w:ascii="Garamond" w:hAnsi="Garamond" w:cs="EUAlbertina"/>
          <w:bCs/>
          <w:i/>
        </w:rPr>
        <w:t xml:space="preserve">jest posoudit, zda dotyčný žadatel může být uznán za osobu způsobilou pro mezinárodní ochranu podle </w:t>
      </w:r>
      <w:r w:rsidRPr="00A62514">
        <w:rPr>
          <w:rFonts w:ascii="Garamond" w:eastAsia="Calibri" w:hAnsi="Garamond" w:cs="EUAlbertina"/>
          <w:i/>
          <w:lang w:eastAsia="en-US"/>
        </w:rPr>
        <w:t>směrnice 2011/95/EU, pokud tato směrnice nestanoví jinak, zejména v případech, kdy lze důvodně předpokládat, že posouzení provede nebo dostatečnou ochranu poskytne jiná země</w:t>
      </w:r>
      <w:r>
        <w:rPr>
          <w:rFonts w:ascii="Garamond" w:eastAsia="Calibri" w:hAnsi="Garamond" w:cs="EUAlbertina"/>
          <w:i/>
          <w:lang w:eastAsia="en-US"/>
        </w:rPr>
        <w:t>.</w:t>
      </w:r>
      <w:r>
        <w:rPr>
          <w:rFonts w:ascii="Garamond" w:eastAsia="Calibri" w:hAnsi="Garamond" w:cs="EUAlbertina"/>
          <w:lang w:eastAsia="en-US"/>
        </w:rPr>
        <w:t xml:space="preserve"> </w:t>
      </w:r>
      <w:r w:rsidRPr="00A62514">
        <w:rPr>
          <w:rFonts w:ascii="Garamond" w:eastAsia="Calibri" w:hAnsi="Garamond" w:cs="EUAlbertina"/>
          <w:i/>
          <w:lang w:eastAsia="en-US"/>
        </w:rPr>
        <w:t xml:space="preserve">Členské státy by zejména neměly mít povinnost hodnotit věcnou stránku žádosti o </w:t>
      </w:r>
      <w:r w:rsidRPr="00314200">
        <w:rPr>
          <w:rFonts w:ascii="Garamond" w:eastAsia="Calibri" w:hAnsi="Garamond" w:cs="EUAlbertina"/>
          <w:i/>
          <w:lang w:eastAsia="en-US"/>
        </w:rPr>
        <w:t>mezinárodní ochranu, pokud první země azylu přiznala žadateli postavení uprchlíka nebo mu poskytla jinou dostatečnou ochranu a žadatel bude touto zemí převzat zpět</w:t>
      </w:r>
      <w:r w:rsidRPr="00314200">
        <w:rPr>
          <w:rFonts w:ascii="Garamond" w:eastAsia="Calibri" w:hAnsi="Garamond" w:cs="EUAlbertina"/>
          <w:lang w:eastAsia="en-US"/>
        </w:rPr>
        <w:t>.“</w:t>
      </w:r>
    </w:p>
    <w:p w:rsidR="005B515E" w:rsidRPr="00314200" w:rsidRDefault="005B515E" w:rsidP="005B515E">
      <w:pPr>
        <w:jc w:val="both"/>
        <w:rPr>
          <w:rFonts w:ascii="Garamond" w:hAnsi="Garamond"/>
        </w:rPr>
      </w:pPr>
    </w:p>
    <w:p w:rsidR="005B515E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3B4CC8">
        <w:rPr>
          <w:rFonts w:ascii="Garamond" w:hAnsi="Garamond" w:cs="EUAlbertina"/>
          <w:bCs/>
        </w:rPr>
        <w:t xml:space="preserve">V naznačených případech je posouzení věcné stránky žádosti o udělení mezinárodní ochrany </w:t>
      </w:r>
      <w:r>
        <w:rPr>
          <w:rFonts w:ascii="Garamond" w:hAnsi="Garamond" w:cs="EUAlbertina"/>
          <w:bCs/>
        </w:rPr>
        <w:t>nad</w:t>
      </w:r>
      <w:r w:rsidRPr="003B4CC8">
        <w:rPr>
          <w:rFonts w:ascii="Garamond" w:hAnsi="Garamond" w:cs="EUAlbertina"/>
          <w:bCs/>
        </w:rPr>
        <w:t xml:space="preserve">bytečné a </w:t>
      </w:r>
      <w:r>
        <w:rPr>
          <w:rFonts w:ascii="Garamond" w:hAnsi="Garamond" w:cs="EUAlbertina"/>
          <w:bCs/>
        </w:rPr>
        <w:t xml:space="preserve">neúčelné; nemá smysl zahlcovat systém dalšími žádostmi téhož žadatele, nota bene v situaci, kdy jeho žádosti podané v jiném členském státě již bylo vyhověno a mezinárodní ochrana mu byla udělena. To se </w:t>
      </w:r>
      <w:r w:rsidRPr="003B4CC8">
        <w:rPr>
          <w:rFonts w:ascii="Garamond" w:hAnsi="Garamond" w:cs="EUAlbertina"/>
          <w:bCs/>
        </w:rPr>
        <w:t>odráží právě v čl. 33 procedurální směrnice, který se týká nepřípustných žádostí, u nichž členské státy nemusí posuzovat, zda žadatel splňuje podmínky pro přiznání mezinárodní ochran</w:t>
      </w:r>
      <w:r>
        <w:rPr>
          <w:rFonts w:ascii="Garamond" w:hAnsi="Garamond" w:cs="EUAlbertina"/>
          <w:bCs/>
        </w:rPr>
        <w:t>y</w:t>
      </w:r>
      <w:r w:rsidRPr="003B4CC8">
        <w:rPr>
          <w:rFonts w:ascii="Garamond" w:hAnsi="Garamond" w:cs="EUAlbertina"/>
          <w:bCs/>
        </w:rPr>
        <w:t xml:space="preserve"> podle směrnice Evropského parlamentu a Rady 2011/95/EU ze dne 13.</w:t>
      </w:r>
      <w:r w:rsidR="000D2E56">
        <w:rPr>
          <w:rFonts w:ascii="Garamond" w:hAnsi="Garamond" w:cs="EUAlbertina"/>
          <w:bCs/>
        </w:rPr>
        <w:t> </w:t>
      </w:r>
      <w:r w:rsidRPr="003B4CC8">
        <w:rPr>
          <w:rFonts w:ascii="Garamond" w:hAnsi="Garamond" w:cs="EUAlbertina"/>
          <w:bCs/>
        </w:rPr>
        <w:t>12.</w:t>
      </w:r>
      <w:r w:rsidR="000D2E56">
        <w:rPr>
          <w:rFonts w:ascii="Garamond" w:hAnsi="Garamond" w:cs="EUAlbertina"/>
          <w:bCs/>
        </w:rPr>
        <w:t> </w:t>
      </w:r>
      <w:r w:rsidRPr="003B4CC8">
        <w:rPr>
          <w:rFonts w:ascii="Garamond" w:hAnsi="Garamond" w:cs="EUAlbertina"/>
          <w:bCs/>
        </w:rPr>
        <w:t xml:space="preserve">2011 o </w:t>
      </w:r>
      <w:r w:rsidRPr="003B4CC8">
        <w:rPr>
          <w:rFonts w:ascii="Garamond" w:eastAsia="Calibri" w:hAnsi="Garamond" w:cs="EUAlbertina"/>
          <w:bCs/>
          <w:lang w:eastAsia="en-US"/>
        </w:rPr>
        <w:t xml:space="preserve">normách, které musí splňovat státní příslušníci třetích zemí nebo osoby bez státní příslušnosti, aby mohli požívat mezinárodní ochrany, o jednotném statusu pro uprchlíky nebo osoby, které mají nárok na doplňkovou ochranu, a o obsahu poskytnuté ochrany (dále jen „kvalifikační směrnice“). </w:t>
      </w:r>
      <w:r w:rsidRPr="003B4CC8">
        <w:rPr>
          <w:rFonts w:ascii="Garamond" w:hAnsi="Garamond"/>
        </w:rPr>
        <w:t xml:space="preserve">Uvedené pravidlo </w:t>
      </w:r>
      <w:r>
        <w:rPr>
          <w:rFonts w:ascii="Garamond" w:hAnsi="Garamond"/>
        </w:rPr>
        <w:t>o vyloučení věcného přezkumu pak v </w:t>
      </w:r>
      <w:r w:rsidRPr="003B4CC8">
        <w:rPr>
          <w:rFonts w:ascii="Garamond" w:hAnsi="Garamond"/>
        </w:rPr>
        <w:t xml:space="preserve">návaznosti na čl. 33 procedurální směrnice jasně normuje i vnitrostátní </w:t>
      </w:r>
      <w:r>
        <w:rPr>
          <w:rFonts w:ascii="Garamond" w:hAnsi="Garamond"/>
        </w:rPr>
        <w:t>právo – a sice § </w:t>
      </w:r>
      <w:r w:rsidRPr="003B4CC8">
        <w:rPr>
          <w:rFonts w:ascii="Garamond" w:hAnsi="Garamond"/>
        </w:rPr>
        <w:t>10a odst. 2 zákona o azylu, který stanoví: „</w:t>
      </w:r>
      <w:r w:rsidRPr="003B4CC8">
        <w:rPr>
          <w:rFonts w:ascii="Garamond" w:hAnsi="Garamond"/>
          <w:i/>
        </w:rPr>
        <w:t>Je-li žádost o udělení mezinárodní ochrany nepřípustná, neposuzuje se, zda žadatel o udělení mezinárodní ochrany splňuje důvody pro udělení azylu nebo doplňkové ochrany.</w:t>
      </w:r>
      <w:r w:rsidRPr="003B4CC8">
        <w:rPr>
          <w:rFonts w:ascii="Garamond" w:hAnsi="Garamond"/>
        </w:rPr>
        <w:t xml:space="preserve">“ </w:t>
      </w:r>
    </w:p>
    <w:p w:rsidR="005B515E" w:rsidRDefault="005B515E" w:rsidP="005B515E">
      <w:pPr>
        <w:pStyle w:val="Odstavecseseznamem"/>
      </w:pPr>
    </w:p>
    <w:p w:rsidR="005B515E" w:rsidRPr="003B4CC8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Dlužno dodat, že ještě předtím, </w:t>
      </w:r>
      <w:r w:rsidRPr="003B4CC8">
        <w:rPr>
          <w:rFonts w:ascii="Garamond" w:hAnsi="Garamond"/>
        </w:rPr>
        <w:t>než bylo citované ustanovení vloženo do zákona o azylu novelou provedenou zákonem č. 314/2015 Sb.</w:t>
      </w:r>
      <w:r>
        <w:rPr>
          <w:rFonts w:ascii="Garamond" w:hAnsi="Garamond"/>
        </w:rPr>
        <w:t xml:space="preserve"> (s účinností od 18.</w:t>
      </w:r>
      <w:r w:rsidR="000D2E56">
        <w:rPr>
          <w:rFonts w:ascii="Garamond" w:hAnsi="Garamond"/>
        </w:rPr>
        <w:t> </w:t>
      </w:r>
      <w:r>
        <w:rPr>
          <w:rFonts w:ascii="Garamond" w:hAnsi="Garamond"/>
        </w:rPr>
        <w:t>12.</w:t>
      </w:r>
      <w:r w:rsidR="000D2E56">
        <w:rPr>
          <w:rFonts w:ascii="Garamond" w:hAnsi="Garamond"/>
        </w:rPr>
        <w:t> </w:t>
      </w:r>
      <w:r>
        <w:rPr>
          <w:rFonts w:ascii="Garamond" w:hAnsi="Garamond"/>
        </w:rPr>
        <w:t xml:space="preserve">2015), </w:t>
      </w:r>
      <w:r w:rsidRPr="003B4CC8">
        <w:rPr>
          <w:rFonts w:ascii="Garamond" w:hAnsi="Garamond"/>
        </w:rPr>
        <w:t>se ve stejném duchu vyjádřil i rozšířený senát Nejvyššího správního soudu v rozsudku ze dne 6.</w:t>
      </w:r>
      <w:r w:rsidR="000D2E56">
        <w:rPr>
          <w:rFonts w:ascii="Garamond" w:hAnsi="Garamond"/>
        </w:rPr>
        <w:t> </w:t>
      </w:r>
      <w:r w:rsidRPr="003B4CC8">
        <w:rPr>
          <w:rFonts w:ascii="Garamond" w:hAnsi="Garamond"/>
        </w:rPr>
        <w:t>3.</w:t>
      </w:r>
      <w:r w:rsidR="000D2E56">
        <w:rPr>
          <w:rFonts w:ascii="Garamond" w:hAnsi="Garamond"/>
        </w:rPr>
        <w:t> </w:t>
      </w:r>
      <w:r w:rsidRPr="003B4CC8">
        <w:rPr>
          <w:rFonts w:ascii="Garamond" w:hAnsi="Garamond"/>
        </w:rPr>
        <w:t>2012, č. j. 3 Azs 6/2011</w:t>
      </w:r>
      <w:r w:rsidR="000D2E56">
        <w:rPr>
          <w:rFonts w:ascii="Garamond" w:hAnsi="Garamond"/>
        </w:rPr>
        <w:t> </w:t>
      </w:r>
      <w:r>
        <w:rPr>
          <w:rFonts w:ascii="Garamond" w:hAnsi="Garamond"/>
        </w:rPr>
        <w:t>-</w:t>
      </w:r>
      <w:r w:rsidR="000D2E56">
        <w:rPr>
          <w:rFonts w:ascii="Garamond" w:hAnsi="Garamond"/>
        </w:rPr>
        <w:t> </w:t>
      </w:r>
      <w:r w:rsidRPr="003B4CC8">
        <w:rPr>
          <w:rFonts w:ascii="Garamond" w:hAnsi="Garamond"/>
        </w:rPr>
        <w:t>96, č. 2642/2012 Sb. NSS; v něm se sice zabýval nepřípustností opakovaných žádostí</w:t>
      </w:r>
      <w:r>
        <w:rPr>
          <w:rFonts w:ascii="Garamond" w:hAnsi="Garamond"/>
        </w:rPr>
        <w:t xml:space="preserve"> [§ 10a odst. 1 písm. e) zákona o azylu]</w:t>
      </w:r>
      <w:r w:rsidRPr="003B4CC8">
        <w:rPr>
          <w:rFonts w:ascii="Garamond" w:hAnsi="Garamond"/>
        </w:rPr>
        <w:t xml:space="preserve">, současně však </w:t>
      </w:r>
      <w:r>
        <w:rPr>
          <w:rFonts w:ascii="Garamond" w:hAnsi="Garamond"/>
        </w:rPr>
        <w:t xml:space="preserve">v </w:t>
      </w:r>
      <w:r w:rsidRPr="003B4CC8">
        <w:rPr>
          <w:rFonts w:ascii="Garamond" w:hAnsi="Garamond"/>
        </w:rPr>
        <w:t xml:space="preserve">odůvodnění (bod 21) </w:t>
      </w:r>
      <w:r>
        <w:rPr>
          <w:rFonts w:ascii="Garamond" w:hAnsi="Garamond"/>
        </w:rPr>
        <w:t xml:space="preserve">uvedl, že </w:t>
      </w:r>
      <w:r w:rsidRPr="003B4CC8">
        <w:rPr>
          <w:rFonts w:ascii="Garamond" w:hAnsi="Garamond"/>
        </w:rPr>
        <w:t>„</w:t>
      </w:r>
      <w:r w:rsidRPr="003B4CC8">
        <w:rPr>
          <w:rFonts w:ascii="Garamond" w:hAnsi="Garamond"/>
          <w:i/>
        </w:rPr>
        <w:t>zastavuje-li správní orgán řízení o žádosti o udělení meziná</w:t>
      </w:r>
      <w:r>
        <w:rPr>
          <w:rFonts w:ascii="Garamond" w:hAnsi="Garamond"/>
          <w:i/>
        </w:rPr>
        <w:t>rodní ochrany, nemůže zároveň o </w:t>
      </w:r>
      <w:r w:rsidRPr="003B4CC8">
        <w:rPr>
          <w:rFonts w:ascii="Garamond" w:hAnsi="Garamond"/>
          <w:i/>
        </w:rPr>
        <w:t>věci samé, tedy o mezinárodní ochraně (tzn. ani o azylu, ani o doplňkové ochraně), rozhodovat</w:t>
      </w:r>
      <w:r w:rsidRPr="003B4CC8">
        <w:rPr>
          <w:rFonts w:ascii="Garamond" w:hAnsi="Garamond"/>
        </w:rPr>
        <w:t>“.</w:t>
      </w:r>
    </w:p>
    <w:p w:rsidR="005B515E" w:rsidRDefault="005B515E" w:rsidP="005B515E">
      <w:pPr>
        <w:pStyle w:val="Odstavecseseznamem"/>
      </w:pPr>
    </w:p>
    <w:p w:rsidR="005B515E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>
        <w:rPr>
          <w:rFonts w:ascii="Garamond" w:hAnsi="Garamond" w:cs="EUAlbertina"/>
          <w:bCs/>
        </w:rPr>
        <w:t>První n</w:t>
      </w:r>
      <w:r w:rsidRPr="00720D88">
        <w:rPr>
          <w:rFonts w:ascii="Garamond" w:hAnsi="Garamond" w:cs="EUAlbertina"/>
          <w:bCs/>
        </w:rPr>
        <w:t>ámitka stěžovatele</w:t>
      </w:r>
      <w:r>
        <w:rPr>
          <w:rFonts w:ascii="Garamond" w:hAnsi="Garamond" w:cs="EUAlbertina"/>
          <w:bCs/>
        </w:rPr>
        <w:t xml:space="preserve">, že </w:t>
      </w:r>
      <w:r w:rsidRPr="00720D88">
        <w:rPr>
          <w:rFonts w:ascii="Garamond" w:hAnsi="Garamond" w:cs="EUAlbertina"/>
          <w:bCs/>
        </w:rPr>
        <w:t>řízení bylo zastaveno, aniž se žalovaný zabýval věcnými důvody jeho žádosti o udělení mezinárodní ochrany</w:t>
      </w:r>
      <w:r>
        <w:rPr>
          <w:rFonts w:ascii="Garamond" w:hAnsi="Garamond" w:cs="EUAlbertina"/>
          <w:bCs/>
        </w:rPr>
        <w:t xml:space="preserve">, tedy </w:t>
      </w:r>
      <w:r w:rsidRPr="00720D88">
        <w:rPr>
          <w:rFonts w:ascii="Garamond" w:hAnsi="Garamond" w:cs="EUAlbertina"/>
          <w:bCs/>
        </w:rPr>
        <w:t xml:space="preserve">nemůže obstát. V případě, že žalovaný dospěl k závěru, že žádost stěžovatele je nepřípustná, </w:t>
      </w:r>
      <w:r>
        <w:rPr>
          <w:rFonts w:ascii="Garamond" w:hAnsi="Garamond" w:cs="EUAlbertina"/>
          <w:bCs/>
        </w:rPr>
        <w:t xml:space="preserve">neposuzoval </w:t>
      </w:r>
      <w:r w:rsidRPr="00720D88">
        <w:rPr>
          <w:rFonts w:ascii="Garamond" w:hAnsi="Garamond" w:cs="EUAlbertina"/>
          <w:bCs/>
        </w:rPr>
        <w:t xml:space="preserve">logicky </w:t>
      </w:r>
      <w:r>
        <w:rPr>
          <w:rFonts w:ascii="Garamond" w:hAnsi="Garamond" w:cs="EUAlbertina"/>
          <w:bCs/>
        </w:rPr>
        <w:t>meritum věci (tj. situaci osob kurdské národnosti v zemi původu)</w:t>
      </w:r>
      <w:r w:rsidRPr="00720D88">
        <w:rPr>
          <w:rFonts w:ascii="Garamond" w:hAnsi="Garamond" w:cs="EUAlbertina"/>
          <w:bCs/>
        </w:rPr>
        <w:t xml:space="preserve">, ale řízení </w:t>
      </w:r>
      <w:r>
        <w:rPr>
          <w:rFonts w:ascii="Garamond" w:hAnsi="Garamond" w:cs="EUAlbertina"/>
          <w:bCs/>
        </w:rPr>
        <w:t xml:space="preserve">bez dalšího </w:t>
      </w:r>
      <w:r w:rsidRPr="00720D88">
        <w:rPr>
          <w:rFonts w:ascii="Garamond" w:hAnsi="Garamond" w:cs="EUAlbertina"/>
          <w:bCs/>
        </w:rPr>
        <w:t xml:space="preserve">zastavil. </w:t>
      </w:r>
      <w:r>
        <w:rPr>
          <w:rFonts w:ascii="Garamond" w:hAnsi="Garamond" w:cs="EUAlbertina"/>
          <w:bCs/>
        </w:rPr>
        <w:t>R</w:t>
      </w:r>
      <w:r w:rsidRPr="00720D88">
        <w:rPr>
          <w:rFonts w:ascii="Garamond" w:hAnsi="Garamond"/>
        </w:rPr>
        <w:t xml:space="preserve">ozporuje-li stěžovatel tento postup, přehlíží jednoznačnou právní úpravu </w:t>
      </w:r>
      <w:r>
        <w:rPr>
          <w:rFonts w:ascii="Garamond" w:hAnsi="Garamond"/>
        </w:rPr>
        <w:t>(</w:t>
      </w:r>
      <w:r w:rsidRPr="00720D88">
        <w:rPr>
          <w:rFonts w:ascii="Garamond" w:hAnsi="Garamond"/>
        </w:rPr>
        <w:t>§ 10a odst. 2</w:t>
      </w:r>
      <w:r>
        <w:rPr>
          <w:rFonts w:ascii="Garamond" w:hAnsi="Garamond"/>
        </w:rPr>
        <w:t xml:space="preserve"> zákona o azylu</w:t>
      </w:r>
      <w:r w:rsidRPr="00720D88">
        <w:rPr>
          <w:rFonts w:ascii="Garamond" w:hAnsi="Garamond"/>
        </w:rPr>
        <w:t xml:space="preserve">) </w:t>
      </w:r>
      <w:r>
        <w:rPr>
          <w:rFonts w:ascii="Garamond" w:hAnsi="Garamond"/>
        </w:rPr>
        <w:t xml:space="preserve">vycházející z procedurální směrnice; ta </w:t>
      </w:r>
      <w:r w:rsidRPr="00720D88">
        <w:rPr>
          <w:rFonts w:ascii="Garamond" w:hAnsi="Garamond"/>
        </w:rPr>
        <w:t xml:space="preserve">společně se shora uvedenou </w:t>
      </w:r>
      <w:r>
        <w:rPr>
          <w:rFonts w:ascii="Garamond" w:hAnsi="Garamond"/>
        </w:rPr>
        <w:t xml:space="preserve">kvalifikační směrnicí, jakož i dalšími </w:t>
      </w:r>
      <w:r w:rsidRPr="00720D88">
        <w:rPr>
          <w:rFonts w:ascii="Garamond" w:hAnsi="Garamond"/>
        </w:rPr>
        <w:t>směrnicemi</w:t>
      </w:r>
      <w:r>
        <w:rPr>
          <w:rFonts w:ascii="Garamond" w:hAnsi="Garamond"/>
        </w:rPr>
        <w:t xml:space="preserve"> </w:t>
      </w:r>
      <w:r w:rsidRPr="00720D88">
        <w:rPr>
          <w:rFonts w:ascii="Garamond" w:hAnsi="Garamond"/>
        </w:rPr>
        <w:t xml:space="preserve">a nařízeními v oblasti </w:t>
      </w:r>
      <w:r>
        <w:rPr>
          <w:rFonts w:ascii="Garamond" w:hAnsi="Garamond"/>
        </w:rPr>
        <w:t>azylu a doplňkové ochrany</w:t>
      </w:r>
      <w:r w:rsidRPr="00720D88">
        <w:rPr>
          <w:rFonts w:ascii="Garamond" w:hAnsi="Garamond"/>
        </w:rPr>
        <w:t xml:space="preserve">, v níž EU vyvíjí společnou politiku (čl. 78 Smlouvy o fungování EU), tvoří právní rámec společného evropského azylového systému. </w:t>
      </w:r>
    </w:p>
    <w:p w:rsidR="005B515E" w:rsidRDefault="005B515E" w:rsidP="005B515E">
      <w:pPr>
        <w:pStyle w:val="Odstavecseseznamem"/>
      </w:pPr>
    </w:p>
    <w:p w:rsidR="005B515E" w:rsidRPr="00395F53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395F53">
        <w:rPr>
          <w:rFonts w:ascii="Garamond" w:hAnsi="Garamond"/>
        </w:rPr>
        <w:t xml:space="preserve">Společný evropský azylový systém je založen na zásadě vzájemné důvěry mezi členskými státy EU, která má v unijním právu klíčový význam. Unijní právo totiž spočívá na základním </w:t>
      </w:r>
      <w:r w:rsidRPr="00395F53">
        <w:rPr>
          <w:rFonts w:ascii="Garamond" w:hAnsi="Garamond"/>
        </w:rPr>
        <w:lastRenderedPageBreak/>
        <w:t xml:space="preserve">předpokladu, že každý členský stát sdílí se všemi ostatními členskými státy řadu společných hodnot, na nichž je EU </w:t>
      </w:r>
      <w:r>
        <w:rPr>
          <w:rFonts w:ascii="Garamond" w:hAnsi="Garamond"/>
        </w:rPr>
        <w:t xml:space="preserve">založena, </w:t>
      </w:r>
      <w:r w:rsidRPr="00395F53">
        <w:rPr>
          <w:rFonts w:ascii="Garamond" w:hAnsi="Garamond"/>
        </w:rPr>
        <w:t>a uznává, že s ním i ostatní členské státy tyto hodnoty sdílejí. Tento předpoklad znamená – a zároveň odůvodňuje – existenci vzájemné důvěry členských států v dodržování unijního práva, které tyto hodnoty zakotvuje. Zjednodušeně řečeno, zásada vzájemné důvěry zejména v souvislosti s prostorem svobody, bezpečnosti a práva každému z členských států EU ukládá, aby až na výjimečné okolnosti vycházel z toho, že všechny ostatní členské státy dodržují unijní právo, a zejména základní práva, která unijní právo uznává ve vztahu k jednotlivci; v tohoto ohledu lze odkázat na konstantní judikaturu Soudního dvora EU, např. rozsudky ze dne 5. 4.</w:t>
      </w:r>
      <w:r w:rsidR="000D2E56">
        <w:rPr>
          <w:rFonts w:ascii="Garamond" w:hAnsi="Garamond"/>
        </w:rPr>
        <w:t> </w:t>
      </w:r>
      <w:r w:rsidRPr="00395F53">
        <w:rPr>
          <w:rFonts w:ascii="Garamond" w:hAnsi="Garamond"/>
        </w:rPr>
        <w:t xml:space="preserve">2016, </w:t>
      </w:r>
      <w:r w:rsidRPr="00395F53">
        <w:rPr>
          <w:rFonts w:ascii="Garamond" w:hAnsi="Garamond"/>
          <w:i/>
        </w:rPr>
        <w:t>Aranyosi a Căldăraru</w:t>
      </w:r>
      <w:r w:rsidRPr="00395F53">
        <w:rPr>
          <w:rFonts w:ascii="Garamond" w:hAnsi="Garamond"/>
        </w:rPr>
        <w:t>, C-404/15 a C-659/15 PPU, bod 78, a ze</w:t>
      </w:r>
      <w:r w:rsidR="000D2E56">
        <w:rPr>
          <w:rFonts w:ascii="Garamond" w:hAnsi="Garamond"/>
        </w:rPr>
        <w:t> </w:t>
      </w:r>
      <w:r w:rsidRPr="00395F53">
        <w:rPr>
          <w:rFonts w:ascii="Garamond" w:hAnsi="Garamond"/>
        </w:rPr>
        <w:t>dne 25. 7.</w:t>
      </w:r>
      <w:r w:rsidR="000D2E56">
        <w:rPr>
          <w:rFonts w:ascii="Garamond" w:hAnsi="Garamond"/>
        </w:rPr>
        <w:t> </w:t>
      </w:r>
      <w:r w:rsidRPr="00395F53">
        <w:rPr>
          <w:rFonts w:ascii="Garamond" w:hAnsi="Garamond"/>
        </w:rPr>
        <w:t xml:space="preserve">2018, </w:t>
      </w:r>
      <w:r w:rsidRPr="00395F53">
        <w:rPr>
          <w:rFonts w:ascii="Garamond" w:hAnsi="Garamond"/>
          <w:i/>
        </w:rPr>
        <w:t>L. M.</w:t>
      </w:r>
      <w:r w:rsidRPr="00395F53">
        <w:rPr>
          <w:rFonts w:ascii="Garamond" w:hAnsi="Garamond"/>
        </w:rPr>
        <w:t xml:space="preserve">, C-216/18 PPU, bod 36, které se sice týkají evropského zatýkacího rozkazu, avšak jejich závěry jsou </w:t>
      </w:r>
      <w:r w:rsidRPr="00395F53">
        <w:rPr>
          <w:rFonts w:ascii="Garamond" w:hAnsi="Garamond"/>
          <w:i/>
        </w:rPr>
        <w:t xml:space="preserve">mutatis mutandis </w:t>
      </w:r>
      <w:r w:rsidRPr="00395F53">
        <w:rPr>
          <w:rFonts w:ascii="Garamond" w:hAnsi="Garamond"/>
        </w:rPr>
        <w:t>přenositelné i na oblast azylu a doplňkové ochrany, jak je ostatně patrné z další judikatury citované níže (mezinárodní ochrana a evropský zatýkací rozkaz představují oblasti úzce spojené se zrušením vnitřních hranic v rámci schengenského prostoru</w:t>
      </w:r>
      <w:r>
        <w:rPr>
          <w:rFonts w:ascii="Garamond" w:hAnsi="Garamond"/>
        </w:rPr>
        <w:t xml:space="preserve"> </w:t>
      </w:r>
      <w:r w:rsidRPr="00395F53">
        <w:rPr>
          <w:rFonts w:ascii="Garamond" w:hAnsi="Garamond"/>
        </w:rPr>
        <w:t>založeného na vzájemné důvěře členských států).</w:t>
      </w:r>
    </w:p>
    <w:p w:rsidR="005B515E" w:rsidRPr="00E1624E" w:rsidRDefault="005B515E" w:rsidP="005B515E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5B515E" w:rsidRPr="001325F6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1325F6">
        <w:rPr>
          <w:rFonts w:ascii="Garamond" w:hAnsi="Garamond"/>
        </w:rPr>
        <w:t xml:space="preserve">Jak již bylo </w:t>
      </w:r>
      <w:r>
        <w:rPr>
          <w:rFonts w:ascii="Garamond" w:hAnsi="Garamond"/>
        </w:rPr>
        <w:t xml:space="preserve">uvedeno, </w:t>
      </w:r>
      <w:r w:rsidRPr="001325F6">
        <w:rPr>
          <w:rFonts w:ascii="Garamond" w:hAnsi="Garamond"/>
        </w:rPr>
        <w:t>členské státy EU vycházejí ze zásady vzájemné důvěry, která jim umožňuje vytvoření a zachování prostoru svobody, bezpečnosti a práva bez vnitřních hranic. Vzájemná dův</w:t>
      </w:r>
      <w:r>
        <w:rPr>
          <w:rFonts w:ascii="Garamond" w:hAnsi="Garamond"/>
        </w:rPr>
        <w:t xml:space="preserve">ěra ovšem není důvěrou „slepou“ či apriorní </w:t>
      </w:r>
      <w:r w:rsidRPr="001325F6">
        <w:rPr>
          <w:rFonts w:ascii="Garamond" w:hAnsi="Garamond"/>
        </w:rPr>
        <w:t>a bezvýhradnou; naopak unijní právo vykládané Soudním dvorem připouští výjimečné odklonění se od důvěry v dodržování unijního práva ze strany ostatních členských států. Jakkoli ve výsledku může vést umožnění výjimek ze</w:t>
      </w:r>
      <w:r w:rsidR="000D2E56">
        <w:rPr>
          <w:rFonts w:ascii="Garamond" w:hAnsi="Garamond"/>
        </w:rPr>
        <w:t> </w:t>
      </w:r>
      <w:r w:rsidRPr="001325F6">
        <w:rPr>
          <w:rFonts w:ascii="Garamond" w:hAnsi="Garamond"/>
        </w:rPr>
        <w:t>zásady vzájemn</w:t>
      </w:r>
      <w:r>
        <w:rPr>
          <w:rFonts w:ascii="Garamond" w:hAnsi="Garamond"/>
        </w:rPr>
        <w:t xml:space="preserve">é důvěry v postupnou erozi této základní </w:t>
      </w:r>
      <w:r w:rsidRPr="001325F6">
        <w:rPr>
          <w:rFonts w:ascii="Garamond" w:hAnsi="Garamond"/>
        </w:rPr>
        <w:t>zásady EU a její společné politiky týkající se azylu</w:t>
      </w:r>
      <w:r>
        <w:rPr>
          <w:rFonts w:ascii="Garamond" w:hAnsi="Garamond"/>
        </w:rPr>
        <w:t xml:space="preserve"> a doplňkové ochrany</w:t>
      </w:r>
      <w:r w:rsidRPr="001325F6">
        <w:rPr>
          <w:rFonts w:ascii="Garamond" w:hAnsi="Garamond"/>
        </w:rPr>
        <w:t xml:space="preserve">, nelze tyto výjimky </w:t>
      </w:r>
      <w:r>
        <w:rPr>
          <w:rFonts w:ascii="Garamond" w:hAnsi="Garamond"/>
        </w:rPr>
        <w:t xml:space="preserve">v praxi </w:t>
      </w:r>
      <w:r w:rsidRPr="001325F6">
        <w:rPr>
          <w:rFonts w:ascii="Garamond" w:hAnsi="Garamond"/>
        </w:rPr>
        <w:t>zpochybnit a neakcepto</w:t>
      </w:r>
      <w:r>
        <w:rPr>
          <w:rFonts w:ascii="Garamond" w:hAnsi="Garamond"/>
        </w:rPr>
        <w:t>vat. Podstatné ovšem je, aby se </w:t>
      </w:r>
      <w:r w:rsidRPr="001325F6">
        <w:rPr>
          <w:rFonts w:ascii="Garamond" w:hAnsi="Garamond"/>
        </w:rPr>
        <w:t xml:space="preserve">opravdu jednalo o výjimečné okolnosti, a nikoli </w:t>
      </w:r>
      <w:r>
        <w:rPr>
          <w:rFonts w:ascii="Garamond" w:hAnsi="Garamond"/>
        </w:rPr>
        <w:t xml:space="preserve">o </w:t>
      </w:r>
      <w:r w:rsidRPr="001325F6">
        <w:rPr>
          <w:rFonts w:ascii="Garamond" w:hAnsi="Garamond"/>
        </w:rPr>
        <w:t>situaci ve stylu hesla „</w:t>
      </w:r>
      <w:r w:rsidRPr="001325F6">
        <w:rPr>
          <w:rFonts w:ascii="Garamond" w:hAnsi="Garamond"/>
          <w:i/>
        </w:rPr>
        <w:t>důvěřuj, ale prověřuj</w:t>
      </w:r>
      <w:r w:rsidRPr="001325F6">
        <w:rPr>
          <w:rFonts w:ascii="Garamond" w:hAnsi="Garamond"/>
        </w:rPr>
        <w:t xml:space="preserve">“, kdy </w:t>
      </w:r>
      <w:r>
        <w:rPr>
          <w:rFonts w:ascii="Garamond" w:hAnsi="Garamond"/>
        </w:rPr>
        <w:t xml:space="preserve">by bez dalšího docházelo k </w:t>
      </w:r>
      <w:r w:rsidRPr="001325F6">
        <w:rPr>
          <w:rFonts w:ascii="Garamond" w:hAnsi="Garamond"/>
        </w:rPr>
        <w:t xml:space="preserve">prověřování každého </w:t>
      </w:r>
      <w:r>
        <w:rPr>
          <w:rFonts w:ascii="Garamond" w:hAnsi="Garamond"/>
        </w:rPr>
        <w:t xml:space="preserve">individuálního </w:t>
      </w:r>
      <w:r w:rsidRPr="001325F6">
        <w:rPr>
          <w:rFonts w:ascii="Garamond" w:hAnsi="Garamond"/>
        </w:rPr>
        <w:t>případu. Jin</w:t>
      </w:r>
      <w:r>
        <w:rPr>
          <w:rFonts w:ascii="Garamond" w:hAnsi="Garamond"/>
        </w:rPr>
        <w:t xml:space="preserve">ak řečeno, </w:t>
      </w:r>
      <w:r w:rsidRPr="001325F6">
        <w:rPr>
          <w:rFonts w:ascii="Garamond" w:hAnsi="Garamond"/>
        </w:rPr>
        <w:t xml:space="preserve">je velmi </w:t>
      </w:r>
      <w:r>
        <w:rPr>
          <w:rFonts w:ascii="Garamond" w:hAnsi="Garamond"/>
        </w:rPr>
        <w:t>důležité</w:t>
      </w:r>
      <w:r w:rsidRPr="001325F6">
        <w:rPr>
          <w:rFonts w:ascii="Garamond" w:hAnsi="Garamond"/>
        </w:rPr>
        <w:t xml:space="preserve">, aby </w:t>
      </w:r>
      <w:r>
        <w:rPr>
          <w:rFonts w:ascii="Garamond" w:hAnsi="Garamond"/>
        </w:rPr>
        <w:t xml:space="preserve">každý </w:t>
      </w:r>
      <w:r w:rsidRPr="001325F6">
        <w:rPr>
          <w:rFonts w:ascii="Garamond" w:hAnsi="Garamond"/>
        </w:rPr>
        <w:t xml:space="preserve">členský stát EU důvěřoval a akceptoval, že jiný členský stát </w:t>
      </w:r>
      <w:r>
        <w:rPr>
          <w:rFonts w:ascii="Garamond" w:hAnsi="Garamond"/>
        </w:rPr>
        <w:t xml:space="preserve">nezasahuje do základních práv jednotlivce, ledaže by </w:t>
      </w:r>
      <w:r w:rsidRPr="001325F6">
        <w:rPr>
          <w:rFonts w:ascii="Garamond" w:hAnsi="Garamond"/>
        </w:rPr>
        <w:t xml:space="preserve">byly dány </w:t>
      </w:r>
      <w:r>
        <w:rPr>
          <w:rFonts w:ascii="Garamond" w:hAnsi="Garamond"/>
        </w:rPr>
        <w:t xml:space="preserve">skutečně </w:t>
      </w:r>
      <w:r w:rsidRPr="001325F6">
        <w:rPr>
          <w:rFonts w:ascii="Garamond" w:hAnsi="Garamond"/>
        </w:rPr>
        <w:t>výjimečné okolnosti, které svědčí o opaku.</w:t>
      </w:r>
    </w:p>
    <w:p w:rsidR="005B515E" w:rsidRPr="001325F6" w:rsidRDefault="005B515E" w:rsidP="005B515E">
      <w:pPr>
        <w:pStyle w:val="Odstavecseseznamem"/>
      </w:pPr>
    </w:p>
    <w:p w:rsidR="005B515E" w:rsidRPr="001325F6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1325F6">
        <w:rPr>
          <w:rFonts w:ascii="Garamond" w:hAnsi="Garamond"/>
        </w:rPr>
        <w:t xml:space="preserve">Na základě uvedeného </w:t>
      </w:r>
      <w:r>
        <w:rPr>
          <w:rFonts w:ascii="Garamond" w:hAnsi="Garamond"/>
        </w:rPr>
        <w:t xml:space="preserve">se předpokládá, že zacházení s </w:t>
      </w:r>
      <w:r w:rsidRPr="001325F6">
        <w:rPr>
          <w:rFonts w:ascii="Garamond" w:hAnsi="Garamond"/>
        </w:rPr>
        <w:t xml:space="preserve">žadateli o mezinárodní ochranu v každém členském státě splňuje </w:t>
      </w:r>
      <w:r>
        <w:rPr>
          <w:rFonts w:ascii="Garamond" w:hAnsi="Garamond"/>
        </w:rPr>
        <w:t xml:space="preserve">základní </w:t>
      </w:r>
      <w:r w:rsidRPr="001325F6">
        <w:rPr>
          <w:rFonts w:ascii="Garamond" w:hAnsi="Garamond"/>
        </w:rPr>
        <w:t>požadavky nejen Listiny základních práv EU, ale též Úmluvy o právním postavení uprchlíků (č. 208/1993 Sb.) a Úmluvy o ochraně lidských práv a základních svobod (č. 209/1992 Sb.), jak judikoval Soudní dvůr už v rozsudku dne 21. 12.</w:t>
      </w:r>
      <w:r w:rsidR="000D2E56">
        <w:rPr>
          <w:rFonts w:ascii="Garamond" w:hAnsi="Garamond"/>
        </w:rPr>
        <w:t> </w:t>
      </w:r>
      <w:r w:rsidRPr="001325F6">
        <w:rPr>
          <w:rFonts w:ascii="Garamond" w:hAnsi="Garamond"/>
        </w:rPr>
        <w:t xml:space="preserve">2011, </w:t>
      </w:r>
      <w:r w:rsidRPr="001325F6">
        <w:rPr>
          <w:rFonts w:ascii="Garamond" w:hAnsi="Garamond"/>
          <w:i/>
        </w:rPr>
        <w:t>N. S. a další</w:t>
      </w:r>
      <w:r w:rsidRPr="001325F6">
        <w:rPr>
          <w:rFonts w:ascii="Garamond" w:hAnsi="Garamond"/>
        </w:rPr>
        <w:t>, C-411/10 a C-493/10, s tím, že právě z důvodu zásady vzájemné důvěry se snaží unijní zákonodárce „</w:t>
      </w:r>
      <w:r w:rsidRPr="001325F6">
        <w:rPr>
          <w:rFonts w:ascii="Garamond" w:hAnsi="Garamond"/>
          <w:i/>
        </w:rPr>
        <w:t xml:space="preserve">racionalizovat posuzování žádostí o azyl a zabránit zahlcení systému povinností státních orgánů zabývat se několikanásobnými žádostmi podanými stejným žadatelem, zvýšit právní jistotu, pokud jde o určování státu odpovědného za posouzení žádosti o azyl, a vyhnout se tak systému </w:t>
      </w:r>
      <w:r w:rsidRPr="001325F6">
        <w:rPr>
          <w:rFonts w:ascii="Garamond" w:hAnsi="Garamond"/>
          <w:i/>
          <w:iCs/>
        </w:rPr>
        <w:t>forum shopping</w:t>
      </w:r>
      <w:r w:rsidRPr="001325F6">
        <w:rPr>
          <w:rFonts w:ascii="Garamond" w:hAnsi="Garamond"/>
          <w:i/>
        </w:rPr>
        <w:t>, přičemž hlavním cílem toho všeho je zrychlení posuzování žádostí v zájmu jak žadatelů o azyl, tak zúčastněných států</w:t>
      </w:r>
      <w:r w:rsidRPr="001325F6">
        <w:rPr>
          <w:rFonts w:ascii="Garamond" w:hAnsi="Garamond"/>
        </w:rPr>
        <w:t>“ (bod 78). I přesto ovšem nelze „</w:t>
      </w:r>
      <w:r w:rsidRPr="00813519">
        <w:rPr>
          <w:rFonts w:ascii="Garamond" w:hAnsi="Garamond"/>
          <w:i/>
        </w:rPr>
        <w:t>vyloučit, že tento systém v praxi naráží v určitém členském státě na závažné funkční problémy, takže existuje riziko, že žadatelé o azyl budou v případě přemístění do tohoto členského státu vystaveni zacházení, které je nesluči</w:t>
      </w:r>
      <w:r w:rsidRPr="001325F6">
        <w:rPr>
          <w:rFonts w:ascii="Garamond" w:hAnsi="Garamond"/>
          <w:i/>
        </w:rPr>
        <w:t>telné s jejich základními právy</w:t>
      </w:r>
      <w:r w:rsidRPr="001325F6">
        <w:rPr>
          <w:rFonts w:ascii="Garamond" w:hAnsi="Garamond"/>
        </w:rPr>
        <w:t>“, jak uvedl v tomtéž rozsudku Soudní dvůr (bod 81).</w:t>
      </w:r>
    </w:p>
    <w:p w:rsidR="005B515E" w:rsidRPr="001325F6" w:rsidRDefault="005B515E" w:rsidP="005B515E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5B515E" w:rsidRPr="00BD7CC4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1325F6">
        <w:rPr>
          <w:rFonts w:ascii="Garamond" w:hAnsi="Garamond"/>
        </w:rPr>
        <w:t xml:space="preserve">Naznačené riziko </w:t>
      </w:r>
      <w:r>
        <w:rPr>
          <w:rFonts w:ascii="Garamond" w:hAnsi="Garamond"/>
        </w:rPr>
        <w:t xml:space="preserve">porušení základních práv </w:t>
      </w:r>
      <w:r w:rsidRPr="001325F6">
        <w:rPr>
          <w:rFonts w:ascii="Garamond" w:hAnsi="Garamond"/>
        </w:rPr>
        <w:t>při zacházení s žadateli o udělení mezinárodní ochrany, vč</w:t>
      </w:r>
      <w:r>
        <w:rPr>
          <w:rFonts w:ascii="Garamond" w:hAnsi="Garamond"/>
        </w:rPr>
        <w:t xml:space="preserve">etně </w:t>
      </w:r>
      <w:r w:rsidRPr="001325F6">
        <w:rPr>
          <w:rFonts w:ascii="Garamond" w:hAnsi="Garamond"/>
        </w:rPr>
        <w:t xml:space="preserve">možného porušení zásady </w:t>
      </w:r>
      <w:r w:rsidRPr="001325F6">
        <w:rPr>
          <w:rFonts w:ascii="Garamond" w:hAnsi="Garamond"/>
          <w:i/>
        </w:rPr>
        <w:t>non-refoulement</w:t>
      </w:r>
      <w:r w:rsidRPr="001325F6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reflektovala </w:t>
      </w:r>
      <w:r w:rsidRPr="001325F6">
        <w:rPr>
          <w:rFonts w:ascii="Garamond" w:hAnsi="Garamond"/>
        </w:rPr>
        <w:t>též judikatura Evropského soudu pro lidská práva (viz např. rozsudek ze dne 21.</w:t>
      </w:r>
      <w:r w:rsidR="00A65698">
        <w:rPr>
          <w:rFonts w:ascii="Garamond" w:hAnsi="Garamond"/>
        </w:rPr>
        <w:t> </w:t>
      </w:r>
      <w:r w:rsidRPr="001325F6">
        <w:rPr>
          <w:rFonts w:ascii="Garamond" w:hAnsi="Garamond"/>
        </w:rPr>
        <w:t>1.</w:t>
      </w:r>
      <w:r w:rsidR="00A65698">
        <w:rPr>
          <w:rFonts w:ascii="Garamond" w:hAnsi="Garamond"/>
        </w:rPr>
        <w:t> </w:t>
      </w:r>
      <w:r w:rsidRPr="001325F6">
        <w:rPr>
          <w:rFonts w:ascii="Garamond" w:hAnsi="Garamond"/>
        </w:rPr>
        <w:t xml:space="preserve">2011, </w:t>
      </w:r>
      <w:r w:rsidRPr="001325F6">
        <w:rPr>
          <w:rFonts w:ascii="Garamond" w:hAnsi="Garamond"/>
          <w:i/>
        </w:rPr>
        <w:t>M.S.S. proti Belgii a Řecku</w:t>
      </w:r>
      <w:r>
        <w:rPr>
          <w:rFonts w:ascii="Garamond" w:hAnsi="Garamond"/>
        </w:rPr>
        <w:t>, č. </w:t>
      </w:r>
      <w:r w:rsidRPr="001325F6">
        <w:rPr>
          <w:rFonts w:ascii="Garamond" w:hAnsi="Garamond"/>
        </w:rPr>
        <w:t>30696/09)</w:t>
      </w:r>
      <w:r>
        <w:rPr>
          <w:rFonts w:ascii="Garamond" w:hAnsi="Garamond"/>
        </w:rPr>
        <w:t xml:space="preserve">, na kterou vlastně Soudní dvůr navázal (nejen ve věci </w:t>
      </w:r>
      <w:r w:rsidRPr="001C6861">
        <w:rPr>
          <w:rFonts w:ascii="Garamond" w:hAnsi="Garamond"/>
          <w:i/>
        </w:rPr>
        <w:t>N. S. a další</w:t>
      </w:r>
      <w:r>
        <w:rPr>
          <w:rFonts w:ascii="Garamond" w:hAnsi="Garamond"/>
        </w:rPr>
        <w:t xml:space="preserve">), </w:t>
      </w:r>
      <w:r w:rsidRPr="001325F6">
        <w:rPr>
          <w:rFonts w:ascii="Garamond" w:hAnsi="Garamond"/>
        </w:rPr>
        <w:t xml:space="preserve">což se posléze promítlo </w:t>
      </w:r>
      <w:r>
        <w:rPr>
          <w:rFonts w:ascii="Garamond" w:hAnsi="Garamond"/>
        </w:rPr>
        <w:t xml:space="preserve">do </w:t>
      </w:r>
      <w:r w:rsidRPr="001325F6">
        <w:rPr>
          <w:rFonts w:ascii="Garamond" w:hAnsi="Garamond"/>
        </w:rPr>
        <w:t>nařízení Dublin III</w:t>
      </w:r>
      <w:r>
        <w:rPr>
          <w:rFonts w:ascii="Garamond" w:hAnsi="Garamond"/>
        </w:rPr>
        <w:t>; konkrétně se </w:t>
      </w:r>
      <w:r w:rsidRPr="001325F6">
        <w:rPr>
          <w:rFonts w:ascii="Garamond" w:hAnsi="Garamond"/>
        </w:rPr>
        <w:t>jedná o č</w:t>
      </w:r>
      <w:r>
        <w:rPr>
          <w:rFonts w:ascii="Garamond" w:hAnsi="Garamond"/>
        </w:rPr>
        <w:t xml:space="preserve">l. 3 odst. 2 </w:t>
      </w:r>
      <w:r w:rsidRPr="001325F6">
        <w:rPr>
          <w:rFonts w:ascii="Garamond" w:hAnsi="Garamond"/>
        </w:rPr>
        <w:t xml:space="preserve">tohoto přímo použitelného předpisu EU, jenž připouští </w:t>
      </w:r>
      <w:r>
        <w:rPr>
          <w:rFonts w:ascii="Garamond" w:hAnsi="Garamond"/>
          <w:lang w:eastAsia="en-US"/>
        </w:rPr>
        <w:t>existenci tzv. </w:t>
      </w:r>
      <w:r w:rsidRPr="001325F6">
        <w:rPr>
          <w:rFonts w:ascii="Garamond" w:hAnsi="Garamond"/>
          <w:lang w:eastAsia="en-US"/>
        </w:rPr>
        <w:t xml:space="preserve">systémových nedostatků v primárně příslušném členském státě, pokud jde o azylové řízení nebo podmínky přijetí žadatelů v tomto </w:t>
      </w:r>
      <w:r>
        <w:rPr>
          <w:rFonts w:ascii="Garamond" w:hAnsi="Garamond"/>
          <w:lang w:eastAsia="en-US"/>
        </w:rPr>
        <w:t xml:space="preserve">státě, které s sebou mohou nést riziko </w:t>
      </w:r>
      <w:r w:rsidRPr="001325F6">
        <w:rPr>
          <w:rFonts w:ascii="Garamond" w:hAnsi="Garamond"/>
          <w:lang w:eastAsia="en-US"/>
        </w:rPr>
        <w:t xml:space="preserve">nelidského či ponižujícího zacházení ve smyslu čl. 4 Listiny základních práv EU. </w:t>
      </w:r>
      <w:r>
        <w:rPr>
          <w:rFonts w:ascii="Garamond" w:hAnsi="Garamond"/>
          <w:lang w:eastAsia="en-US"/>
        </w:rPr>
        <w:t>P</w:t>
      </w:r>
      <w:r w:rsidRPr="001325F6">
        <w:rPr>
          <w:rFonts w:ascii="Garamond" w:eastAsia="Calibri" w:hAnsi="Garamond" w:cs="Garamond"/>
          <w:lang w:eastAsia="en-US"/>
        </w:rPr>
        <w:t xml:space="preserve">ři </w:t>
      </w:r>
      <w:r>
        <w:rPr>
          <w:rFonts w:ascii="Garamond" w:eastAsia="Calibri" w:hAnsi="Garamond" w:cs="Garamond"/>
          <w:lang w:eastAsia="en-US"/>
        </w:rPr>
        <w:t xml:space="preserve">posouzení </w:t>
      </w:r>
      <w:r w:rsidRPr="001325F6">
        <w:rPr>
          <w:rFonts w:ascii="Garamond" w:eastAsia="Calibri" w:hAnsi="Garamond" w:cs="Garamond"/>
          <w:lang w:eastAsia="en-US"/>
        </w:rPr>
        <w:t xml:space="preserve">překážek </w:t>
      </w:r>
      <w:r w:rsidRPr="001325F6">
        <w:rPr>
          <w:rFonts w:ascii="Garamond" w:eastAsia="Calibri" w:hAnsi="Garamond"/>
          <w:lang w:eastAsia="en-US"/>
        </w:rPr>
        <w:t>předání do jiného členského státu EU v</w:t>
      </w:r>
      <w:r>
        <w:rPr>
          <w:rFonts w:ascii="Garamond" w:eastAsia="Calibri" w:hAnsi="Garamond"/>
          <w:lang w:eastAsia="en-US"/>
        </w:rPr>
        <w:t xml:space="preserve"> rámci tzv. dublinského </w:t>
      </w:r>
      <w:r>
        <w:rPr>
          <w:rFonts w:ascii="Garamond" w:eastAsia="Calibri" w:hAnsi="Garamond"/>
          <w:lang w:eastAsia="en-US"/>
        </w:rPr>
        <w:lastRenderedPageBreak/>
        <w:t xml:space="preserve">systému </w:t>
      </w:r>
      <w:r w:rsidRPr="001325F6">
        <w:rPr>
          <w:rFonts w:ascii="Garamond" w:hAnsi="Garamond"/>
        </w:rPr>
        <w:t xml:space="preserve">nelze </w:t>
      </w:r>
      <w:r>
        <w:rPr>
          <w:rFonts w:ascii="Garamond" w:hAnsi="Garamond"/>
        </w:rPr>
        <w:t xml:space="preserve">navíc </w:t>
      </w:r>
      <w:r w:rsidRPr="001325F6">
        <w:rPr>
          <w:rFonts w:ascii="Garamond" w:hAnsi="Garamond"/>
        </w:rPr>
        <w:t>odhlížet ani od individuální situace cizince a z toho plynoucího rizika porušení čl. 4 Listiny základních práv EU či čl. 3 Úmluvy o ochraně lidských práv a základních svobod</w:t>
      </w:r>
      <w:r>
        <w:rPr>
          <w:rFonts w:ascii="Garamond" w:hAnsi="Garamond"/>
        </w:rPr>
        <w:t xml:space="preserve">; </w:t>
      </w:r>
      <w:r w:rsidRPr="001325F6">
        <w:rPr>
          <w:rFonts w:ascii="Garamond" w:hAnsi="Garamond"/>
        </w:rPr>
        <w:t>srov. rozsudek Evropského soudu pro lidská práva ze dne 4.</w:t>
      </w:r>
      <w:r w:rsidR="00A65698">
        <w:rPr>
          <w:rFonts w:ascii="Garamond" w:hAnsi="Garamond"/>
        </w:rPr>
        <w:t> </w:t>
      </w:r>
      <w:r w:rsidRPr="001325F6">
        <w:rPr>
          <w:rFonts w:ascii="Garamond" w:hAnsi="Garamond"/>
        </w:rPr>
        <w:t>11.</w:t>
      </w:r>
      <w:r w:rsidR="00A65698">
        <w:rPr>
          <w:rFonts w:ascii="Garamond" w:hAnsi="Garamond"/>
        </w:rPr>
        <w:t> </w:t>
      </w:r>
      <w:r w:rsidRPr="001325F6">
        <w:rPr>
          <w:rFonts w:ascii="Garamond" w:hAnsi="Garamond"/>
        </w:rPr>
        <w:t xml:space="preserve">2014, </w:t>
      </w:r>
      <w:r w:rsidRPr="001325F6">
        <w:rPr>
          <w:rFonts w:ascii="Garamond" w:hAnsi="Garamond"/>
          <w:i/>
        </w:rPr>
        <w:t>Tarakhel proti Švýcarsku</w:t>
      </w:r>
      <w:r w:rsidRPr="001325F6">
        <w:rPr>
          <w:rFonts w:ascii="Garamond" w:hAnsi="Garamond"/>
        </w:rPr>
        <w:t xml:space="preserve">, č. 29217/12, </w:t>
      </w:r>
      <w:r>
        <w:rPr>
          <w:rFonts w:ascii="Garamond" w:hAnsi="Garamond"/>
        </w:rPr>
        <w:t xml:space="preserve">nebo </w:t>
      </w:r>
      <w:r w:rsidRPr="001325F6">
        <w:rPr>
          <w:rFonts w:ascii="Garamond" w:hAnsi="Garamond"/>
        </w:rPr>
        <w:t>rozsudek Soudního dvora ze dne 16. 2.</w:t>
      </w:r>
      <w:r w:rsidR="00A65698">
        <w:rPr>
          <w:rFonts w:ascii="Garamond" w:hAnsi="Garamond"/>
        </w:rPr>
        <w:t> </w:t>
      </w:r>
      <w:r w:rsidRPr="001325F6">
        <w:rPr>
          <w:rFonts w:ascii="Garamond" w:hAnsi="Garamond"/>
        </w:rPr>
        <w:t xml:space="preserve">2017, </w:t>
      </w:r>
      <w:r w:rsidRPr="001325F6">
        <w:rPr>
          <w:rFonts w:ascii="Garamond" w:hAnsi="Garamond"/>
          <w:i/>
        </w:rPr>
        <w:t>C. K. a další</w:t>
      </w:r>
      <w:r w:rsidRPr="001325F6">
        <w:rPr>
          <w:rFonts w:ascii="Garamond" w:hAnsi="Garamond"/>
        </w:rPr>
        <w:t>, C-578/16</w:t>
      </w:r>
      <w:r>
        <w:rPr>
          <w:rFonts w:ascii="Garamond" w:hAnsi="Garamond"/>
        </w:rPr>
        <w:t xml:space="preserve">, dle kterého </w:t>
      </w:r>
      <w:r w:rsidRPr="00424912">
        <w:rPr>
          <w:rFonts w:ascii="Garamond" w:hAnsi="Garamond"/>
        </w:rPr>
        <w:t>„</w:t>
      </w:r>
      <w:r w:rsidRPr="00424912">
        <w:rPr>
          <w:rFonts w:ascii="Garamond" w:hAnsi="Garamond"/>
          <w:i/>
        </w:rPr>
        <w:t>přemístění žadatele o azyl v rámci nařízení Dublin III lze provést pouze za podmínek, které vylučují, že toto přemístění s sebou pro dotčenou osobu ponese skutečné riziko, že bude vystavena nelidskému či</w:t>
      </w:r>
      <w:r w:rsidR="00A65698">
        <w:rPr>
          <w:rFonts w:ascii="Garamond" w:hAnsi="Garamond"/>
          <w:i/>
        </w:rPr>
        <w:t> </w:t>
      </w:r>
      <w:r w:rsidRPr="00424912">
        <w:rPr>
          <w:rFonts w:ascii="Garamond" w:hAnsi="Garamond"/>
          <w:i/>
        </w:rPr>
        <w:t>ponižující</w:t>
      </w:r>
      <w:r>
        <w:rPr>
          <w:rFonts w:ascii="Garamond" w:hAnsi="Garamond"/>
          <w:i/>
        </w:rPr>
        <w:t>mu zacházení ve smyslu článku 4 </w:t>
      </w:r>
      <w:r w:rsidRPr="00424912">
        <w:rPr>
          <w:rFonts w:ascii="Garamond" w:hAnsi="Garamond"/>
          <w:i/>
        </w:rPr>
        <w:t>Listiny. V tomto ohledu není možné bez dalšího vyloučit, že</w:t>
      </w:r>
      <w:r w:rsidR="00A65698">
        <w:rPr>
          <w:rFonts w:ascii="Garamond" w:hAnsi="Garamond"/>
          <w:i/>
        </w:rPr>
        <w:t> </w:t>
      </w:r>
      <w:r w:rsidRPr="00424912">
        <w:rPr>
          <w:rFonts w:ascii="Garamond" w:hAnsi="Garamond"/>
          <w:i/>
        </w:rPr>
        <w:t>vzhledem k obzvláště závažnému zdravotnímu stavu žadatele o azyl může jeho přemístění na základě nařízení Dublin</w:t>
      </w:r>
      <w:r>
        <w:rPr>
          <w:rFonts w:ascii="Garamond" w:hAnsi="Garamond"/>
          <w:i/>
        </w:rPr>
        <w:t> III s sebou takové riziko nést</w:t>
      </w:r>
      <w:r w:rsidRPr="00424912">
        <w:rPr>
          <w:rFonts w:ascii="Garamond" w:hAnsi="Garamond"/>
        </w:rPr>
        <w:t>“</w:t>
      </w:r>
      <w:r>
        <w:rPr>
          <w:rFonts w:ascii="Garamond" w:hAnsi="Garamond"/>
        </w:rPr>
        <w:t xml:space="preserve"> (body 65 a 66). </w:t>
      </w:r>
    </w:p>
    <w:p w:rsidR="005B515E" w:rsidRPr="001D3FEC" w:rsidRDefault="005B515E" w:rsidP="005B515E">
      <w:pPr>
        <w:pStyle w:val="Odstavecseseznamem"/>
        <w:rPr>
          <w:highlight w:val="yellow"/>
        </w:rPr>
      </w:pPr>
    </w:p>
    <w:p w:rsidR="005B515E" w:rsidRPr="00AC2CAE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AC2CAE">
        <w:rPr>
          <w:rFonts w:ascii="Garamond" w:hAnsi="Garamond"/>
        </w:rPr>
        <w:t>Dílčí závěr plynoucí ze shora uvedeného tedy je, že přemístění žadatele o mezinárodní ochranu ve smyslu nařízení Dublin III lze provést pouze za situace, kdy příslušný členský stát nebude mít problém – systémově</w:t>
      </w:r>
      <w:r>
        <w:rPr>
          <w:rFonts w:ascii="Garamond" w:hAnsi="Garamond"/>
        </w:rPr>
        <w:t xml:space="preserve"> v obecné rovině, </w:t>
      </w:r>
      <w:r w:rsidRPr="00AC2CAE">
        <w:rPr>
          <w:rFonts w:ascii="Garamond" w:hAnsi="Garamond"/>
        </w:rPr>
        <w:t xml:space="preserve">případně i </w:t>
      </w:r>
      <w:r>
        <w:rPr>
          <w:rFonts w:ascii="Garamond" w:hAnsi="Garamond"/>
        </w:rPr>
        <w:t xml:space="preserve">v rovině </w:t>
      </w:r>
      <w:r w:rsidRPr="00AC2CAE">
        <w:rPr>
          <w:rFonts w:ascii="Garamond" w:hAnsi="Garamond"/>
        </w:rPr>
        <w:t>individuáln</w:t>
      </w:r>
      <w:r>
        <w:rPr>
          <w:rFonts w:ascii="Garamond" w:hAnsi="Garamond"/>
        </w:rPr>
        <w:t>í</w:t>
      </w:r>
      <w:r w:rsidRPr="00AC2CAE">
        <w:rPr>
          <w:rFonts w:ascii="Garamond" w:hAnsi="Garamond"/>
        </w:rPr>
        <w:t xml:space="preserve"> (např. z</w:t>
      </w:r>
      <w:r>
        <w:rPr>
          <w:rFonts w:ascii="Garamond" w:hAnsi="Garamond"/>
        </w:rPr>
        <w:t> </w:t>
      </w:r>
      <w:r w:rsidRPr="00AC2CAE">
        <w:rPr>
          <w:rFonts w:ascii="Garamond" w:hAnsi="Garamond"/>
        </w:rPr>
        <w:t xml:space="preserve">důvodu </w:t>
      </w:r>
      <w:r>
        <w:rPr>
          <w:rFonts w:ascii="Garamond" w:hAnsi="Garamond"/>
        </w:rPr>
        <w:t xml:space="preserve">zvláště </w:t>
      </w:r>
      <w:r w:rsidRPr="00AC2CAE">
        <w:rPr>
          <w:rFonts w:ascii="Garamond" w:hAnsi="Garamond"/>
        </w:rPr>
        <w:t>závažného zdravotního stavu) – se</w:t>
      </w:r>
      <w:r>
        <w:rPr>
          <w:rFonts w:ascii="Garamond" w:hAnsi="Garamond"/>
        </w:rPr>
        <w:t xml:space="preserve"> </w:t>
      </w:r>
      <w:r w:rsidRPr="00AC2CAE">
        <w:rPr>
          <w:rFonts w:ascii="Garamond" w:hAnsi="Garamond"/>
        </w:rPr>
        <w:t>zajištěním alespoň minimálních důstojných podmínek, pokud jde o řízení a o podmínky přijetí dotčeného žadatele. To, že některé členské státy se zajištěním těchto podmínek problém mít mohou či mají, nebylo přitom předmětem rozhodování jen Soudního dvora a Evropského soudu pro lidská práva</w:t>
      </w:r>
      <w:r>
        <w:rPr>
          <w:rFonts w:ascii="Garamond" w:hAnsi="Garamond"/>
        </w:rPr>
        <w:t xml:space="preserve"> (viz výše)</w:t>
      </w:r>
      <w:r w:rsidRPr="00AC2CAE">
        <w:rPr>
          <w:rFonts w:ascii="Garamond" w:hAnsi="Garamond"/>
        </w:rPr>
        <w:t>, ale také Nejvyššího správního soudu</w:t>
      </w:r>
      <w:r>
        <w:rPr>
          <w:rFonts w:ascii="Garamond" w:hAnsi="Garamond"/>
        </w:rPr>
        <w:t xml:space="preserve">; srov. </w:t>
      </w:r>
      <w:r w:rsidRPr="00AC2CAE">
        <w:rPr>
          <w:rFonts w:ascii="Garamond" w:hAnsi="Garamond"/>
        </w:rPr>
        <w:t>rozsudky ze dne 12.</w:t>
      </w:r>
      <w:r w:rsidR="00A65698">
        <w:rPr>
          <w:rFonts w:ascii="Garamond" w:hAnsi="Garamond"/>
        </w:rPr>
        <w:t> </w:t>
      </w:r>
      <w:r w:rsidRPr="00AC2CAE">
        <w:rPr>
          <w:rFonts w:ascii="Garamond" w:hAnsi="Garamond"/>
        </w:rPr>
        <w:t>9.</w:t>
      </w:r>
      <w:r w:rsidR="00A65698">
        <w:rPr>
          <w:rFonts w:ascii="Garamond" w:hAnsi="Garamond"/>
        </w:rPr>
        <w:t> </w:t>
      </w:r>
      <w:r w:rsidRPr="00AC2CAE">
        <w:rPr>
          <w:rFonts w:ascii="Garamond" w:hAnsi="Garamond"/>
        </w:rPr>
        <w:t>2016, č. j. 5 Azs 195/2016</w:t>
      </w:r>
      <w:r w:rsidR="00A65698">
        <w:rPr>
          <w:rFonts w:ascii="Garamond" w:hAnsi="Garamond"/>
        </w:rPr>
        <w:t> </w:t>
      </w:r>
      <w:r>
        <w:rPr>
          <w:rFonts w:ascii="Garamond" w:hAnsi="Garamond"/>
        </w:rPr>
        <w:t>-</w:t>
      </w:r>
      <w:r w:rsidR="00A65698">
        <w:rPr>
          <w:rFonts w:ascii="Garamond" w:hAnsi="Garamond"/>
        </w:rPr>
        <w:t> </w:t>
      </w:r>
      <w:r w:rsidRPr="00AC2CAE">
        <w:rPr>
          <w:rFonts w:ascii="Garamond" w:hAnsi="Garamond"/>
        </w:rPr>
        <w:t>22, a</w:t>
      </w:r>
      <w:r w:rsidR="00A65698">
        <w:rPr>
          <w:rFonts w:ascii="Garamond" w:hAnsi="Garamond"/>
        </w:rPr>
        <w:t> </w:t>
      </w:r>
      <w:r w:rsidRPr="00AC2CAE">
        <w:rPr>
          <w:rFonts w:ascii="Garamond" w:hAnsi="Garamond"/>
        </w:rPr>
        <w:t>ze</w:t>
      </w:r>
      <w:r w:rsidR="00A65698">
        <w:rPr>
          <w:rFonts w:ascii="Garamond" w:hAnsi="Garamond"/>
        </w:rPr>
        <w:t> </w:t>
      </w:r>
      <w:r w:rsidRPr="00AC2CAE">
        <w:rPr>
          <w:rFonts w:ascii="Garamond" w:hAnsi="Garamond"/>
        </w:rPr>
        <w:t>dne 12.</w:t>
      </w:r>
      <w:r w:rsidR="00A65698">
        <w:rPr>
          <w:rFonts w:ascii="Garamond" w:hAnsi="Garamond"/>
        </w:rPr>
        <w:t> </w:t>
      </w:r>
      <w:r w:rsidRPr="00AC2CAE">
        <w:rPr>
          <w:rFonts w:ascii="Garamond" w:hAnsi="Garamond"/>
        </w:rPr>
        <w:t>1.</w:t>
      </w:r>
      <w:r w:rsidR="00A65698">
        <w:rPr>
          <w:rFonts w:ascii="Garamond" w:hAnsi="Garamond"/>
        </w:rPr>
        <w:t> </w:t>
      </w:r>
      <w:r w:rsidRPr="00AC2CAE">
        <w:rPr>
          <w:rFonts w:ascii="Garamond" w:hAnsi="Garamond"/>
        </w:rPr>
        <w:t>2017</w:t>
      </w:r>
      <w:r>
        <w:rPr>
          <w:rFonts w:ascii="Garamond" w:hAnsi="Garamond"/>
        </w:rPr>
        <w:t>, č. j. 5 Azs </w:t>
      </w:r>
      <w:r w:rsidRPr="00AC2CAE">
        <w:rPr>
          <w:rFonts w:ascii="Garamond" w:hAnsi="Garamond"/>
        </w:rPr>
        <w:t>229/2016</w:t>
      </w:r>
      <w:r w:rsidR="00A65698">
        <w:rPr>
          <w:rFonts w:ascii="Garamond" w:hAnsi="Garamond"/>
        </w:rPr>
        <w:t> </w:t>
      </w:r>
      <w:r>
        <w:rPr>
          <w:rFonts w:ascii="Garamond" w:hAnsi="Garamond"/>
        </w:rPr>
        <w:t>-</w:t>
      </w:r>
      <w:r w:rsidR="00A65698">
        <w:rPr>
          <w:rFonts w:ascii="Garamond" w:hAnsi="Garamond"/>
        </w:rPr>
        <w:t> </w:t>
      </w:r>
      <w:r>
        <w:rPr>
          <w:rFonts w:ascii="Garamond" w:hAnsi="Garamond"/>
        </w:rPr>
        <w:t xml:space="preserve">44, č. </w:t>
      </w:r>
      <w:r w:rsidRPr="00AC2CAE">
        <w:rPr>
          <w:rFonts w:ascii="Garamond" w:hAnsi="Garamond"/>
        </w:rPr>
        <w:t>35</w:t>
      </w:r>
      <w:r>
        <w:rPr>
          <w:rFonts w:ascii="Garamond" w:hAnsi="Garamond"/>
        </w:rPr>
        <w:t>60/2017 Sb. </w:t>
      </w:r>
      <w:r w:rsidRPr="00AC2CAE">
        <w:rPr>
          <w:rFonts w:ascii="Garamond" w:hAnsi="Garamond"/>
        </w:rPr>
        <w:t xml:space="preserve">NSS, které </w:t>
      </w:r>
      <w:r>
        <w:rPr>
          <w:rFonts w:ascii="Garamond" w:hAnsi="Garamond"/>
        </w:rPr>
        <w:t>se týkaly přemístění žadatele o </w:t>
      </w:r>
      <w:r w:rsidRPr="00AC2CAE">
        <w:rPr>
          <w:rFonts w:ascii="Garamond" w:hAnsi="Garamond"/>
        </w:rPr>
        <w:t xml:space="preserve">mezinárodní ochranu do Maďarska, resp. Itálie jako členského státu EU příslušného k posouzení žádosti o mezinárodní ochranu, </w:t>
      </w:r>
      <w:r>
        <w:rPr>
          <w:rFonts w:ascii="Garamond" w:hAnsi="Garamond"/>
        </w:rPr>
        <w:t xml:space="preserve">pročež </w:t>
      </w:r>
      <w:r w:rsidRPr="00AC2CAE">
        <w:rPr>
          <w:rFonts w:ascii="Garamond" w:hAnsi="Garamond"/>
        </w:rPr>
        <w:t xml:space="preserve">žalovaný zastavil řízení podle </w:t>
      </w:r>
      <w:r>
        <w:rPr>
          <w:rFonts w:ascii="Garamond" w:hAnsi="Garamond"/>
        </w:rPr>
        <w:t>§ 25 písm. i) ve </w:t>
      </w:r>
      <w:r w:rsidRPr="00AC2CAE">
        <w:rPr>
          <w:rFonts w:ascii="Garamond" w:hAnsi="Garamond"/>
        </w:rPr>
        <w:t>spojení s § 10a odst.</w:t>
      </w:r>
      <w:r>
        <w:rPr>
          <w:rFonts w:ascii="Garamond" w:hAnsi="Garamond"/>
        </w:rPr>
        <w:t xml:space="preserve"> 1 písm. b) zákona o </w:t>
      </w:r>
      <w:r w:rsidRPr="00AC2CAE">
        <w:rPr>
          <w:rFonts w:ascii="Garamond" w:hAnsi="Garamond"/>
        </w:rPr>
        <w:t>azylu, jenž stanoví</w:t>
      </w:r>
      <w:r w:rsidRPr="00D64F11">
        <w:rPr>
          <w:rFonts w:ascii="Garamond" w:hAnsi="Garamond"/>
        </w:rPr>
        <w:t>: „</w:t>
      </w:r>
      <w:r w:rsidRPr="00AC2CAE">
        <w:rPr>
          <w:rFonts w:ascii="Garamond" w:hAnsi="Garamond"/>
          <w:i/>
        </w:rPr>
        <w:t xml:space="preserve">Žádost o udělení mezinárodní ochrany je nepřípustná, </w:t>
      </w:r>
      <w:r>
        <w:rPr>
          <w:rFonts w:ascii="Garamond" w:hAnsi="Garamond"/>
          <w:i/>
        </w:rPr>
        <w:t>je-li k posuzování žádosti o </w:t>
      </w:r>
      <w:r w:rsidRPr="00AC2CAE">
        <w:rPr>
          <w:rFonts w:ascii="Garamond" w:hAnsi="Garamond"/>
          <w:i/>
        </w:rPr>
        <w:t>udělení mezinárodní ochrany příslušný jiný stát vázaný přímo použitelným předpisem Evropské unie</w:t>
      </w:r>
      <w:r w:rsidRPr="00D64F11">
        <w:rPr>
          <w:rFonts w:ascii="Garamond" w:hAnsi="Garamond"/>
        </w:rPr>
        <w:t>“ (</w:t>
      </w:r>
      <w:r>
        <w:rPr>
          <w:rFonts w:ascii="Garamond" w:hAnsi="Garamond"/>
        </w:rPr>
        <w:t xml:space="preserve">nařízením </w:t>
      </w:r>
      <w:r w:rsidRPr="00AC2CAE">
        <w:rPr>
          <w:rFonts w:ascii="Garamond" w:hAnsi="Garamond"/>
        </w:rPr>
        <w:t>Dublin III, pozn. Nejvyššího správního soudu).</w:t>
      </w:r>
    </w:p>
    <w:p w:rsidR="005B515E" w:rsidRPr="00192441" w:rsidRDefault="005B515E" w:rsidP="005B515E">
      <w:pPr>
        <w:pStyle w:val="Odstavecseseznamem"/>
      </w:pPr>
    </w:p>
    <w:p w:rsidR="005B515E" w:rsidRPr="00F376AF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F376AF">
        <w:rPr>
          <w:rFonts w:ascii="Garamond" w:hAnsi="Garamond"/>
        </w:rPr>
        <w:t xml:space="preserve">V nyní souzené věci žalovaný řízení </w:t>
      </w:r>
      <w:r>
        <w:rPr>
          <w:rFonts w:ascii="Garamond" w:hAnsi="Garamond"/>
        </w:rPr>
        <w:t xml:space="preserve">rovněž </w:t>
      </w:r>
      <w:r w:rsidRPr="00F376AF">
        <w:rPr>
          <w:rFonts w:ascii="Garamond" w:hAnsi="Garamond"/>
        </w:rPr>
        <w:t xml:space="preserve">zastavil, nikoli však s odkazem na § 10a odst. 1 písm. b) zákona o azylu, ale § 10a odst. 1 písm. c) zákona o azylu – tedy proto, že jiným členským státem EU již byla stěžovateli mezinárodní ochrana udělena. Naznačený rozdíl mezi oběma důvody, pro které lze shledat žádost o udělení mezinárodní ochrany nepřípustnou a řízení o ní zastavit, je přitom nutno respektovat – a to i z hlediska shora uvedeného principu posuzování nedostatků, o kterých se zmiňuje nařízení Dublin III. </w:t>
      </w:r>
      <w:r>
        <w:rPr>
          <w:rFonts w:ascii="Garamond" w:hAnsi="Garamond"/>
        </w:rPr>
        <w:t>Rozhodne-li totiž žalovaný o </w:t>
      </w:r>
      <w:r w:rsidRPr="00F376AF">
        <w:rPr>
          <w:rFonts w:ascii="Garamond" w:hAnsi="Garamond"/>
        </w:rPr>
        <w:t xml:space="preserve">zastavení řízení z důvodu nepřípustnosti žádosti o udělení mezinárodní ochrany </w:t>
      </w:r>
      <w:r>
        <w:rPr>
          <w:rFonts w:ascii="Garamond" w:hAnsi="Garamond"/>
        </w:rPr>
        <w:t>po</w:t>
      </w:r>
      <w:r w:rsidRPr="00F376AF">
        <w:rPr>
          <w:rFonts w:ascii="Garamond" w:hAnsi="Garamond"/>
        </w:rPr>
        <w:t xml:space="preserve">dle § 10a odst. 1 písm. b) zákona o azylu, je povinen zabývat se v odůvodnění tohoto rozhodnutí vždy také tím, zda přemístění žadatele do jiného členského státu EU není vyloučeno z důvodu </w:t>
      </w:r>
      <w:r w:rsidRPr="00F376AF">
        <w:rPr>
          <w:rFonts w:ascii="Garamond" w:hAnsi="Garamond" w:cs="Segoe UI"/>
        </w:rPr>
        <w:t>existence syst</w:t>
      </w:r>
      <w:r>
        <w:rPr>
          <w:rFonts w:ascii="Garamond" w:hAnsi="Garamond" w:cs="Segoe UI"/>
        </w:rPr>
        <w:t xml:space="preserve">émových </w:t>
      </w:r>
      <w:r w:rsidRPr="00F376AF">
        <w:rPr>
          <w:rFonts w:ascii="Garamond" w:hAnsi="Garamond" w:cs="Segoe UI"/>
        </w:rPr>
        <w:t>nedostatků, pokud jde o azylové řízení a o podmínky přijetí žadatelů v daném členském státě, které s sebou nesou riziko nelidského či ponižujícího zacházení ve smyslu čl. 4 Listiny základních práv EU (čl. 3 odst. 2 druhý pododstavec nař</w:t>
      </w:r>
      <w:r>
        <w:rPr>
          <w:rFonts w:ascii="Garamond" w:hAnsi="Garamond" w:cs="Segoe UI"/>
        </w:rPr>
        <w:t>ízení Dublin III); srov. </w:t>
      </w:r>
      <w:r w:rsidRPr="00F376AF">
        <w:rPr>
          <w:rFonts w:ascii="Garamond" w:hAnsi="Garamond" w:cs="Segoe UI"/>
        </w:rPr>
        <w:t>rozsudek Krajského soudu v Praze ze dne 22.</w:t>
      </w:r>
      <w:r w:rsidR="00A65698">
        <w:rPr>
          <w:rFonts w:ascii="Garamond" w:hAnsi="Garamond" w:cs="Segoe UI"/>
        </w:rPr>
        <w:t> </w:t>
      </w:r>
      <w:r w:rsidRPr="00F376AF">
        <w:rPr>
          <w:rFonts w:ascii="Garamond" w:hAnsi="Garamond" w:cs="Segoe UI"/>
        </w:rPr>
        <w:t>5.</w:t>
      </w:r>
      <w:r w:rsidR="00A65698">
        <w:rPr>
          <w:rFonts w:ascii="Garamond" w:hAnsi="Garamond" w:cs="Segoe UI"/>
        </w:rPr>
        <w:t> </w:t>
      </w:r>
      <w:r w:rsidRPr="00F376AF">
        <w:rPr>
          <w:rFonts w:ascii="Garamond" w:hAnsi="Garamond" w:cs="Segoe UI"/>
        </w:rPr>
        <w:t>201</w:t>
      </w:r>
      <w:r>
        <w:rPr>
          <w:rFonts w:ascii="Garamond" w:hAnsi="Garamond" w:cs="Segoe UI"/>
        </w:rPr>
        <w:t>4, č. j. 45 Az 14/2014</w:t>
      </w:r>
      <w:r w:rsidR="00A65698">
        <w:rPr>
          <w:rFonts w:ascii="Garamond" w:hAnsi="Garamond" w:cs="Segoe UI"/>
        </w:rPr>
        <w:t> </w:t>
      </w:r>
      <w:r>
        <w:rPr>
          <w:rFonts w:ascii="Garamond" w:hAnsi="Garamond" w:cs="Segoe UI"/>
        </w:rPr>
        <w:t>-</w:t>
      </w:r>
      <w:r w:rsidR="00A65698">
        <w:rPr>
          <w:rFonts w:ascii="Garamond" w:hAnsi="Garamond" w:cs="Segoe UI"/>
        </w:rPr>
        <w:t> </w:t>
      </w:r>
      <w:r>
        <w:rPr>
          <w:rFonts w:ascii="Garamond" w:hAnsi="Garamond" w:cs="Segoe UI"/>
        </w:rPr>
        <w:t>31, č. 3102/2014 Sb. </w:t>
      </w:r>
      <w:r w:rsidRPr="00F376AF">
        <w:rPr>
          <w:rFonts w:ascii="Garamond" w:hAnsi="Garamond" w:cs="Segoe UI"/>
        </w:rPr>
        <w:t xml:space="preserve">NSS, </w:t>
      </w:r>
      <w:r>
        <w:rPr>
          <w:rFonts w:ascii="Garamond" w:hAnsi="Garamond" w:cs="Segoe UI"/>
        </w:rPr>
        <w:t>a </w:t>
      </w:r>
      <w:r w:rsidRPr="00F376AF">
        <w:rPr>
          <w:rFonts w:ascii="Garamond" w:hAnsi="Garamond" w:cs="Segoe UI"/>
        </w:rPr>
        <w:t>rozsudek Nejvyššího správního soudu ze dne 25.</w:t>
      </w:r>
      <w:r>
        <w:rPr>
          <w:rFonts w:ascii="Garamond" w:hAnsi="Garamond" w:cs="Segoe UI"/>
        </w:rPr>
        <w:t xml:space="preserve"> 2. 2015, č. j. 1 Azs </w:t>
      </w:r>
      <w:r w:rsidRPr="00F376AF">
        <w:rPr>
          <w:rFonts w:ascii="Garamond" w:hAnsi="Garamond" w:cs="Segoe UI"/>
        </w:rPr>
        <w:t>248/2014 - 27.</w:t>
      </w:r>
    </w:p>
    <w:p w:rsidR="005B515E" w:rsidRPr="00F376AF" w:rsidRDefault="005B515E" w:rsidP="005B515E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5B515E" w:rsidRPr="00522061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F376AF">
        <w:rPr>
          <w:rFonts w:ascii="Garamond" w:hAnsi="Garamond"/>
        </w:rPr>
        <w:t>Nejvyšší správní soud konstatuje, že standard odůvodnění, který judikatura nastavila ve</w:t>
      </w:r>
      <w:r w:rsidR="00A65698">
        <w:rPr>
          <w:rFonts w:ascii="Garamond" w:hAnsi="Garamond"/>
        </w:rPr>
        <w:t> </w:t>
      </w:r>
      <w:r w:rsidRPr="00F376AF">
        <w:rPr>
          <w:rFonts w:ascii="Garamond" w:hAnsi="Garamond"/>
        </w:rPr>
        <w:t>vztahu k rozhodnutím, jimiž se zastavuje řízení z důvodu nepřípust</w:t>
      </w:r>
      <w:r>
        <w:rPr>
          <w:rFonts w:ascii="Garamond" w:hAnsi="Garamond"/>
        </w:rPr>
        <w:t>nosti žádosti podle § 10a odst. </w:t>
      </w:r>
      <w:r w:rsidRPr="00F376AF">
        <w:rPr>
          <w:rFonts w:ascii="Garamond" w:hAnsi="Garamond"/>
        </w:rPr>
        <w:t>1 písm. b) zákona o a</w:t>
      </w:r>
      <w:r>
        <w:rPr>
          <w:rFonts w:ascii="Garamond" w:hAnsi="Garamond"/>
        </w:rPr>
        <w:t xml:space="preserve">zylu, </w:t>
      </w:r>
      <w:r w:rsidRPr="00F376AF">
        <w:rPr>
          <w:rFonts w:ascii="Garamond" w:hAnsi="Garamond"/>
        </w:rPr>
        <w:t>není možné bez dalšího rozšířit a aplikovat též na rozhod</w:t>
      </w:r>
      <w:r>
        <w:rPr>
          <w:rFonts w:ascii="Garamond" w:hAnsi="Garamond"/>
        </w:rPr>
        <w:t>nutí o </w:t>
      </w:r>
      <w:r w:rsidRPr="00F376AF">
        <w:rPr>
          <w:rFonts w:ascii="Garamond" w:hAnsi="Garamond"/>
        </w:rPr>
        <w:t>zastavení řízení z důvodu nepřípustnosti žádosti podle § 10a odst. 1 písm. c) zákona o azylu</w:t>
      </w:r>
      <w:r>
        <w:rPr>
          <w:rFonts w:ascii="Garamond" w:hAnsi="Garamond"/>
        </w:rPr>
        <w:t>; tato rozhodnutí neznamenají navrácení žadatele do členského státu, jenž mu udělil mezinárodní ochranu, na rozdíl od rozhodnutí v tzv. dublinských případech [§ 10a odst. 1 písm. b) zákona o </w:t>
      </w:r>
      <w:r w:rsidRPr="00F376AF">
        <w:rPr>
          <w:rFonts w:ascii="Garamond" w:hAnsi="Garamond"/>
        </w:rPr>
        <w:t>a</w:t>
      </w:r>
      <w:r>
        <w:rPr>
          <w:rFonts w:ascii="Garamond" w:hAnsi="Garamond"/>
        </w:rPr>
        <w:t xml:space="preserve">zylu], kde je výrok o navrácení, resp. přemístění žadatele </w:t>
      </w:r>
      <w:r w:rsidRPr="00326201">
        <w:rPr>
          <w:rFonts w:ascii="Garamond" w:hAnsi="Garamond"/>
          <w:i/>
        </w:rPr>
        <w:t>implicite</w:t>
      </w:r>
      <w:r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>obsažen v deklaratorním určení členského státu, který je příslušný k posouzení žádosti o mezinárodní ochranu. Efekt dublinského mechanismu a jeho dopad do právní sféry žadatele je tedy odlišný, což s sebou nutně nese i potřebu zaměřit se na situaci v členském státě, do kterého je žadatel přemisťován. To</w:t>
      </w:r>
      <w:r w:rsidR="00A65698">
        <w:rPr>
          <w:rFonts w:ascii="Garamond" w:hAnsi="Garamond"/>
        </w:rPr>
        <w:t> </w:t>
      </w:r>
      <w:r>
        <w:rPr>
          <w:rFonts w:ascii="Garamond" w:hAnsi="Garamond"/>
        </w:rPr>
        <w:t>je</w:t>
      </w:r>
      <w:r w:rsidR="00A65698">
        <w:rPr>
          <w:rFonts w:ascii="Garamond" w:hAnsi="Garamond"/>
        </w:rPr>
        <w:t> </w:t>
      </w:r>
      <w:r>
        <w:rPr>
          <w:rFonts w:ascii="Garamond" w:hAnsi="Garamond"/>
        </w:rPr>
        <w:t xml:space="preserve">třeba respektovat a zopakovat, že v </w:t>
      </w:r>
      <w:r w:rsidRPr="00522061">
        <w:rPr>
          <w:rFonts w:ascii="Garamond" w:hAnsi="Garamond"/>
        </w:rPr>
        <w:t xml:space="preserve">případě </w:t>
      </w:r>
      <w:r>
        <w:rPr>
          <w:rFonts w:ascii="Garamond" w:hAnsi="Garamond"/>
        </w:rPr>
        <w:t>§ 10a odst. 1 písm. </w:t>
      </w:r>
      <w:r w:rsidRPr="00522061">
        <w:rPr>
          <w:rFonts w:ascii="Garamond" w:hAnsi="Garamond"/>
        </w:rPr>
        <w:t xml:space="preserve">b) </w:t>
      </w:r>
      <w:r>
        <w:rPr>
          <w:rFonts w:ascii="Garamond" w:hAnsi="Garamond"/>
        </w:rPr>
        <w:t xml:space="preserve">a c) zákona o azylu </w:t>
      </w:r>
      <w:r>
        <w:rPr>
          <w:rFonts w:ascii="Garamond" w:hAnsi="Garamond"/>
        </w:rPr>
        <w:lastRenderedPageBreak/>
        <w:t>se</w:t>
      </w:r>
      <w:r w:rsidR="00A65698">
        <w:rPr>
          <w:rFonts w:ascii="Garamond" w:hAnsi="Garamond"/>
        </w:rPr>
        <w:t> </w:t>
      </w:r>
      <w:r>
        <w:rPr>
          <w:rFonts w:ascii="Garamond" w:hAnsi="Garamond"/>
        </w:rPr>
        <w:t>jedná o </w:t>
      </w:r>
      <w:r w:rsidRPr="00522061">
        <w:rPr>
          <w:rFonts w:ascii="Garamond" w:hAnsi="Garamond"/>
        </w:rPr>
        <w:t>dva různé důvody nepřípustnost</w:t>
      </w:r>
      <w:r>
        <w:rPr>
          <w:rFonts w:ascii="Garamond" w:hAnsi="Garamond"/>
        </w:rPr>
        <w:t>i</w:t>
      </w:r>
      <w:r w:rsidRPr="00522061">
        <w:rPr>
          <w:rFonts w:ascii="Garamond" w:hAnsi="Garamond"/>
        </w:rPr>
        <w:t xml:space="preserve"> žádosti</w:t>
      </w:r>
      <w:r>
        <w:rPr>
          <w:rFonts w:ascii="Garamond" w:hAnsi="Garamond"/>
        </w:rPr>
        <w:t xml:space="preserve"> o </w:t>
      </w:r>
      <w:r w:rsidRPr="00522061">
        <w:rPr>
          <w:rFonts w:ascii="Garamond" w:hAnsi="Garamond"/>
        </w:rPr>
        <w:t xml:space="preserve">udělení mezinárodní ochrany, </w:t>
      </w:r>
      <w:r>
        <w:rPr>
          <w:rFonts w:ascii="Garamond" w:hAnsi="Garamond"/>
        </w:rPr>
        <w:t xml:space="preserve">které nelze směšovat či zaměňovat, </w:t>
      </w:r>
      <w:r w:rsidRPr="00522061">
        <w:rPr>
          <w:rFonts w:ascii="Garamond" w:hAnsi="Garamond"/>
        </w:rPr>
        <w:t>i když oba ve své podstatě vycházejí ze zásady vzájemné důvěry mezi členskými státy EU. Z této zásady jsou připuštěny výjim</w:t>
      </w:r>
      <w:r>
        <w:rPr>
          <w:rFonts w:ascii="Garamond" w:hAnsi="Garamond"/>
        </w:rPr>
        <w:t>ky, které jsou vůči žadatelům o </w:t>
      </w:r>
      <w:r w:rsidRPr="00522061">
        <w:rPr>
          <w:rFonts w:ascii="Garamond" w:hAnsi="Garamond"/>
        </w:rPr>
        <w:t xml:space="preserve">mezinárodní ochranu založeny výslovnou výhradou dle čl. 3 odst. 2 druhého pododstavce nařízení Dublin III. Na osoby, kterým </w:t>
      </w:r>
      <w:r>
        <w:rPr>
          <w:rFonts w:ascii="Garamond" w:hAnsi="Garamond"/>
        </w:rPr>
        <w:t xml:space="preserve">již </w:t>
      </w:r>
      <w:r w:rsidRPr="00522061">
        <w:rPr>
          <w:rFonts w:ascii="Garamond" w:hAnsi="Garamond"/>
        </w:rPr>
        <w:t xml:space="preserve">byla mezinárodní ochrana udělena, se ovšem toto nařízení nevztahuje; nelze proto dovozovat obecnou povinnost žalovaného vždy odůvodnit </w:t>
      </w:r>
      <w:r>
        <w:rPr>
          <w:rFonts w:ascii="Garamond" w:hAnsi="Garamond"/>
        </w:rPr>
        <w:t>i to, jaké podmínky panují v </w:t>
      </w:r>
      <w:r w:rsidRPr="00522061">
        <w:rPr>
          <w:rFonts w:ascii="Garamond" w:hAnsi="Garamond"/>
        </w:rPr>
        <w:t xml:space="preserve">členském státě, který žadateli mezinárodní ochranu udělil. K tomu by musely být dány velmi silné důvody vyplývající z obecné a absolutní povahy zákazu nelidského nebo ponižujícího zacházení. Tento zákaz lze vztáhnout nejen na zacházení s žadateli o udělení mezinárodní ochrany, nýbrž i na zacházení s osobami, které již požívají mezinárodní ochrany, jak potvrdil Soudní dvůr; viz rozsudek ze dne 19. 3. 2019, </w:t>
      </w:r>
      <w:r w:rsidRPr="00522061">
        <w:rPr>
          <w:rFonts w:ascii="Garamond" w:hAnsi="Garamond"/>
          <w:i/>
        </w:rPr>
        <w:t>Jawo</w:t>
      </w:r>
      <w:r w:rsidRPr="00522061">
        <w:rPr>
          <w:rFonts w:ascii="Garamond" w:hAnsi="Garamond"/>
        </w:rPr>
        <w:t>, C-163/17, a rozsudek ze dne 19.</w:t>
      </w:r>
      <w:r w:rsidR="00A65698">
        <w:rPr>
          <w:rFonts w:ascii="Garamond" w:hAnsi="Garamond"/>
        </w:rPr>
        <w:t> </w:t>
      </w:r>
      <w:r w:rsidRPr="00522061">
        <w:rPr>
          <w:rFonts w:ascii="Garamond" w:hAnsi="Garamond"/>
        </w:rPr>
        <w:t>3.</w:t>
      </w:r>
      <w:r w:rsidR="00A65698">
        <w:rPr>
          <w:rFonts w:ascii="Garamond" w:hAnsi="Garamond"/>
        </w:rPr>
        <w:t> </w:t>
      </w:r>
      <w:r w:rsidRPr="00522061">
        <w:rPr>
          <w:rFonts w:ascii="Garamond" w:hAnsi="Garamond"/>
        </w:rPr>
        <w:t xml:space="preserve">2019, </w:t>
      </w:r>
      <w:r w:rsidRPr="00522061">
        <w:rPr>
          <w:rFonts w:ascii="Garamond" w:hAnsi="Garamond"/>
          <w:i/>
        </w:rPr>
        <w:t>Ibrahim a další</w:t>
      </w:r>
      <w:r w:rsidRPr="00522061">
        <w:rPr>
          <w:rFonts w:ascii="Garamond" w:hAnsi="Garamond"/>
        </w:rPr>
        <w:t>, C-297/17, C-318/17, C-319/17 a C-438/17, v němž se Soudní dvůr zabýval mj. výkladem čl. 33 odst. 2 písm. a) procedurální s</w:t>
      </w:r>
      <w:r>
        <w:rPr>
          <w:rFonts w:ascii="Garamond" w:hAnsi="Garamond"/>
        </w:rPr>
        <w:t>měrnice, jemuž odpovídá právě § </w:t>
      </w:r>
      <w:r w:rsidRPr="00522061">
        <w:rPr>
          <w:rFonts w:ascii="Garamond" w:hAnsi="Garamond"/>
        </w:rPr>
        <w:t>10a odst. 1 písm. c) zákona o azylu, a v bodě 87 dospěl k závěru, že je pro účely použití zákazu nelidského či ponižujícího zacházení „</w:t>
      </w:r>
      <w:r w:rsidRPr="00522061">
        <w:rPr>
          <w:rFonts w:ascii="Garamond" w:hAnsi="Garamond"/>
          <w:i/>
        </w:rPr>
        <w:t>irelevantní, zda je dotčená osoba vystavena vážné hrozbě takového zacházení v okamžiku přemísťování, v průběhu azylového řízení, nebo po jeho skončení (obdobně viz rozsudek z dnešního dne, Jawo, C</w:t>
      </w:r>
      <w:r w:rsidRPr="00522061">
        <w:rPr>
          <w:rFonts w:ascii="Garamond" w:hAnsi="Garamond"/>
          <w:i/>
        </w:rPr>
        <w:noBreakHyphen/>
        <w:t>163/17, bod 88)</w:t>
      </w:r>
      <w:r w:rsidRPr="00522061">
        <w:rPr>
          <w:rFonts w:ascii="Garamond" w:hAnsi="Garamond"/>
        </w:rPr>
        <w:t>“.</w:t>
      </w:r>
    </w:p>
    <w:p w:rsidR="005B515E" w:rsidRPr="00F376AF" w:rsidRDefault="005B515E" w:rsidP="005B515E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5B515E" w:rsidRPr="00F376AF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F376AF">
        <w:rPr>
          <w:rFonts w:ascii="Garamond" w:hAnsi="Garamond"/>
        </w:rPr>
        <w:t xml:space="preserve">To znamená, že </w:t>
      </w:r>
      <w:r>
        <w:rPr>
          <w:rFonts w:ascii="Garamond" w:hAnsi="Garamond"/>
        </w:rPr>
        <w:t xml:space="preserve">ani </w:t>
      </w:r>
      <w:r w:rsidRPr="00F376AF">
        <w:rPr>
          <w:rFonts w:ascii="Garamond" w:hAnsi="Garamond"/>
        </w:rPr>
        <w:t>při existenci společného azylového systému a zásady vzájemné důvěry nelze odhlédnout od rizika nelids</w:t>
      </w:r>
      <w:r>
        <w:rPr>
          <w:rFonts w:ascii="Garamond" w:hAnsi="Garamond"/>
        </w:rPr>
        <w:t xml:space="preserve">kého či ponižujícího zacházení s </w:t>
      </w:r>
      <w:r w:rsidRPr="00F376AF">
        <w:rPr>
          <w:rFonts w:ascii="Garamond" w:hAnsi="Garamond"/>
        </w:rPr>
        <w:t xml:space="preserve">osobou požívající mezinárodní ochrany, avšak musí se jednat o riziko skutečné a prokázané. Taková situace </w:t>
      </w:r>
      <w:r>
        <w:rPr>
          <w:rFonts w:ascii="Garamond" w:hAnsi="Garamond"/>
        </w:rPr>
        <w:t xml:space="preserve">však </w:t>
      </w:r>
      <w:r w:rsidRPr="00F376AF">
        <w:rPr>
          <w:rFonts w:ascii="Garamond" w:hAnsi="Garamond"/>
        </w:rPr>
        <w:t xml:space="preserve">v případě stěžovatele nenastala. </w:t>
      </w:r>
    </w:p>
    <w:p w:rsidR="005B515E" w:rsidRPr="00F376AF" w:rsidRDefault="005B515E" w:rsidP="005B515E">
      <w:pPr>
        <w:pStyle w:val="Odstavecseseznamem"/>
      </w:pPr>
    </w:p>
    <w:p w:rsidR="005B515E" w:rsidRPr="00F376AF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F376AF">
        <w:rPr>
          <w:rFonts w:ascii="Garamond" w:hAnsi="Garamond"/>
        </w:rPr>
        <w:t xml:space="preserve">Jedná se o druhotný pohyb stěžovatele, který je již uznaným uprchlíkem, neboť mu byla udělena mezinárodní ochrana formou azylu v Řecku – tedy v jiném členském státě EU, u něhož platí vyvratitelná domněnka, že základní práva stěžovatele zde budou dodržována; viz výše citovaný rozsudek ve věci </w:t>
      </w:r>
      <w:r w:rsidRPr="00F376AF">
        <w:rPr>
          <w:rFonts w:ascii="Garamond" w:hAnsi="Garamond"/>
          <w:i/>
        </w:rPr>
        <w:t>Ibrahim a další</w:t>
      </w:r>
      <w:r w:rsidRPr="00F376AF">
        <w:rPr>
          <w:rFonts w:ascii="Garamond" w:hAnsi="Garamond"/>
        </w:rPr>
        <w:t xml:space="preserve">, z jehož odůvodnění (bod 88) rovněž </w:t>
      </w:r>
      <w:r>
        <w:rPr>
          <w:rFonts w:ascii="Garamond" w:hAnsi="Garamond"/>
        </w:rPr>
        <w:t xml:space="preserve">vyplývá, </w:t>
      </w:r>
      <w:r w:rsidRPr="00F376AF">
        <w:rPr>
          <w:rFonts w:ascii="Garamond" w:hAnsi="Garamond"/>
        </w:rPr>
        <w:t>že</w:t>
      </w:r>
      <w:r w:rsidR="00A65698">
        <w:rPr>
          <w:rFonts w:ascii="Garamond" w:hAnsi="Garamond"/>
        </w:rPr>
        <w:t> </w:t>
      </w:r>
      <w:r w:rsidRPr="00F376AF">
        <w:rPr>
          <w:rFonts w:ascii="Garamond" w:hAnsi="Garamond"/>
        </w:rPr>
        <w:t>primárně musí tuto domněnku vyvracet žadatel: „</w:t>
      </w:r>
      <w:r w:rsidRPr="00F376AF">
        <w:rPr>
          <w:rFonts w:ascii="Garamond" w:hAnsi="Garamond"/>
          <w:i/>
        </w:rPr>
        <w:t>Má-li tedy soud, který rozhoduje o opravném prostředku proti rozhodnutí odmítajícímu novou žádost o mezinárodní ochranu jako nepřípustnou, k dispozici důkazy, které předložil žadatel za účelem prokázání takové hrozby v členském státě, který již poskytl doplňkovou ochranu, je tento soud povinen na základě objektivních, spolehlivých, přesných a řádně aktualizovaných údajů a s ohledem na standard ochrany základních práv zaručený unijním právem posoudit existenci systémových či celoplošných nedostatků nebo nedostatků týkajících se určitých skupin osob (obdobně viz rozsudek z dnešního dne, Jawo, C</w:t>
      </w:r>
      <w:r w:rsidRPr="00F376AF">
        <w:rPr>
          <w:rFonts w:ascii="Garamond" w:hAnsi="Garamond"/>
          <w:i/>
        </w:rPr>
        <w:noBreakHyphen/>
        <w:t>163/17, bod 90 a citovaná judikatura)</w:t>
      </w:r>
      <w:r w:rsidRPr="00F376AF">
        <w:rPr>
          <w:rFonts w:ascii="Garamond" w:hAnsi="Garamond"/>
        </w:rPr>
        <w:t>.“</w:t>
      </w:r>
    </w:p>
    <w:p w:rsidR="005B515E" w:rsidRPr="00F376AF" w:rsidRDefault="005B515E" w:rsidP="005B515E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5B515E" w:rsidRPr="00851DD1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</w:pPr>
      <w:r w:rsidRPr="00F376AF">
        <w:rPr>
          <w:rFonts w:ascii="Garamond" w:hAnsi="Garamond"/>
        </w:rPr>
        <w:t xml:space="preserve">V citované věci </w:t>
      </w:r>
      <w:r w:rsidRPr="00851DD1">
        <w:rPr>
          <w:rFonts w:ascii="Garamond" w:hAnsi="Garamond"/>
          <w:i/>
        </w:rPr>
        <w:t>Ibrahim a další</w:t>
      </w:r>
      <w:r w:rsidRPr="00F376AF">
        <w:rPr>
          <w:rFonts w:ascii="Garamond" w:hAnsi="Garamond"/>
        </w:rPr>
        <w:t xml:space="preserve"> se na Soudní dvůr obrátil německý Spolkový správní soud, který posuzoval jednak případ palestinských žadatelů o mezinárodní ochranu, kteří pobývali v Sýrii, jednak případ ruského žadatele o mezinárodní ochranu, který se prohlašoval za Čečence; v obou případech byly žádosti o udělení mezinárodní ochrany nepřípustné a Spolkový </w:t>
      </w:r>
      <w:r>
        <w:rPr>
          <w:rFonts w:ascii="Garamond" w:hAnsi="Garamond"/>
        </w:rPr>
        <w:t xml:space="preserve">úřad </w:t>
      </w:r>
      <w:r w:rsidRPr="00F376AF">
        <w:rPr>
          <w:rFonts w:ascii="Garamond" w:hAnsi="Garamond"/>
        </w:rPr>
        <w:t xml:space="preserve">pro migraci a uprchlíky je odmítl, aniž je věcně posoudil, protože palestinským žadatelům již byla přiznána doplňková ochrana v Bulharsku a ruskému žadateli byla přiznána doplňková ochrana v Polsku. Stěžovateli sice v Řecku </w:t>
      </w:r>
      <w:r>
        <w:rPr>
          <w:rFonts w:ascii="Garamond" w:hAnsi="Garamond"/>
        </w:rPr>
        <w:t xml:space="preserve">přiznána </w:t>
      </w:r>
      <w:r w:rsidRPr="00F376AF">
        <w:rPr>
          <w:rFonts w:ascii="Garamond" w:hAnsi="Garamond"/>
        </w:rPr>
        <w:t xml:space="preserve">doplňková ochrana nebyla, </w:t>
      </w:r>
      <w:r>
        <w:rPr>
          <w:rFonts w:ascii="Garamond" w:hAnsi="Garamond"/>
        </w:rPr>
        <w:t xml:space="preserve">nicméně </w:t>
      </w:r>
      <w:r w:rsidRPr="00F376AF">
        <w:rPr>
          <w:rFonts w:ascii="Garamond" w:hAnsi="Garamond"/>
        </w:rPr>
        <w:t>byl mu udělen azyl jakožto vyšší a dlouhodobější forma mezinárodní ochrany, což je naprosto klíčové z hlediska j</w:t>
      </w:r>
      <w:r>
        <w:rPr>
          <w:rFonts w:ascii="Garamond" w:hAnsi="Garamond"/>
        </w:rPr>
        <w:t xml:space="preserve">eho </w:t>
      </w:r>
      <w:r w:rsidRPr="00F376AF">
        <w:rPr>
          <w:rFonts w:ascii="Garamond" w:hAnsi="Garamond"/>
        </w:rPr>
        <w:t xml:space="preserve">žádosti o udělení mezinárodní ochrany v České republice. Jak již bylo </w:t>
      </w:r>
      <w:r>
        <w:rPr>
          <w:rFonts w:ascii="Garamond" w:hAnsi="Garamond"/>
        </w:rPr>
        <w:t xml:space="preserve">zmíněno, </w:t>
      </w:r>
      <w:r w:rsidRPr="00F376AF">
        <w:rPr>
          <w:rFonts w:ascii="Garamond" w:hAnsi="Garamond"/>
        </w:rPr>
        <w:t>není účelné vést řízení a věcně posuzovat žádost o udělení mezinárodní ochrany v situaci, kdy již žadateli byla mezinárodní ochrana udělena jiným členským státem, u něhož platí vyvratitelná domněnka dodržování základních práv stěžovatele, včetně zajištění „</w:t>
      </w:r>
      <w:r w:rsidRPr="00851DD1">
        <w:rPr>
          <w:rFonts w:ascii="Garamond" w:hAnsi="Garamond"/>
          <w:i/>
        </w:rPr>
        <w:t>nezbytné sociální péče</w:t>
      </w:r>
      <w:r w:rsidRPr="00F376AF">
        <w:rPr>
          <w:rFonts w:ascii="Garamond" w:hAnsi="Garamond"/>
        </w:rPr>
        <w:t xml:space="preserve">“, jak stanoví čl. 29 kvalifikační směrnice, aniž by ji však </w:t>
      </w:r>
      <w:r>
        <w:rPr>
          <w:rFonts w:ascii="Garamond" w:hAnsi="Garamond"/>
        </w:rPr>
        <w:t>dále definovala.</w:t>
      </w:r>
    </w:p>
    <w:p w:rsidR="005B515E" w:rsidRPr="00F376AF" w:rsidRDefault="005B515E" w:rsidP="005B515E">
      <w:pPr>
        <w:autoSpaceDE w:val="0"/>
        <w:autoSpaceDN w:val="0"/>
        <w:adjustRightInd w:val="0"/>
        <w:jc w:val="both"/>
      </w:pPr>
    </w:p>
    <w:p w:rsidR="005B515E" w:rsidRPr="006E30A2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6E30A2">
        <w:rPr>
          <w:rFonts w:ascii="Garamond" w:hAnsi="Garamond"/>
        </w:rPr>
        <w:t>Je zřejmé, že konkrétní rozsah „</w:t>
      </w:r>
      <w:r w:rsidRPr="006E30A2">
        <w:rPr>
          <w:rFonts w:ascii="Garamond" w:hAnsi="Garamond"/>
          <w:i/>
        </w:rPr>
        <w:t>nezbytné sociální péče</w:t>
      </w:r>
      <w:r w:rsidRPr="006E30A2">
        <w:rPr>
          <w:rFonts w:ascii="Garamond" w:hAnsi="Garamond"/>
        </w:rPr>
        <w:t xml:space="preserve">“ o osoby požívající mezinárodní ochranu není v jednotlivých členských státech stejný, což ovšem nemůže ospravedlnit druhotnou </w:t>
      </w:r>
      <w:r w:rsidRPr="006E30A2">
        <w:rPr>
          <w:rFonts w:ascii="Garamond" w:hAnsi="Garamond"/>
        </w:rPr>
        <w:lastRenderedPageBreak/>
        <w:t>migraci těchto osob napříč Evropou (</w:t>
      </w:r>
      <w:r w:rsidRPr="006E30A2">
        <w:rPr>
          <w:rFonts w:ascii="Garamond" w:hAnsi="Garamond"/>
          <w:i/>
        </w:rPr>
        <w:t>tzv. asylum shopping</w:t>
      </w:r>
      <w:r w:rsidRPr="006E30A2">
        <w:rPr>
          <w:rFonts w:ascii="Garamond" w:hAnsi="Garamond"/>
        </w:rPr>
        <w:t xml:space="preserve">) – ledaže by se ocitly v natolik závažné situaci krajní hmotné nouze, </w:t>
      </w:r>
      <w:r>
        <w:rPr>
          <w:rFonts w:ascii="Garamond" w:hAnsi="Garamond"/>
        </w:rPr>
        <w:t>ji</w:t>
      </w:r>
      <w:r w:rsidRPr="006E30A2">
        <w:rPr>
          <w:rFonts w:ascii="Garamond" w:hAnsi="Garamond"/>
        </w:rPr>
        <w:t>ž by bylo možno stavět na roveň nelidskému či ponižujícímu zacházení; k tomu srov. shora uvedené rozsudky Soudního dvora ve vě</w:t>
      </w:r>
      <w:r>
        <w:rPr>
          <w:rFonts w:ascii="Garamond" w:hAnsi="Garamond"/>
        </w:rPr>
        <w:t xml:space="preserve">cech </w:t>
      </w:r>
      <w:r w:rsidRPr="006E30A2">
        <w:rPr>
          <w:rFonts w:ascii="Garamond" w:hAnsi="Garamond"/>
          <w:i/>
        </w:rPr>
        <w:t>Jawo</w:t>
      </w:r>
      <w:r w:rsidRPr="006E30A2">
        <w:rPr>
          <w:rFonts w:ascii="Garamond" w:hAnsi="Garamond"/>
        </w:rPr>
        <w:t xml:space="preserve"> a </w:t>
      </w:r>
      <w:r w:rsidRPr="006E30A2">
        <w:rPr>
          <w:rFonts w:ascii="Garamond" w:hAnsi="Garamond"/>
          <w:i/>
        </w:rPr>
        <w:t>Ibrahim a další</w:t>
      </w:r>
      <w:r w:rsidRPr="006E30A2">
        <w:rPr>
          <w:rFonts w:ascii="Garamond" w:hAnsi="Garamond"/>
        </w:rPr>
        <w:t>, dle nichž se působnost čl. 4 Listiny základních práv EU, který odpovídá čl. 3 Úmluvy o ochraně lidských práv a základních svobod, vztahuje na nedostatky, které dosahují obzvláště vysoké míry závažnosti, jenž závisí na všech skutkových okolnostech případu. „</w:t>
      </w:r>
      <w:r w:rsidRPr="006E30A2">
        <w:rPr>
          <w:rFonts w:ascii="Garamond" w:hAnsi="Garamond"/>
          <w:i/>
        </w:rPr>
        <w:t>Této obzvláště vysoké míry závažnosti by bylo dosaženo, pokud by se osoba, která je zcela závislá na veřejné podpoře, v důsledku nezájmu orgánů členského státu ocitla nezávisle na své vůli a osobní volbě v situac</w:t>
      </w:r>
      <w:r>
        <w:rPr>
          <w:rFonts w:ascii="Garamond" w:hAnsi="Garamond"/>
          <w:i/>
        </w:rPr>
        <w:t>i krajní hmotné nouze, v níž by </w:t>
      </w:r>
      <w:r w:rsidRPr="006E30A2">
        <w:rPr>
          <w:rFonts w:ascii="Garamond" w:hAnsi="Garamond"/>
          <w:i/>
        </w:rPr>
        <w:t>nemohla uspokojovat své nejzákladnější potřeby, jako je zejména potřeba najíst se, umýt se </w:t>
      </w:r>
      <w:r>
        <w:rPr>
          <w:rFonts w:ascii="Garamond" w:hAnsi="Garamond"/>
          <w:i/>
        </w:rPr>
        <w:t xml:space="preserve">a </w:t>
      </w:r>
      <w:r w:rsidRPr="006E30A2">
        <w:rPr>
          <w:rFonts w:ascii="Garamond" w:hAnsi="Garamond"/>
          <w:i/>
        </w:rPr>
        <w:t xml:space="preserve">ubytovat se, a kterou by bylo poškozováno její tělesné či duševní zdraví nebo v důsledku které by se ocitla v zanedbaném stavu, jenž je v rozporu </w:t>
      </w:r>
      <w:r>
        <w:rPr>
          <w:rFonts w:ascii="Garamond" w:hAnsi="Garamond"/>
          <w:i/>
        </w:rPr>
        <w:t>s lidskou důstojností</w:t>
      </w:r>
      <w:r>
        <w:rPr>
          <w:rFonts w:ascii="Garamond" w:hAnsi="Garamond"/>
        </w:rPr>
        <w:t xml:space="preserve">“ </w:t>
      </w:r>
      <w:r w:rsidRPr="006E30A2">
        <w:rPr>
          <w:rFonts w:ascii="Garamond" w:hAnsi="Garamond"/>
        </w:rPr>
        <w:t>(</w:t>
      </w:r>
      <w:r>
        <w:rPr>
          <w:rFonts w:ascii="Garamond" w:hAnsi="Garamond"/>
        </w:rPr>
        <w:t xml:space="preserve">citace z rozsudku </w:t>
      </w:r>
      <w:r w:rsidRPr="0059321E">
        <w:rPr>
          <w:rFonts w:ascii="Garamond" w:hAnsi="Garamond"/>
          <w:i/>
        </w:rPr>
        <w:t>Ibrahim a další</w:t>
      </w:r>
      <w:r w:rsidRPr="006E30A2">
        <w:rPr>
          <w:rFonts w:ascii="Garamond" w:hAnsi="Garamond"/>
        </w:rPr>
        <w:t>, bod 90).</w:t>
      </w:r>
      <w:r>
        <w:rPr>
          <w:rFonts w:ascii="Garamond" w:hAnsi="Garamond"/>
          <w:i/>
        </w:rPr>
        <w:t xml:space="preserve"> </w:t>
      </w:r>
    </w:p>
    <w:p w:rsidR="005B515E" w:rsidRPr="00F845EE" w:rsidRDefault="005B515E" w:rsidP="005B515E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5B515E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Stěžovatel žádné takové nedostatky nenamítal; k pobytu a životním podmínkám, které by </w:t>
      </w:r>
      <w:r w:rsidRPr="00D5623D">
        <w:rPr>
          <w:rFonts w:ascii="Garamond" w:hAnsi="Garamond"/>
        </w:rPr>
        <w:t>charakterizovaly jeho situaci jako uznaného uprchlíka v</w:t>
      </w:r>
      <w:r>
        <w:rPr>
          <w:rFonts w:ascii="Garamond" w:hAnsi="Garamond"/>
        </w:rPr>
        <w:t xml:space="preserve"> </w:t>
      </w:r>
      <w:r w:rsidRPr="00D5623D">
        <w:rPr>
          <w:rFonts w:ascii="Garamond" w:hAnsi="Garamond"/>
        </w:rPr>
        <w:t>Řecku</w:t>
      </w:r>
      <w:r>
        <w:rPr>
          <w:rFonts w:ascii="Garamond" w:hAnsi="Garamond"/>
        </w:rPr>
        <w:t xml:space="preserve">, </w:t>
      </w:r>
      <w:r w:rsidRPr="00D5623D">
        <w:rPr>
          <w:rFonts w:ascii="Garamond" w:hAnsi="Garamond"/>
        </w:rPr>
        <w:t>se prakticky vůbec nevyjádřil, ačkoli tuto možnost měl – a to nejen v žádosti, ale především při osobním pohovoru, který s ním provedl žalovaný před vydáním rozhodnutí, což považuje Nejvyšší správní soud za velmi podstatné</w:t>
      </w:r>
      <w:r>
        <w:rPr>
          <w:rFonts w:ascii="Garamond" w:hAnsi="Garamond"/>
        </w:rPr>
        <w:t>.</w:t>
      </w:r>
    </w:p>
    <w:p w:rsidR="005B515E" w:rsidRDefault="005B515E" w:rsidP="005B515E">
      <w:pPr>
        <w:pStyle w:val="Odstavecseseznamem"/>
      </w:pPr>
    </w:p>
    <w:p w:rsidR="005B515E" w:rsidRPr="00752E6E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752E6E">
        <w:rPr>
          <w:rFonts w:ascii="Garamond" w:hAnsi="Garamond"/>
        </w:rPr>
        <w:t xml:space="preserve">Provedení osobního pohovoru za účelem zjištění stavu věci, o němž nejsou důvodné pochybnosti, patří </w:t>
      </w:r>
      <w:r>
        <w:rPr>
          <w:rFonts w:ascii="Garamond" w:hAnsi="Garamond"/>
        </w:rPr>
        <w:t>podle § 23 odst. 1 zákona o azylu</w:t>
      </w:r>
      <w:r w:rsidRPr="00752E6E">
        <w:rPr>
          <w:rFonts w:ascii="Garamond" w:hAnsi="Garamond"/>
        </w:rPr>
        <w:t xml:space="preserve"> mezi základní povinnosti správního orgánu</w:t>
      </w:r>
      <w:r>
        <w:rPr>
          <w:rFonts w:ascii="Garamond" w:hAnsi="Garamond"/>
        </w:rPr>
        <w:t xml:space="preserve">; ten </w:t>
      </w:r>
      <w:r w:rsidRPr="00752E6E">
        <w:rPr>
          <w:rFonts w:ascii="Garamond" w:hAnsi="Garamond"/>
        </w:rPr>
        <w:t xml:space="preserve">musí řádně provést pohovor i před tím, než rozhodne o zastavení řízení z důvodu nepřípustnosti žádosti </w:t>
      </w:r>
      <w:r>
        <w:rPr>
          <w:rFonts w:ascii="Garamond" w:hAnsi="Garamond"/>
        </w:rPr>
        <w:t xml:space="preserve">o </w:t>
      </w:r>
      <w:r w:rsidRPr="00752E6E">
        <w:rPr>
          <w:rFonts w:ascii="Garamond" w:hAnsi="Garamond"/>
        </w:rPr>
        <w:t>mezinárodní ochranu, není-li důvodem nepřípustnosti opakovaná žádost anebo nejde o jinou specifickou situaci, kdy není nutné pohovor provádět; v podrobnostech srov.</w:t>
      </w:r>
      <w:r w:rsidR="00A65698">
        <w:rPr>
          <w:rFonts w:ascii="Garamond" w:hAnsi="Garamond"/>
        </w:rPr>
        <w:t> </w:t>
      </w:r>
      <w:r w:rsidRPr="00752E6E">
        <w:rPr>
          <w:rFonts w:ascii="Garamond" w:hAnsi="Garamond"/>
        </w:rPr>
        <w:t>§ 23 odst. 2 a 3 zákona o azylu, jenž transponuje mj. čl. 34 odst. 1 procedurální směrnice, který</w:t>
      </w:r>
      <w:r>
        <w:rPr>
          <w:rFonts w:ascii="Garamond" w:hAnsi="Garamond"/>
        </w:rPr>
        <w:t xml:space="preserve"> až na uvedenou výjimku vyžaduje </w:t>
      </w:r>
      <w:r w:rsidRPr="00752E6E">
        <w:rPr>
          <w:rFonts w:ascii="Garamond" w:hAnsi="Garamond"/>
        </w:rPr>
        <w:t xml:space="preserve">provedení osobního pohovoru </w:t>
      </w:r>
      <w:r>
        <w:rPr>
          <w:rFonts w:ascii="Garamond" w:hAnsi="Garamond"/>
        </w:rPr>
        <w:t>i u </w:t>
      </w:r>
      <w:r w:rsidRPr="00752E6E">
        <w:rPr>
          <w:rFonts w:ascii="Garamond" w:hAnsi="Garamond"/>
        </w:rPr>
        <w:t>nepřípustných žádostí. To</w:t>
      </w:r>
      <w:r>
        <w:rPr>
          <w:rFonts w:ascii="Garamond" w:hAnsi="Garamond"/>
        </w:rPr>
        <w:t xml:space="preserve"> ostatně potvrdil i </w:t>
      </w:r>
      <w:r w:rsidRPr="00752E6E">
        <w:rPr>
          <w:rFonts w:ascii="Garamond" w:hAnsi="Garamond"/>
        </w:rPr>
        <w:t xml:space="preserve">Soudní dvůr, </w:t>
      </w:r>
      <w:r>
        <w:rPr>
          <w:rFonts w:ascii="Garamond" w:hAnsi="Garamond"/>
        </w:rPr>
        <w:t xml:space="preserve">z jehož nedávného </w:t>
      </w:r>
      <w:r w:rsidRPr="00752E6E">
        <w:rPr>
          <w:rFonts w:ascii="Garamond" w:hAnsi="Garamond"/>
        </w:rPr>
        <w:t>rozsudku ze dne 16. 7.</w:t>
      </w:r>
      <w:r w:rsidR="00A65698">
        <w:rPr>
          <w:rFonts w:ascii="Garamond" w:hAnsi="Garamond"/>
        </w:rPr>
        <w:t> </w:t>
      </w:r>
      <w:r w:rsidRPr="00752E6E">
        <w:rPr>
          <w:rFonts w:ascii="Garamond" w:hAnsi="Garamond"/>
        </w:rPr>
        <w:t xml:space="preserve">2020, </w:t>
      </w:r>
      <w:r w:rsidRPr="00752E6E">
        <w:rPr>
          <w:rFonts w:ascii="Garamond" w:hAnsi="Garamond"/>
          <w:i/>
        </w:rPr>
        <w:t>Addis</w:t>
      </w:r>
      <w:r w:rsidRPr="00752E6E">
        <w:rPr>
          <w:rFonts w:ascii="Garamond" w:hAnsi="Garamond"/>
        </w:rPr>
        <w:t>, C-517/17</w:t>
      </w:r>
      <w:r>
        <w:rPr>
          <w:rFonts w:ascii="Garamond" w:hAnsi="Garamond"/>
        </w:rPr>
        <w:t>, se podává</w:t>
      </w:r>
      <w:r w:rsidRPr="00752E6E">
        <w:rPr>
          <w:rFonts w:ascii="Garamond" w:hAnsi="Garamond"/>
        </w:rPr>
        <w:t>, že provedení pohovoru má zásadní význam, neboť je třeba, aby bylo žadateli „</w:t>
      </w:r>
      <w:r w:rsidRPr="00752E6E">
        <w:rPr>
          <w:rFonts w:ascii="Garamond" w:hAnsi="Garamond"/>
          <w:i/>
        </w:rPr>
        <w:t>umožněno osobně vysvětlit v jazyce, který ovládá, své stanovisko týkající se použití důvodu uvedeného v čl. 33 odst. 2 písm. a) této směrnice na jeho osobní situaci</w:t>
      </w:r>
      <w:r w:rsidRPr="00752E6E">
        <w:rPr>
          <w:rFonts w:ascii="Garamond" w:hAnsi="Garamond"/>
        </w:rPr>
        <w:t>“</w:t>
      </w:r>
      <w:r>
        <w:rPr>
          <w:rFonts w:ascii="Garamond" w:hAnsi="Garamond"/>
        </w:rPr>
        <w:t xml:space="preserve"> (bod 73).</w:t>
      </w:r>
    </w:p>
    <w:p w:rsidR="005B515E" w:rsidRDefault="005B515E" w:rsidP="005B515E">
      <w:pPr>
        <w:pStyle w:val="Odstavecseseznamem"/>
      </w:pPr>
    </w:p>
    <w:p w:rsidR="005B515E" w:rsidRPr="00F376AF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F376AF">
        <w:rPr>
          <w:rFonts w:ascii="Garamond" w:hAnsi="Garamond"/>
        </w:rPr>
        <w:t>V</w:t>
      </w:r>
      <w:r>
        <w:rPr>
          <w:rFonts w:ascii="Garamond" w:hAnsi="Garamond"/>
        </w:rPr>
        <w:t xml:space="preserve"> daném případě žalovaný provedl </w:t>
      </w:r>
      <w:r w:rsidRPr="00F376AF">
        <w:rPr>
          <w:rFonts w:ascii="Garamond" w:hAnsi="Garamond"/>
        </w:rPr>
        <w:t>pohovor se stěžovatelem dne 30.</w:t>
      </w:r>
      <w:r w:rsidR="00A65698">
        <w:rPr>
          <w:rFonts w:ascii="Garamond" w:hAnsi="Garamond"/>
        </w:rPr>
        <w:t> </w:t>
      </w:r>
      <w:r w:rsidRPr="00F376AF">
        <w:rPr>
          <w:rFonts w:ascii="Garamond" w:hAnsi="Garamond"/>
        </w:rPr>
        <w:t>9.</w:t>
      </w:r>
      <w:r w:rsidR="00A65698">
        <w:rPr>
          <w:rFonts w:ascii="Garamond" w:hAnsi="Garamond"/>
        </w:rPr>
        <w:t> </w:t>
      </w:r>
      <w:r w:rsidRPr="00F376AF">
        <w:rPr>
          <w:rFonts w:ascii="Garamond" w:hAnsi="Garamond"/>
        </w:rPr>
        <w:t>2019 za</w:t>
      </w:r>
      <w:r w:rsidR="00A65698">
        <w:rPr>
          <w:rFonts w:ascii="Garamond" w:hAnsi="Garamond"/>
        </w:rPr>
        <w:t> </w:t>
      </w:r>
      <w:r w:rsidRPr="00F376AF">
        <w:rPr>
          <w:rFonts w:ascii="Garamond" w:hAnsi="Garamond"/>
        </w:rPr>
        <w:t xml:space="preserve">přítomnosti tlumočníka do arabského jazyka. </w:t>
      </w:r>
      <w:r>
        <w:rPr>
          <w:rFonts w:ascii="Garamond" w:hAnsi="Garamond"/>
        </w:rPr>
        <w:t>Z obsahu sepsaného protokolu o provedeném pohovoru vyplývá, že v</w:t>
      </w:r>
      <w:r w:rsidRPr="00F376AF">
        <w:rPr>
          <w:rFonts w:ascii="Garamond" w:hAnsi="Garamond"/>
        </w:rPr>
        <w:t> úvodu žalovaný seznámil stěžovatele s tím, že mu byl dne 18.</w:t>
      </w:r>
      <w:r w:rsidR="00A65698">
        <w:rPr>
          <w:rFonts w:ascii="Garamond" w:hAnsi="Garamond"/>
        </w:rPr>
        <w:t> </w:t>
      </w:r>
      <w:r w:rsidRPr="00F376AF">
        <w:rPr>
          <w:rFonts w:ascii="Garamond" w:hAnsi="Garamond"/>
        </w:rPr>
        <w:t>6.</w:t>
      </w:r>
      <w:r w:rsidR="00A65698">
        <w:rPr>
          <w:rFonts w:ascii="Garamond" w:hAnsi="Garamond"/>
        </w:rPr>
        <w:t> </w:t>
      </w:r>
      <w:r w:rsidRPr="00F376AF">
        <w:rPr>
          <w:rFonts w:ascii="Garamond" w:hAnsi="Garamond"/>
        </w:rPr>
        <w:t xml:space="preserve">2019 udělen azyl v Řecku, na což stěžovatel reagoval </w:t>
      </w:r>
      <w:r>
        <w:rPr>
          <w:rFonts w:ascii="Garamond" w:hAnsi="Garamond"/>
        </w:rPr>
        <w:t xml:space="preserve">tak, že </w:t>
      </w:r>
      <w:r w:rsidRPr="00F376AF">
        <w:rPr>
          <w:rFonts w:ascii="Garamond" w:hAnsi="Garamond"/>
        </w:rPr>
        <w:t>v Řecku o azyl žádat nechtěl a výslovně uvedl: „</w:t>
      </w:r>
      <w:r w:rsidRPr="00F376AF">
        <w:rPr>
          <w:rFonts w:ascii="Garamond" w:hAnsi="Garamond"/>
          <w:i/>
        </w:rPr>
        <w:t>Nechci řecký azyl</w:t>
      </w:r>
      <w:r w:rsidRPr="00F376AF">
        <w:rPr>
          <w:rFonts w:ascii="Garamond" w:hAnsi="Garamond"/>
        </w:rPr>
        <w:t>“. Na opakovaný dotaz žalovaného, proč si v Řecku nemůže vyřídit doklady, pak stěžovatel sdělil: „</w:t>
      </w:r>
      <w:r w:rsidRPr="00F376AF">
        <w:rPr>
          <w:rFonts w:ascii="Garamond" w:hAnsi="Garamond"/>
          <w:i/>
        </w:rPr>
        <w:t>Jsou tam obtížné podmínky. Každých šest měsíců se musíte hlásit</w:t>
      </w:r>
      <w:r w:rsidRPr="00F376AF">
        <w:rPr>
          <w:rFonts w:ascii="Garamond" w:hAnsi="Garamond"/>
        </w:rPr>
        <w:t xml:space="preserve">“. Přesto na závěr pohovoru připustil, že si zkusí řecké doklady vyřídit. </w:t>
      </w:r>
    </w:p>
    <w:p w:rsidR="005B515E" w:rsidRPr="00F376AF" w:rsidRDefault="005B515E" w:rsidP="005B515E">
      <w:pPr>
        <w:pStyle w:val="Odstavecseseznamem"/>
      </w:pPr>
    </w:p>
    <w:p w:rsidR="005B515E" w:rsidRPr="00D44945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F376AF">
        <w:rPr>
          <w:rFonts w:ascii="Garamond" w:hAnsi="Garamond"/>
        </w:rPr>
        <w:t xml:space="preserve">Z uvedeného je – i přes některá rozporuplná </w:t>
      </w:r>
      <w:r>
        <w:rPr>
          <w:rFonts w:ascii="Garamond" w:hAnsi="Garamond"/>
        </w:rPr>
        <w:t xml:space="preserve">tvrzení </w:t>
      </w:r>
      <w:r w:rsidRPr="00F376AF">
        <w:rPr>
          <w:rFonts w:ascii="Garamond" w:hAnsi="Garamond"/>
        </w:rPr>
        <w:t xml:space="preserve">– </w:t>
      </w:r>
      <w:r>
        <w:rPr>
          <w:rFonts w:ascii="Garamond" w:hAnsi="Garamond"/>
        </w:rPr>
        <w:t xml:space="preserve">jasné, </w:t>
      </w:r>
      <w:r w:rsidRPr="00F376AF">
        <w:rPr>
          <w:rFonts w:ascii="Garamond" w:hAnsi="Garamond"/>
        </w:rPr>
        <w:t>že stěžovatel měl možnost vyjádřit se nejen k tomu, zda mu byla v Řecku udělena mezinárodn</w:t>
      </w:r>
      <w:r>
        <w:rPr>
          <w:rFonts w:ascii="Garamond" w:hAnsi="Garamond"/>
        </w:rPr>
        <w:t>í ochrana ve formě azylu, ale</w:t>
      </w:r>
      <w:r w:rsidR="00A65698">
        <w:rPr>
          <w:rFonts w:ascii="Garamond" w:hAnsi="Garamond"/>
        </w:rPr>
        <w:t> </w:t>
      </w:r>
      <w:r>
        <w:rPr>
          <w:rFonts w:ascii="Garamond" w:hAnsi="Garamond"/>
        </w:rPr>
        <w:t xml:space="preserve">i k dalším skutečnostem </w:t>
      </w:r>
      <w:r w:rsidRPr="00F376AF">
        <w:rPr>
          <w:rFonts w:ascii="Garamond" w:hAnsi="Garamond"/>
        </w:rPr>
        <w:t>svého pobytu v</w:t>
      </w:r>
      <w:r>
        <w:rPr>
          <w:rFonts w:ascii="Garamond" w:hAnsi="Garamond"/>
        </w:rPr>
        <w:t xml:space="preserve"> </w:t>
      </w:r>
      <w:r w:rsidRPr="00F376AF">
        <w:rPr>
          <w:rFonts w:ascii="Garamond" w:hAnsi="Garamond"/>
        </w:rPr>
        <w:t>tomto členském státě, který trval téměř 2 ro</w:t>
      </w:r>
      <w:r>
        <w:rPr>
          <w:rFonts w:ascii="Garamond" w:hAnsi="Garamond"/>
        </w:rPr>
        <w:t xml:space="preserve">ky. </w:t>
      </w:r>
      <w:r w:rsidRPr="00F376AF">
        <w:rPr>
          <w:rFonts w:ascii="Garamond" w:hAnsi="Garamond"/>
        </w:rPr>
        <w:t xml:space="preserve">Stěžovatel do Řecka prokazatelně přicestoval </w:t>
      </w:r>
      <w:r>
        <w:rPr>
          <w:rFonts w:ascii="Garamond" w:hAnsi="Garamond"/>
        </w:rPr>
        <w:t xml:space="preserve">v </w:t>
      </w:r>
      <w:r w:rsidRPr="00F376AF">
        <w:rPr>
          <w:rFonts w:ascii="Garamond" w:hAnsi="Garamond"/>
        </w:rPr>
        <w:t>roce 2017 a na území České republiky vstoupil v roce 2019; z hlediska samotného posouzení věci přitom není podstatné, zda stěžovatel v tom</w:t>
      </w:r>
      <w:r>
        <w:rPr>
          <w:rFonts w:ascii="Garamond" w:hAnsi="Garamond"/>
        </w:rPr>
        <w:t xml:space="preserve">to období pobýval pouze v Řecku, </w:t>
      </w:r>
      <w:r w:rsidRPr="00F376AF">
        <w:rPr>
          <w:rFonts w:ascii="Garamond" w:hAnsi="Garamond"/>
        </w:rPr>
        <w:t>anebo vycestoval do Turecka, jak uvedl ve své žádosti. Podstatné je především to, že v Řecku poměrně dlouho</w:t>
      </w:r>
      <w:r>
        <w:rPr>
          <w:rFonts w:ascii="Garamond" w:hAnsi="Garamond"/>
        </w:rPr>
        <w:t>u</w:t>
      </w:r>
      <w:r w:rsidRPr="00F376AF">
        <w:rPr>
          <w:rFonts w:ascii="Garamond" w:hAnsi="Garamond"/>
        </w:rPr>
        <w:t xml:space="preserve"> dobu pobýval a k</w:t>
      </w:r>
      <w:r>
        <w:rPr>
          <w:rFonts w:ascii="Garamond" w:hAnsi="Garamond"/>
        </w:rPr>
        <w:t xml:space="preserve"> </w:t>
      </w:r>
      <w:r w:rsidRPr="00F376AF">
        <w:rPr>
          <w:rFonts w:ascii="Garamond" w:hAnsi="Garamond"/>
        </w:rPr>
        <w:t xml:space="preserve">tomuto pobytu se vyjádřil jen velmi obecně a v podstatě žádné konkrétní nedostatky, na jejichž základě by bylo možno indikovat vážné riziko nelidského </w:t>
      </w:r>
      <w:r>
        <w:rPr>
          <w:rFonts w:ascii="Garamond" w:hAnsi="Garamond"/>
        </w:rPr>
        <w:t xml:space="preserve">nebo </w:t>
      </w:r>
      <w:r w:rsidRPr="00F376AF">
        <w:rPr>
          <w:rFonts w:ascii="Garamond" w:hAnsi="Garamond"/>
        </w:rPr>
        <w:t>ponižujícího zacházení</w:t>
      </w:r>
      <w:r>
        <w:rPr>
          <w:rFonts w:ascii="Garamond" w:hAnsi="Garamond"/>
        </w:rPr>
        <w:t xml:space="preserve"> (v důsledku krajní hmotné nouze nebo z jiného důvodu)</w:t>
      </w:r>
      <w:r w:rsidRPr="00F376AF">
        <w:rPr>
          <w:rFonts w:ascii="Garamond" w:hAnsi="Garamond"/>
        </w:rPr>
        <w:t>, neuvedl. Naopak, z</w:t>
      </w:r>
      <w:r>
        <w:rPr>
          <w:rFonts w:ascii="Garamond" w:hAnsi="Garamond"/>
        </w:rPr>
        <w:t xml:space="preserve"> </w:t>
      </w:r>
      <w:r w:rsidRPr="00F376AF">
        <w:rPr>
          <w:rFonts w:ascii="Garamond" w:hAnsi="Garamond"/>
        </w:rPr>
        <w:t>jeho vyjádření v závěru pohovoru je patrné, že</w:t>
      </w:r>
      <w:r w:rsidR="00A65698">
        <w:rPr>
          <w:rFonts w:ascii="Garamond" w:hAnsi="Garamond"/>
        </w:rPr>
        <w:t> </w:t>
      </w:r>
      <w:r w:rsidRPr="00F376AF">
        <w:rPr>
          <w:rFonts w:ascii="Garamond" w:hAnsi="Garamond"/>
        </w:rPr>
        <w:t>s</w:t>
      </w:r>
      <w:r>
        <w:rPr>
          <w:rFonts w:ascii="Garamond" w:hAnsi="Garamond"/>
        </w:rPr>
        <w:t> </w:t>
      </w:r>
      <w:r w:rsidRPr="00F376AF">
        <w:rPr>
          <w:rFonts w:ascii="Garamond" w:hAnsi="Garamond"/>
        </w:rPr>
        <w:t>možností svého návratu do Řecka je srozuměn a zkusí si zde vyřídit doklady. A tvrdí-li v kasační stížnosti, že žádné doklady –</w:t>
      </w:r>
      <w:r>
        <w:rPr>
          <w:rFonts w:ascii="Garamond" w:hAnsi="Garamond"/>
        </w:rPr>
        <w:t xml:space="preserve"> např. průkaz azylanta – </w:t>
      </w:r>
      <w:r w:rsidRPr="00D44945">
        <w:rPr>
          <w:rFonts w:ascii="Garamond" w:hAnsi="Garamond"/>
        </w:rPr>
        <w:t xml:space="preserve">mu nebyly vydány, nelze nepřipomenout, že při pohovoru stěžovatel hned v úvodu uvedl, že své doklady (průkaz) nechal </w:t>
      </w:r>
      <w:r w:rsidRPr="00D44945">
        <w:rPr>
          <w:rFonts w:ascii="Garamond" w:hAnsi="Garamond"/>
        </w:rPr>
        <w:lastRenderedPageBreak/>
        <w:t xml:space="preserve">v Řecku. O jaké konkrétní doklady se jednalo, sice není zcela jasné, nicméně potvrzuje to jistou rozpornost tvrzení stěžovatele a vůbec celé jeho kasační stížnosti, v níž popírá, že by v Řecku vědomě požádal o mezinárodní ochranu. </w:t>
      </w:r>
    </w:p>
    <w:p w:rsidR="005B515E" w:rsidRPr="00F376AF" w:rsidRDefault="005B515E" w:rsidP="005B515E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5B515E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F376AF">
        <w:rPr>
          <w:rFonts w:ascii="Garamond" w:hAnsi="Garamond"/>
        </w:rPr>
        <w:t>Z listinných dokladů, které jsou založeny ve správním spise a kterými řecká strana reagovala na žádost žalovaného o přijetí stěžovatele zpět podle nařízení Dublin III, plyne, že</w:t>
      </w:r>
      <w:r w:rsidR="00A65698">
        <w:rPr>
          <w:rFonts w:ascii="Garamond" w:hAnsi="Garamond"/>
        </w:rPr>
        <w:t> </w:t>
      </w:r>
      <w:r w:rsidRPr="00F376AF">
        <w:rPr>
          <w:rFonts w:ascii="Garamond" w:hAnsi="Garamond"/>
        </w:rPr>
        <w:t>stěžovatel v Řecku o mezinárodní ochranu požádal a že jeho žádost byla úspěšná, neboť mu byl udělen azyl dne 18.</w:t>
      </w:r>
      <w:r w:rsidR="00A65698">
        <w:rPr>
          <w:rFonts w:ascii="Garamond" w:hAnsi="Garamond"/>
        </w:rPr>
        <w:t> </w:t>
      </w:r>
      <w:r w:rsidRPr="00F376AF">
        <w:rPr>
          <w:rFonts w:ascii="Garamond" w:hAnsi="Garamond"/>
        </w:rPr>
        <w:t>6.</w:t>
      </w:r>
      <w:r w:rsidR="00A65698">
        <w:rPr>
          <w:rFonts w:ascii="Garamond" w:hAnsi="Garamond"/>
        </w:rPr>
        <w:t> </w:t>
      </w:r>
      <w:r w:rsidRPr="00F376AF">
        <w:rPr>
          <w:rFonts w:ascii="Garamond" w:hAnsi="Garamond"/>
        </w:rPr>
        <w:t>2019. Nejvyšší správní soud nemá důvod o sdělení řecké strany pochybovat, a to tím spíše, že stěžovatel neuvedl nic, co by nasvědčovalo opaku a popíralo možnost zastavit řízení z důvodu nepřípustnosti žádosti podle § 10a odst. 1 písm. c) zákona o </w:t>
      </w:r>
      <w:r>
        <w:rPr>
          <w:rFonts w:ascii="Garamond" w:hAnsi="Garamond"/>
        </w:rPr>
        <w:t xml:space="preserve">azylu </w:t>
      </w:r>
      <w:r w:rsidRPr="00F376AF">
        <w:rPr>
          <w:rFonts w:ascii="Garamond" w:hAnsi="Garamond"/>
        </w:rPr>
        <w:t xml:space="preserve">– tedy proto, že mu byla </w:t>
      </w:r>
      <w:r>
        <w:rPr>
          <w:rFonts w:ascii="Garamond" w:hAnsi="Garamond"/>
        </w:rPr>
        <w:t xml:space="preserve">v Řecku </w:t>
      </w:r>
      <w:r w:rsidRPr="00F376AF">
        <w:rPr>
          <w:rFonts w:ascii="Garamond" w:hAnsi="Garamond"/>
        </w:rPr>
        <w:t xml:space="preserve">udělena mezinárodní ochrana </w:t>
      </w:r>
      <w:r>
        <w:rPr>
          <w:rFonts w:ascii="Garamond" w:hAnsi="Garamond"/>
        </w:rPr>
        <w:t>formou azylu. A</w:t>
      </w:r>
      <w:r w:rsidRPr="00F376AF">
        <w:rPr>
          <w:rFonts w:ascii="Garamond" w:hAnsi="Garamond"/>
        </w:rPr>
        <w:t>ni druhá námitka stěžovatele tedy neobstojí a nic na tom nemění skutečnost, že v rozhodnutí o zastavení řízení se žalovaný nevyslovil k</w:t>
      </w:r>
      <w:r>
        <w:rPr>
          <w:rFonts w:ascii="Garamond" w:hAnsi="Garamond"/>
        </w:rPr>
        <w:t xml:space="preserve"> zacházení a životním podmínkám </w:t>
      </w:r>
      <w:r w:rsidRPr="00F376AF">
        <w:rPr>
          <w:rFonts w:ascii="Garamond" w:hAnsi="Garamond"/>
        </w:rPr>
        <w:t>osob požívajících v Řecku mezinárodní ochrany.</w:t>
      </w:r>
      <w:r>
        <w:rPr>
          <w:rFonts w:ascii="Garamond" w:hAnsi="Garamond"/>
        </w:rPr>
        <w:t xml:space="preserve"> </w:t>
      </w:r>
    </w:p>
    <w:p w:rsidR="005B515E" w:rsidRDefault="005B515E" w:rsidP="005B515E"/>
    <w:p w:rsidR="005B515E" w:rsidRPr="007678A5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7678A5">
        <w:rPr>
          <w:rFonts w:ascii="Garamond" w:hAnsi="Garamond"/>
        </w:rPr>
        <w:t xml:space="preserve">Stěžovatel v tomto ohledu nic konkrétního netvrdil a žádné důkazy za účelem prokázání hrozby nelidského či ponižujícího zacházení v Řecku v důsledku krajní hmotné nouze nebo jiné </w:t>
      </w:r>
      <w:r>
        <w:rPr>
          <w:rFonts w:ascii="Garamond" w:hAnsi="Garamond"/>
        </w:rPr>
        <w:t xml:space="preserve">zvlášť závažné </w:t>
      </w:r>
      <w:r w:rsidRPr="007678A5">
        <w:rPr>
          <w:rFonts w:ascii="Garamond" w:hAnsi="Garamond"/>
        </w:rPr>
        <w:t>situace</w:t>
      </w:r>
      <w:r>
        <w:rPr>
          <w:rFonts w:ascii="Garamond" w:hAnsi="Garamond"/>
        </w:rPr>
        <w:t xml:space="preserve"> </w:t>
      </w:r>
      <w:r w:rsidRPr="007678A5">
        <w:rPr>
          <w:rFonts w:ascii="Garamond" w:hAnsi="Garamond"/>
        </w:rPr>
        <w:t>nepředložil – a to nejen v průběhu celého správního řízení, kdy s ním byl proveden i osobní pohovor, ale ani v řízení před krajským soudem. S ohledem na tuto pasivitu stěžovatele a na zásadu vzájemné důvěry členských států tudíž nebylo nezbytné, aby se žalovaný výslovně zabýval v odůvodnění svého rozhodnutí tím, jaké jsou podmínky uznaných uprchlíků v</w:t>
      </w:r>
      <w:r>
        <w:rPr>
          <w:rFonts w:ascii="Garamond" w:hAnsi="Garamond"/>
        </w:rPr>
        <w:t> </w:t>
      </w:r>
      <w:r w:rsidRPr="007678A5">
        <w:rPr>
          <w:rFonts w:ascii="Garamond" w:hAnsi="Garamond"/>
        </w:rPr>
        <w:t>Řecku a zda s sebou nenesou riziko porušení zákazu nelidského či ponižujícího zacházení (čl.</w:t>
      </w:r>
      <w:r w:rsidR="00A65698">
        <w:rPr>
          <w:rFonts w:ascii="Garamond" w:hAnsi="Garamond"/>
        </w:rPr>
        <w:t> </w:t>
      </w:r>
      <w:r w:rsidRPr="007678A5">
        <w:rPr>
          <w:rFonts w:ascii="Garamond" w:hAnsi="Garamond"/>
        </w:rPr>
        <w:t>4</w:t>
      </w:r>
      <w:r w:rsidR="00A65698">
        <w:rPr>
          <w:rFonts w:ascii="Garamond" w:hAnsi="Garamond"/>
        </w:rPr>
        <w:t> </w:t>
      </w:r>
      <w:r w:rsidRPr="007678A5">
        <w:rPr>
          <w:rFonts w:ascii="Garamond" w:hAnsi="Garamond"/>
        </w:rPr>
        <w:t>Listiny základních práv EU).</w:t>
      </w:r>
    </w:p>
    <w:p w:rsidR="005B515E" w:rsidRDefault="005B515E" w:rsidP="005B515E"/>
    <w:p w:rsidR="005B515E" w:rsidRPr="00901DD2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901DD2">
        <w:rPr>
          <w:rFonts w:ascii="Garamond" w:hAnsi="Garamond"/>
        </w:rPr>
        <w:t>Na základě obecné a absolutní povahy zákazu nelidského či ponižujícího zacházení je</w:t>
      </w:r>
      <w:r w:rsidR="00A65698">
        <w:rPr>
          <w:rFonts w:ascii="Garamond" w:hAnsi="Garamond"/>
        </w:rPr>
        <w:t> </w:t>
      </w:r>
      <w:r w:rsidRPr="00901DD2">
        <w:rPr>
          <w:rFonts w:ascii="Garamond" w:hAnsi="Garamond"/>
        </w:rPr>
        <w:t xml:space="preserve">však nutno poznamenat, že žalovaný je povinen vždy a za každých okolností zvažovat a eliminovat riziko porušení tohoto zákazu a v případě existence jakýchkoli důvodných pochybností nesmí vypořádání této otázky v odůvodnění svého rozhodnutí opomenout. Tyto pochybnosti mohou vyvstat na základě různých </w:t>
      </w:r>
      <w:r>
        <w:rPr>
          <w:rFonts w:ascii="Garamond" w:hAnsi="Garamond"/>
        </w:rPr>
        <w:t xml:space="preserve">okolností </w:t>
      </w:r>
      <w:r w:rsidRPr="00901DD2">
        <w:rPr>
          <w:rFonts w:ascii="Garamond" w:hAnsi="Garamond"/>
        </w:rPr>
        <w:t>– zpravidla půjde o </w:t>
      </w:r>
      <w:r>
        <w:rPr>
          <w:rFonts w:ascii="Garamond" w:hAnsi="Garamond"/>
        </w:rPr>
        <w:t xml:space="preserve">výjimečné okolnosti podmíněné individuální situací žadatele a </w:t>
      </w:r>
      <w:r w:rsidRPr="00901DD2">
        <w:rPr>
          <w:rFonts w:ascii="Garamond" w:hAnsi="Garamond"/>
        </w:rPr>
        <w:t xml:space="preserve">poznatky </w:t>
      </w:r>
      <w:r>
        <w:rPr>
          <w:rFonts w:ascii="Garamond" w:hAnsi="Garamond"/>
        </w:rPr>
        <w:t xml:space="preserve">žalovaného z </w:t>
      </w:r>
      <w:r w:rsidRPr="00901DD2">
        <w:rPr>
          <w:rFonts w:ascii="Garamond" w:hAnsi="Garamond"/>
        </w:rPr>
        <w:t>jeho úřední činnosti či</w:t>
      </w:r>
      <w:r w:rsidR="00A65698">
        <w:rPr>
          <w:rFonts w:ascii="Garamond" w:hAnsi="Garamond"/>
        </w:rPr>
        <w:t> </w:t>
      </w:r>
      <w:r>
        <w:rPr>
          <w:rFonts w:ascii="Garamond" w:hAnsi="Garamond"/>
        </w:rPr>
        <w:t xml:space="preserve">všeobecně </w:t>
      </w:r>
      <w:r w:rsidRPr="00901DD2">
        <w:rPr>
          <w:rFonts w:ascii="Garamond" w:hAnsi="Garamond"/>
        </w:rPr>
        <w:t>známé skutečnosti vztahující se k</w:t>
      </w:r>
      <w:r>
        <w:rPr>
          <w:rFonts w:ascii="Garamond" w:hAnsi="Garamond"/>
        </w:rPr>
        <w:t xml:space="preserve"> </w:t>
      </w:r>
      <w:r w:rsidRPr="00901DD2">
        <w:rPr>
          <w:rFonts w:ascii="Garamond" w:hAnsi="Garamond"/>
        </w:rPr>
        <w:t xml:space="preserve">danému státu. V případě Řecka </w:t>
      </w:r>
      <w:r>
        <w:rPr>
          <w:rFonts w:ascii="Garamond" w:hAnsi="Garamond"/>
        </w:rPr>
        <w:t>by se </w:t>
      </w:r>
      <w:r w:rsidRPr="00901DD2">
        <w:rPr>
          <w:rFonts w:ascii="Garamond" w:hAnsi="Garamond"/>
        </w:rPr>
        <w:t>takové pochybnosti jistě nabízely v období do roku 2016, kdy řecký azylový systém díky nesmírnému migračnímu tlaku na jižní (mořské) hranici EU vykazoval zásadní nedostatky, na kterých byla založena i výše citovaná judikatura Soudního dvora (</w:t>
      </w:r>
      <w:r>
        <w:rPr>
          <w:rFonts w:ascii="Garamond" w:hAnsi="Garamond"/>
          <w:i/>
        </w:rPr>
        <w:t>N. S. </w:t>
      </w:r>
      <w:r w:rsidRPr="00901DD2">
        <w:rPr>
          <w:rFonts w:ascii="Garamond" w:hAnsi="Garamond"/>
          <w:i/>
        </w:rPr>
        <w:t>a další</w:t>
      </w:r>
      <w:r>
        <w:rPr>
          <w:rFonts w:ascii="Garamond" w:hAnsi="Garamond"/>
        </w:rPr>
        <w:t>, C-411/10 a C-493/10) a </w:t>
      </w:r>
      <w:r w:rsidRPr="00901DD2">
        <w:rPr>
          <w:rFonts w:ascii="Garamond" w:hAnsi="Garamond"/>
        </w:rPr>
        <w:t>Evropského soudu pro lidská práva (</w:t>
      </w:r>
      <w:r w:rsidRPr="00901DD2">
        <w:rPr>
          <w:rFonts w:ascii="Garamond" w:hAnsi="Garamond"/>
          <w:i/>
        </w:rPr>
        <w:t>M.S.S. proti Belgii a Řecku</w:t>
      </w:r>
      <w:r>
        <w:rPr>
          <w:rFonts w:ascii="Garamond" w:hAnsi="Garamond"/>
        </w:rPr>
        <w:t>, č. </w:t>
      </w:r>
      <w:r w:rsidRPr="00901DD2">
        <w:rPr>
          <w:rFonts w:ascii="Garamond" w:hAnsi="Garamond"/>
        </w:rPr>
        <w:t>30696/09). Nicméně od</w:t>
      </w:r>
      <w:r w:rsidR="00A65698">
        <w:rPr>
          <w:rFonts w:ascii="Garamond" w:hAnsi="Garamond"/>
        </w:rPr>
        <w:t> </w:t>
      </w:r>
      <w:r w:rsidRPr="00901DD2">
        <w:rPr>
          <w:rFonts w:ascii="Garamond" w:hAnsi="Garamond"/>
        </w:rPr>
        <w:t>té</w:t>
      </w:r>
      <w:r w:rsidR="00A65698">
        <w:rPr>
          <w:rFonts w:ascii="Garamond" w:hAnsi="Garamond"/>
        </w:rPr>
        <w:t> </w:t>
      </w:r>
      <w:r w:rsidRPr="00901DD2">
        <w:rPr>
          <w:rFonts w:ascii="Garamond" w:hAnsi="Garamond"/>
        </w:rPr>
        <w:t xml:space="preserve">doby Řecko dosáhlo určitého </w:t>
      </w:r>
      <w:r w:rsidRPr="00901DD2">
        <w:rPr>
          <w:rFonts w:ascii="Garamond" w:eastAsia="Calibri" w:hAnsi="Garamond" w:cs="Garamond-Italic"/>
          <w:iCs/>
          <w:lang w:eastAsia="en-US"/>
        </w:rPr>
        <w:t xml:space="preserve">pokroku a postupně došlo </w:t>
      </w:r>
      <w:r>
        <w:rPr>
          <w:rFonts w:ascii="Garamond" w:eastAsia="Calibri" w:hAnsi="Garamond" w:cs="Garamond-Italic"/>
          <w:iCs/>
          <w:lang w:eastAsia="en-US"/>
        </w:rPr>
        <w:t>i k </w:t>
      </w:r>
      <w:r w:rsidRPr="00901DD2">
        <w:rPr>
          <w:rFonts w:ascii="Garamond" w:eastAsia="Calibri" w:hAnsi="Garamond" w:cs="Garamond-Italic"/>
          <w:iCs/>
          <w:lang w:eastAsia="en-US"/>
        </w:rPr>
        <w:t>obnovení přemisťování do</w:t>
      </w:r>
      <w:r w:rsidR="00A65698">
        <w:rPr>
          <w:rFonts w:ascii="Garamond" w:eastAsia="Calibri" w:hAnsi="Garamond" w:cs="Garamond-Italic"/>
          <w:iCs/>
          <w:lang w:eastAsia="en-US"/>
        </w:rPr>
        <w:t> </w:t>
      </w:r>
      <w:r w:rsidRPr="00901DD2">
        <w:rPr>
          <w:rFonts w:ascii="Garamond" w:eastAsia="Calibri" w:hAnsi="Garamond" w:cs="Garamond-Italic"/>
          <w:iCs/>
          <w:lang w:eastAsia="en-US"/>
        </w:rPr>
        <w:t xml:space="preserve">Řecka </w:t>
      </w:r>
      <w:r>
        <w:rPr>
          <w:rFonts w:ascii="Garamond" w:eastAsia="Calibri" w:hAnsi="Garamond" w:cs="Garamond-Italic"/>
          <w:iCs/>
          <w:lang w:eastAsia="en-US"/>
        </w:rPr>
        <w:t>po</w:t>
      </w:r>
      <w:r w:rsidRPr="00901DD2">
        <w:rPr>
          <w:rFonts w:ascii="Garamond" w:eastAsia="Calibri" w:hAnsi="Garamond" w:cs="Garamond-Italic"/>
          <w:iCs/>
          <w:lang w:eastAsia="en-US"/>
        </w:rPr>
        <w:t>dle nařízení Dublin III; viz např. rozsudek Nejvyššího správního soudu ze dne 17. </w:t>
      </w:r>
      <w:r>
        <w:rPr>
          <w:rFonts w:ascii="Garamond" w:eastAsia="Calibri" w:hAnsi="Garamond" w:cs="Garamond-Italic"/>
          <w:iCs/>
          <w:lang w:eastAsia="en-US"/>
        </w:rPr>
        <w:t>10.</w:t>
      </w:r>
      <w:r w:rsidR="00A65698">
        <w:rPr>
          <w:rFonts w:ascii="Garamond" w:eastAsia="Calibri" w:hAnsi="Garamond" w:cs="Garamond-Italic"/>
          <w:iCs/>
          <w:lang w:eastAsia="en-US"/>
        </w:rPr>
        <w:t> </w:t>
      </w:r>
      <w:r>
        <w:rPr>
          <w:rFonts w:ascii="Garamond" w:eastAsia="Calibri" w:hAnsi="Garamond" w:cs="Garamond-Italic"/>
          <w:iCs/>
          <w:lang w:eastAsia="en-US"/>
        </w:rPr>
        <w:t>2019, č. </w:t>
      </w:r>
      <w:r w:rsidRPr="00901DD2">
        <w:rPr>
          <w:rFonts w:ascii="Garamond" w:eastAsia="Calibri" w:hAnsi="Garamond" w:cs="Garamond-Italic"/>
          <w:iCs/>
          <w:lang w:eastAsia="en-US"/>
        </w:rPr>
        <w:t>j. 4 Azs 153/2019</w:t>
      </w:r>
      <w:r w:rsidR="00A65698">
        <w:rPr>
          <w:rFonts w:ascii="Garamond" w:eastAsia="Calibri" w:hAnsi="Garamond" w:cs="Garamond-Italic"/>
          <w:iCs/>
          <w:lang w:eastAsia="en-US"/>
        </w:rPr>
        <w:t> </w:t>
      </w:r>
      <w:r w:rsidRPr="00901DD2">
        <w:rPr>
          <w:rFonts w:ascii="Garamond" w:eastAsia="Calibri" w:hAnsi="Garamond" w:cs="Garamond-Italic"/>
          <w:iCs/>
          <w:lang w:eastAsia="en-US"/>
        </w:rPr>
        <w:t>-</w:t>
      </w:r>
      <w:r w:rsidR="00A65698">
        <w:rPr>
          <w:rFonts w:ascii="Garamond" w:eastAsia="Calibri" w:hAnsi="Garamond" w:cs="Garamond-Italic"/>
          <w:iCs/>
          <w:lang w:eastAsia="en-US"/>
        </w:rPr>
        <w:t> </w:t>
      </w:r>
      <w:r w:rsidRPr="00901DD2">
        <w:rPr>
          <w:rFonts w:ascii="Garamond" w:eastAsia="Calibri" w:hAnsi="Garamond" w:cs="Garamond-Italic"/>
          <w:iCs/>
          <w:lang w:eastAsia="en-US"/>
        </w:rPr>
        <w:t xml:space="preserve">30, v němž je mj. odkazováno na </w:t>
      </w:r>
      <w:r w:rsidRPr="00901DD2">
        <w:rPr>
          <w:rFonts w:ascii="Garamond" w:hAnsi="Garamond"/>
        </w:rPr>
        <w:t>Doporučení Komise (EU) 2016/2256 ze dne 8.</w:t>
      </w:r>
      <w:r w:rsidR="00A65698">
        <w:rPr>
          <w:rFonts w:ascii="Garamond" w:hAnsi="Garamond"/>
        </w:rPr>
        <w:t> </w:t>
      </w:r>
      <w:r w:rsidRPr="00901DD2">
        <w:rPr>
          <w:rFonts w:ascii="Garamond" w:hAnsi="Garamond"/>
        </w:rPr>
        <w:t>12.</w:t>
      </w:r>
      <w:r w:rsidR="00A65698">
        <w:rPr>
          <w:rFonts w:ascii="Garamond" w:hAnsi="Garamond"/>
        </w:rPr>
        <w:t> </w:t>
      </w:r>
      <w:r w:rsidRPr="00901DD2">
        <w:rPr>
          <w:rFonts w:ascii="Garamond" w:hAnsi="Garamond"/>
        </w:rPr>
        <w:t>2016, určeného členským státům o obnovení přemisťování do Řecka podle nařízení Dublin III, které v bodě (34) uvádí, „</w:t>
      </w:r>
      <w:r w:rsidRPr="00901DD2">
        <w:rPr>
          <w:rFonts w:ascii="Garamond" w:hAnsi="Garamond"/>
          <w:i/>
        </w:rPr>
        <w:t>aby obnovení přemisťování probíhalo postupně a</w:t>
      </w:r>
      <w:r w:rsidR="00A65698">
        <w:rPr>
          <w:rFonts w:ascii="Garamond" w:hAnsi="Garamond"/>
          <w:i/>
        </w:rPr>
        <w:t> </w:t>
      </w:r>
      <w:r w:rsidRPr="00901DD2">
        <w:rPr>
          <w:rFonts w:ascii="Garamond" w:hAnsi="Garamond"/>
          <w:i/>
        </w:rPr>
        <w:t>na</w:t>
      </w:r>
      <w:r w:rsidR="00A65698">
        <w:rPr>
          <w:rFonts w:ascii="Garamond" w:hAnsi="Garamond"/>
          <w:i/>
        </w:rPr>
        <w:t> </w:t>
      </w:r>
      <w:r w:rsidRPr="00901DD2">
        <w:rPr>
          <w:rFonts w:ascii="Garamond" w:hAnsi="Garamond"/>
          <w:i/>
        </w:rPr>
        <w:t>základě individuálních záruk s přihlédnutím ke kapacitám pro přijímání a vyřizování žádostí v souladu s příslušnými právními předpisy EU a s ohledem na stávající nevhodné zacházení s určitými kategoriemi osob, zejména zranitelnými žadateli včetně nezletilých osob bez doprovodu“.</w:t>
      </w:r>
    </w:p>
    <w:p w:rsidR="005B515E" w:rsidRPr="0099499B" w:rsidRDefault="005B515E" w:rsidP="005B515E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5B515E" w:rsidRPr="005A5169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263064">
        <w:rPr>
          <w:rFonts w:ascii="Garamond" w:hAnsi="Garamond"/>
        </w:rPr>
        <w:t>V případě stěžovatele se o přemístění do Řecka nejedná, nicméně závěry o zlepšení situace řeckého azylového systému je možno obecně vztáhnout i na jeho současnou situaci jako</w:t>
      </w:r>
      <w:r w:rsidR="00A65698">
        <w:rPr>
          <w:rFonts w:ascii="Garamond" w:hAnsi="Garamond"/>
        </w:rPr>
        <w:t>  </w:t>
      </w:r>
      <w:r w:rsidRPr="00263064">
        <w:rPr>
          <w:rFonts w:ascii="Garamond" w:hAnsi="Garamond"/>
        </w:rPr>
        <w:t>uznaného uprchlíka s tím, že u těchto osob není všeobecně znám</w:t>
      </w:r>
      <w:r>
        <w:rPr>
          <w:rFonts w:ascii="Garamond" w:hAnsi="Garamond"/>
        </w:rPr>
        <w:t>ou skutečností, že</w:t>
      </w:r>
      <w:r w:rsidR="00A65698">
        <w:rPr>
          <w:rFonts w:ascii="Garamond" w:hAnsi="Garamond"/>
        </w:rPr>
        <w:t> </w:t>
      </w:r>
      <w:r>
        <w:rPr>
          <w:rFonts w:ascii="Garamond" w:hAnsi="Garamond"/>
        </w:rPr>
        <w:t xml:space="preserve">by se v důsledku nezájmu uvedeného </w:t>
      </w:r>
      <w:r w:rsidRPr="00263064">
        <w:rPr>
          <w:rFonts w:ascii="Garamond" w:hAnsi="Garamond"/>
        </w:rPr>
        <w:t xml:space="preserve">členského státu nezávisle na své vůli </w:t>
      </w:r>
      <w:r>
        <w:rPr>
          <w:rFonts w:ascii="Garamond" w:hAnsi="Garamond"/>
        </w:rPr>
        <w:t xml:space="preserve">a osobní volbě ocitly v situaci </w:t>
      </w:r>
      <w:r w:rsidRPr="00263064">
        <w:rPr>
          <w:rFonts w:ascii="Garamond" w:hAnsi="Garamond"/>
        </w:rPr>
        <w:t>silné materiální deprivace dosahující úrovně porušení čl. 4 Listiny základních práv EU. Současně s ohledem na individuální profil stěžovatele lze říci, že zde nejsou zřejmé ani žádné okolnosti, které by jej činily zranitelným</w:t>
      </w:r>
      <w:r>
        <w:rPr>
          <w:rFonts w:ascii="Garamond" w:hAnsi="Garamond"/>
        </w:rPr>
        <w:t xml:space="preserve">. Jde o zdravého </w:t>
      </w:r>
      <w:r w:rsidRPr="00263064">
        <w:rPr>
          <w:rFonts w:ascii="Garamond" w:hAnsi="Garamond"/>
        </w:rPr>
        <w:t xml:space="preserve">mladého muže ve věku 21 let, který </w:t>
      </w:r>
      <w:r w:rsidRPr="00263064">
        <w:rPr>
          <w:rFonts w:ascii="Garamond" w:hAnsi="Garamond"/>
        </w:rPr>
        <w:lastRenderedPageBreak/>
        <w:t xml:space="preserve">nevyživuje jiné osoby a sám o sebe se může v dostatečné míře postarat. To </w:t>
      </w:r>
      <w:r>
        <w:rPr>
          <w:rFonts w:ascii="Garamond" w:hAnsi="Garamond"/>
        </w:rPr>
        <w:t>ostatně dokládá i </w:t>
      </w:r>
      <w:r w:rsidRPr="00263064">
        <w:rPr>
          <w:rFonts w:ascii="Garamond" w:hAnsi="Garamond"/>
        </w:rPr>
        <w:t xml:space="preserve">skutečnost, že před svým příjezdem do České republiky </w:t>
      </w:r>
      <w:r>
        <w:rPr>
          <w:rFonts w:ascii="Garamond" w:hAnsi="Garamond"/>
        </w:rPr>
        <w:t>v Řecku určitou dobu pobýval (v </w:t>
      </w:r>
      <w:r w:rsidRPr="00263064">
        <w:rPr>
          <w:rFonts w:ascii="Garamond" w:hAnsi="Garamond"/>
        </w:rPr>
        <w:t xml:space="preserve">období 2017 </w:t>
      </w:r>
      <w:r>
        <w:rPr>
          <w:rFonts w:ascii="Garamond" w:hAnsi="Garamond"/>
        </w:rPr>
        <w:t>až 2019) – a </w:t>
      </w:r>
      <w:r w:rsidRPr="00263064">
        <w:rPr>
          <w:rFonts w:ascii="Garamond" w:hAnsi="Garamond"/>
        </w:rPr>
        <w:t>to povětšinu času jako žadatel o udělení mezinárodní ochrany; ta</w:t>
      </w:r>
      <w:r w:rsidR="00A65698">
        <w:rPr>
          <w:rFonts w:ascii="Garamond" w:hAnsi="Garamond"/>
        </w:rPr>
        <w:t> </w:t>
      </w:r>
      <w:r w:rsidRPr="00263064">
        <w:rPr>
          <w:rFonts w:ascii="Garamond" w:hAnsi="Garamond"/>
        </w:rPr>
        <w:t>mu</w:t>
      </w:r>
      <w:r w:rsidR="00A65698">
        <w:rPr>
          <w:rFonts w:ascii="Garamond" w:hAnsi="Garamond"/>
        </w:rPr>
        <w:t> </w:t>
      </w:r>
      <w:r w:rsidRPr="00263064">
        <w:rPr>
          <w:rFonts w:ascii="Garamond" w:hAnsi="Garamond"/>
        </w:rPr>
        <w:t>byla udělena dne 18.</w:t>
      </w:r>
      <w:r w:rsidR="00A65698">
        <w:rPr>
          <w:rFonts w:ascii="Garamond" w:hAnsi="Garamond"/>
        </w:rPr>
        <w:t> </w:t>
      </w:r>
      <w:r w:rsidRPr="00263064">
        <w:rPr>
          <w:rFonts w:ascii="Garamond" w:hAnsi="Garamond"/>
        </w:rPr>
        <w:t>6.</w:t>
      </w:r>
      <w:r w:rsidR="00A65698">
        <w:rPr>
          <w:rFonts w:ascii="Garamond" w:hAnsi="Garamond"/>
        </w:rPr>
        <w:t> </w:t>
      </w:r>
      <w:r w:rsidRPr="00263064">
        <w:rPr>
          <w:rFonts w:ascii="Garamond" w:hAnsi="Garamond"/>
        </w:rPr>
        <w:t xml:space="preserve">2019 a nyní je na stěžovateli, aby jí využil. </w:t>
      </w:r>
      <w:r w:rsidRPr="005A5169">
        <w:rPr>
          <w:rFonts w:ascii="Garamond" w:hAnsi="Garamond"/>
        </w:rPr>
        <w:t>Jako osobě, které bylo přiznáno postavení uprchlíka v Řecku, mu tento členský stát udělí nejen povolení k pobytu, ale</w:t>
      </w:r>
      <w:r w:rsidR="00A65698">
        <w:rPr>
          <w:rFonts w:ascii="Garamond" w:hAnsi="Garamond"/>
        </w:rPr>
        <w:t> </w:t>
      </w:r>
      <w:r w:rsidRPr="005A5169">
        <w:rPr>
          <w:rFonts w:ascii="Garamond" w:hAnsi="Garamond"/>
        </w:rPr>
        <w:t xml:space="preserve">vystaví též cestovní doklady, jež mu umožní cestování i mimo jeho území (čl. </w:t>
      </w:r>
      <w:r>
        <w:rPr>
          <w:rFonts w:ascii="Garamond" w:hAnsi="Garamond"/>
        </w:rPr>
        <w:t xml:space="preserve">24 a čl. 25 kvalifikační směrnice). </w:t>
      </w:r>
      <w:r w:rsidRPr="005A5169">
        <w:rPr>
          <w:rFonts w:ascii="Garamond" w:hAnsi="Garamond"/>
        </w:rPr>
        <w:t>Je tedy v zájmu stěžovatele, aby si tyto doklady vyřídil, a</w:t>
      </w:r>
      <w:r w:rsidR="00A65698">
        <w:rPr>
          <w:rFonts w:ascii="Garamond" w:hAnsi="Garamond"/>
        </w:rPr>
        <w:t xml:space="preserve"> </w:t>
      </w:r>
      <w:r w:rsidRPr="005A5169">
        <w:rPr>
          <w:rFonts w:ascii="Garamond" w:hAnsi="Garamond"/>
        </w:rPr>
        <w:t>pokud se</w:t>
      </w:r>
      <w:r w:rsidR="00A65698">
        <w:rPr>
          <w:rFonts w:ascii="Garamond" w:hAnsi="Garamond"/>
        </w:rPr>
        <w:t> </w:t>
      </w:r>
      <w:r w:rsidRPr="005A5169">
        <w:rPr>
          <w:rFonts w:ascii="Garamond" w:hAnsi="Garamond"/>
        </w:rPr>
        <w:t>o</w:t>
      </w:r>
      <w:r w:rsidR="00A65698">
        <w:rPr>
          <w:rFonts w:ascii="Garamond" w:hAnsi="Garamond"/>
        </w:rPr>
        <w:t> </w:t>
      </w:r>
      <w:r w:rsidRPr="005A5169">
        <w:rPr>
          <w:rFonts w:ascii="Garamond" w:hAnsi="Garamond"/>
        </w:rPr>
        <w:t>to</w:t>
      </w:r>
      <w:r w:rsidR="00A65698">
        <w:rPr>
          <w:rFonts w:ascii="Garamond" w:hAnsi="Garamond"/>
        </w:rPr>
        <w:t> </w:t>
      </w:r>
      <w:r w:rsidRPr="005A5169">
        <w:rPr>
          <w:rFonts w:ascii="Garamond" w:hAnsi="Garamond"/>
        </w:rPr>
        <w:t>dosud ani nepokusil, jak vyplývá z jeho žádosti a vyjádření při pohovoru, jde o situaci přičitatelnou především jemu samotnému.</w:t>
      </w:r>
    </w:p>
    <w:p w:rsidR="005B515E" w:rsidRPr="0099499B" w:rsidRDefault="005B515E" w:rsidP="005B515E">
      <w:pPr>
        <w:pStyle w:val="Odstavecseseznamem"/>
      </w:pPr>
    </w:p>
    <w:p w:rsidR="005B515E" w:rsidRPr="0099499B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Již jen na okraj </w:t>
      </w:r>
      <w:r w:rsidRPr="0099499B">
        <w:rPr>
          <w:rFonts w:ascii="Garamond" w:hAnsi="Garamond"/>
        </w:rPr>
        <w:t>je nutno dodat, že stěžovatel nemůže zamlčovat</w:t>
      </w:r>
      <w:r>
        <w:rPr>
          <w:rFonts w:ascii="Garamond" w:hAnsi="Garamond"/>
        </w:rPr>
        <w:t xml:space="preserve"> či rozporovat, že</w:t>
      </w:r>
      <w:r w:rsidR="00A65698">
        <w:rPr>
          <w:rFonts w:ascii="Garamond" w:hAnsi="Garamond"/>
        </w:rPr>
        <w:t> </w:t>
      </w:r>
      <w:r>
        <w:rPr>
          <w:rFonts w:ascii="Garamond" w:hAnsi="Garamond"/>
        </w:rPr>
        <w:t>má</w:t>
      </w:r>
      <w:r w:rsidR="00A65698">
        <w:rPr>
          <w:rFonts w:ascii="Garamond" w:hAnsi="Garamond"/>
        </w:rPr>
        <w:t> </w:t>
      </w:r>
      <w:r>
        <w:rPr>
          <w:rFonts w:ascii="Garamond" w:hAnsi="Garamond"/>
        </w:rPr>
        <w:t xml:space="preserve">udělenu mezinárodní ochranu v Řecku </w:t>
      </w:r>
      <w:r w:rsidRPr="0099499B">
        <w:rPr>
          <w:rFonts w:ascii="Garamond" w:hAnsi="Garamond"/>
        </w:rPr>
        <w:t>proto, že tuto ochranu ve formě azylu nechce, jak uvedl v pohovoru, anebo proto, že jeho cílem bylo dostat se do České republiky, kde má strýce, jak zmínil v</w:t>
      </w:r>
      <w:r>
        <w:rPr>
          <w:rFonts w:ascii="Garamond" w:hAnsi="Garamond"/>
        </w:rPr>
        <w:t xml:space="preserve"> </w:t>
      </w:r>
      <w:r w:rsidRPr="0099499B">
        <w:rPr>
          <w:rFonts w:ascii="Garamond" w:hAnsi="Garamond"/>
        </w:rPr>
        <w:t xml:space="preserve">žalobě. </w:t>
      </w:r>
      <w:r>
        <w:rPr>
          <w:rFonts w:ascii="Garamond" w:hAnsi="Garamond"/>
        </w:rPr>
        <w:t xml:space="preserve">Vyřídí-li si stěžovatel v </w:t>
      </w:r>
      <w:r w:rsidRPr="0099499B">
        <w:rPr>
          <w:rFonts w:ascii="Garamond" w:hAnsi="Garamond"/>
        </w:rPr>
        <w:t>Řecku výše zmíněné povolení k</w:t>
      </w:r>
      <w:r>
        <w:rPr>
          <w:rFonts w:ascii="Garamond" w:hAnsi="Garamond"/>
        </w:rPr>
        <w:t xml:space="preserve"> </w:t>
      </w:r>
      <w:r w:rsidRPr="0099499B">
        <w:rPr>
          <w:rFonts w:ascii="Garamond" w:hAnsi="Garamond"/>
        </w:rPr>
        <w:t xml:space="preserve">pobytu a cestovní doklady, má možnost požádat o </w:t>
      </w:r>
      <w:r>
        <w:rPr>
          <w:rFonts w:ascii="Garamond" w:hAnsi="Garamond"/>
        </w:rPr>
        <w:t xml:space="preserve">pobytové oprávnění v </w:t>
      </w:r>
      <w:r w:rsidRPr="0099499B">
        <w:rPr>
          <w:rFonts w:ascii="Garamond" w:hAnsi="Garamond"/>
        </w:rPr>
        <w:t xml:space="preserve">České republice, jak ho </w:t>
      </w:r>
      <w:r>
        <w:rPr>
          <w:rFonts w:ascii="Garamond" w:hAnsi="Garamond"/>
        </w:rPr>
        <w:t xml:space="preserve">v </w:t>
      </w:r>
      <w:r w:rsidRPr="0099499B">
        <w:rPr>
          <w:rFonts w:ascii="Garamond" w:hAnsi="Garamond"/>
        </w:rPr>
        <w:t xml:space="preserve">průběhu pohovoru informoval </w:t>
      </w:r>
      <w:r>
        <w:rPr>
          <w:rFonts w:ascii="Garamond" w:hAnsi="Garamond"/>
        </w:rPr>
        <w:t>už žalovaný.</w:t>
      </w:r>
    </w:p>
    <w:p w:rsidR="005B515E" w:rsidRPr="0099499B" w:rsidRDefault="005B515E" w:rsidP="005B515E">
      <w:pPr>
        <w:pStyle w:val="Odstavecseseznamem"/>
      </w:pPr>
    </w:p>
    <w:p w:rsidR="005B515E" w:rsidRDefault="005B515E" w:rsidP="005B515E">
      <w:pPr>
        <w:jc w:val="center"/>
        <w:rPr>
          <w:rFonts w:ascii="Garamond" w:eastAsia="Calibri" w:hAnsi="Garamond" w:cs="Garamond"/>
          <w:b/>
          <w:lang w:eastAsia="en-US"/>
        </w:rPr>
      </w:pPr>
      <w:r w:rsidRPr="00575034">
        <w:rPr>
          <w:rFonts w:ascii="Garamond" w:eastAsia="Calibri" w:hAnsi="Garamond" w:cs="Garamond"/>
          <w:b/>
          <w:lang w:eastAsia="en-US"/>
        </w:rPr>
        <w:t>V. Závěr a náklady řízení</w:t>
      </w:r>
    </w:p>
    <w:p w:rsidR="005B515E" w:rsidRPr="008737DB" w:rsidRDefault="005B515E" w:rsidP="005B515E">
      <w:pPr>
        <w:pStyle w:val="Odstavecseseznamem"/>
      </w:pPr>
    </w:p>
    <w:p w:rsidR="005B515E" w:rsidRPr="002657CB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Garamond" w:eastAsia="Calibri" w:hAnsi="Garamond" w:cs="Garamond"/>
          <w:lang w:eastAsia="en-US"/>
        </w:rPr>
      </w:pPr>
      <w:r>
        <w:rPr>
          <w:rFonts w:ascii="Garamond" w:eastAsia="Calibri" w:hAnsi="Garamond" w:cs="Garamond"/>
          <w:lang w:eastAsia="en-US"/>
        </w:rPr>
        <w:t xml:space="preserve">Na základě všech shora uvedených skutečností </w:t>
      </w:r>
      <w:r w:rsidRPr="00575034">
        <w:rPr>
          <w:rFonts w:ascii="Garamond" w:eastAsia="Calibri" w:hAnsi="Garamond"/>
        </w:rPr>
        <w:t xml:space="preserve">Nejvyšší správní soud </w:t>
      </w:r>
      <w:r>
        <w:rPr>
          <w:rFonts w:ascii="Garamond" w:eastAsia="Calibri" w:hAnsi="Garamond"/>
        </w:rPr>
        <w:t xml:space="preserve">uzavírá, že kasační stížnost </w:t>
      </w:r>
      <w:r w:rsidRPr="00575034">
        <w:rPr>
          <w:rFonts w:ascii="Garamond" w:hAnsi="Garamond"/>
        </w:rPr>
        <w:t xml:space="preserve">neshledal </w:t>
      </w:r>
      <w:r>
        <w:rPr>
          <w:rFonts w:ascii="Garamond" w:hAnsi="Garamond"/>
        </w:rPr>
        <w:t xml:space="preserve">důvodnou, a proto ji </w:t>
      </w:r>
      <w:r w:rsidRPr="00575034">
        <w:rPr>
          <w:rFonts w:ascii="Garamond" w:hAnsi="Garamond"/>
        </w:rPr>
        <w:t>zamítl (§ 110 odst. 1 s. ř. s.).</w:t>
      </w:r>
    </w:p>
    <w:p w:rsidR="005B515E" w:rsidRDefault="005B515E" w:rsidP="005B515E">
      <w:pPr>
        <w:autoSpaceDE w:val="0"/>
        <w:autoSpaceDN w:val="0"/>
        <w:adjustRightInd w:val="0"/>
        <w:jc w:val="both"/>
        <w:rPr>
          <w:rFonts w:ascii="Garamond" w:eastAsia="Calibri" w:hAnsi="Garamond" w:cs="Garamond"/>
          <w:lang w:eastAsia="en-US"/>
        </w:rPr>
      </w:pPr>
    </w:p>
    <w:p w:rsidR="005B515E" w:rsidRPr="005569DB" w:rsidRDefault="005B515E" w:rsidP="005B515E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Garamond" w:eastAsia="Calibri" w:hAnsi="Garamond" w:cs="Garamond"/>
          <w:lang w:eastAsia="en-US"/>
        </w:rPr>
      </w:pPr>
      <w:r w:rsidRPr="00575034">
        <w:rPr>
          <w:rFonts w:ascii="Garamond" w:hAnsi="Garamond"/>
        </w:rPr>
        <w:t xml:space="preserve">Výrok o náhradě nákladů řízení o kasační stížnosti se opírá o § 60 odst. 1 větu první ve spojení s § 120 s. ř. s. Účastník, který měl ve věci plný úspěch, má právo na náhradu nákladů řízení před soudem, které důvodně </w:t>
      </w:r>
      <w:r w:rsidRPr="005569DB">
        <w:rPr>
          <w:rFonts w:ascii="Garamond" w:hAnsi="Garamond"/>
        </w:rPr>
        <w:t>vynaložil, od účastníka, který ve věci úspěch neměl.</w:t>
      </w:r>
      <w:r>
        <w:rPr>
          <w:rFonts w:ascii="Garamond" w:hAnsi="Garamond"/>
        </w:rPr>
        <w:t xml:space="preserve"> Úspěšnému žalovanému </w:t>
      </w:r>
      <w:r w:rsidRPr="005569DB">
        <w:rPr>
          <w:rFonts w:ascii="Garamond" w:hAnsi="Garamond"/>
        </w:rPr>
        <w:t xml:space="preserve">ovšem žádné náklady nad rámec běžné administrativní činnosti v tomto řízení nevznikly, takže </w:t>
      </w:r>
      <w:r>
        <w:rPr>
          <w:rFonts w:ascii="Garamond" w:hAnsi="Garamond"/>
        </w:rPr>
        <w:t xml:space="preserve">mu </w:t>
      </w:r>
      <w:r w:rsidRPr="005569DB">
        <w:rPr>
          <w:rFonts w:ascii="Garamond" w:hAnsi="Garamond"/>
        </w:rPr>
        <w:t>Nejvyšší správní soud náhradu nákladů řízení o kasační stížnosti nepřiznal.</w:t>
      </w:r>
    </w:p>
    <w:p w:rsidR="005B515E" w:rsidRPr="00575034" w:rsidRDefault="005B515E" w:rsidP="005B515E">
      <w:pPr>
        <w:autoSpaceDE w:val="0"/>
        <w:autoSpaceDN w:val="0"/>
        <w:adjustRightInd w:val="0"/>
        <w:jc w:val="both"/>
        <w:rPr>
          <w:rFonts w:ascii="Garamond" w:eastAsia="Calibri" w:hAnsi="Garamond" w:cs="Garamond"/>
          <w:lang w:eastAsia="en-US"/>
        </w:rPr>
      </w:pPr>
    </w:p>
    <w:p w:rsidR="005B515E" w:rsidRPr="005569DB" w:rsidRDefault="005B515E" w:rsidP="005B515E">
      <w:pPr>
        <w:ind w:left="1985" w:hanging="1985"/>
        <w:jc w:val="both"/>
        <w:rPr>
          <w:rFonts w:ascii="Garamond" w:eastAsia="Calibri" w:hAnsi="Garamond" w:cs="Garamond"/>
          <w:snapToGrid w:val="0"/>
          <w:lang w:eastAsia="en-US"/>
        </w:rPr>
      </w:pPr>
      <w:r w:rsidRPr="00A65698">
        <w:rPr>
          <w:rFonts w:ascii="Garamond" w:hAnsi="Garamond"/>
          <w:b/>
          <w:snapToGrid w:val="0"/>
          <w:spacing w:val="60"/>
        </w:rPr>
        <w:t xml:space="preserve">Poučení: </w:t>
      </w:r>
      <w:r w:rsidRPr="005569DB">
        <w:rPr>
          <w:rFonts w:ascii="Garamond" w:eastAsia="Calibri" w:hAnsi="Garamond" w:cs="Garamond"/>
          <w:snapToGrid w:val="0"/>
          <w:lang w:eastAsia="en-US"/>
        </w:rPr>
        <w:t>Proti tomuto rozsudku</w:t>
      </w:r>
      <w:r w:rsidRPr="00A65698">
        <w:rPr>
          <w:rFonts w:ascii="Garamond" w:hAnsi="Garamond"/>
          <w:b/>
          <w:snapToGrid w:val="0"/>
          <w:spacing w:val="60"/>
        </w:rPr>
        <w:t xml:space="preserve"> není </w:t>
      </w:r>
      <w:r w:rsidRPr="005569DB">
        <w:rPr>
          <w:rFonts w:ascii="Garamond" w:eastAsia="Calibri" w:hAnsi="Garamond" w:cs="Garamond"/>
          <w:snapToGrid w:val="0"/>
          <w:lang w:eastAsia="en-US"/>
        </w:rPr>
        <w:t>opravný prostředek přípustný.</w:t>
      </w:r>
    </w:p>
    <w:p w:rsidR="005B515E" w:rsidRDefault="005B515E" w:rsidP="005B515E">
      <w:pPr>
        <w:jc w:val="both"/>
        <w:rPr>
          <w:rFonts w:ascii="Garamond" w:hAnsi="Garamond"/>
          <w:snapToGrid w:val="0"/>
        </w:rPr>
      </w:pPr>
    </w:p>
    <w:p w:rsidR="00A65698" w:rsidRPr="005569DB" w:rsidRDefault="00A65698" w:rsidP="005B515E">
      <w:pPr>
        <w:jc w:val="both"/>
        <w:rPr>
          <w:rFonts w:ascii="Garamond" w:hAnsi="Garamond"/>
          <w:snapToGrid w:val="0"/>
        </w:rPr>
      </w:pPr>
    </w:p>
    <w:p w:rsidR="005B515E" w:rsidRPr="005569DB" w:rsidRDefault="005B515E" w:rsidP="005B515E">
      <w:pPr>
        <w:ind w:left="994" w:hanging="994"/>
        <w:jc w:val="center"/>
        <w:rPr>
          <w:rFonts w:ascii="Garamond" w:hAnsi="Garamond"/>
        </w:rPr>
      </w:pPr>
      <w:r w:rsidRPr="005569DB">
        <w:rPr>
          <w:rFonts w:ascii="Garamond" w:hAnsi="Garamond"/>
        </w:rPr>
        <w:t>V Brně dne</w:t>
      </w:r>
      <w:r>
        <w:rPr>
          <w:rFonts w:ascii="Garamond" w:hAnsi="Garamond"/>
        </w:rPr>
        <w:t xml:space="preserve"> </w:t>
      </w:r>
      <w:r w:rsidR="00AB7B10">
        <w:rPr>
          <w:rFonts w:ascii="Garamond" w:hAnsi="Garamond"/>
        </w:rPr>
        <w:t>9.</w:t>
      </w:r>
      <w:r>
        <w:rPr>
          <w:rFonts w:ascii="Garamond" w:hAnsi="Garamond"/>
        </w:rPr>
        <w:t xml:space="preserve"> listopadu 2020</w:t>
      </w:r>
    </w:p>
    <w:p w:rsidR="005B515E" w:rsidRPr="005569DB" w:rsidRDefault="005B515E" w:rsidP="005B515E">
      <w:pPr>
        <w:ind w:left="994" w:hanging="994"/>
        <w:rPr>
          <w:rFonts w:ascii="Garamond" w:hAnsi="Garamond"/>
        </w:rPr>
      </w:pPr>
    </w:p>
    <w:p w:rsidR="005B515E" w:rsidRPr="005569DB" w:rsidRDefault="005B515E" w:rsidP="005B515E">
      <w:pPr>
        <w:ind w:left="994" w:hanging="994"/>
        <w:rPr>
          <w:rFonts w:ascii="Garamond" w:hAnsi="Garamond"/>
        </w:rPr>
      </w:pPr>
    </w:p>
    <w:p w:rsidR="005B515E" w:rsidRPr="005569DB" w:rsidRDefault="005B515E" w:rsidP="006E5687">
      <w:pPr>
        <w:ind w:left="4956" w:firstLine="708"/>
        <w:jc w:val="right"/>
        <w:rPr>
          <w:rFonts w:ascii="Garamond" w:hAnsi="Garamond"/>
        </w:rPr>
      </w:pPr>
      <w:r w:rsidRPr="005569DB">
        <w:rPr>
          <w:rFonts w:ascii="Garamond" w:hAnsi="Garamond"/>
        </w:rPr>
        <w:t>JUDr. Lenka Matyášová</w:t>
      </w:r>
    </w:p>
    <w:p w:rsidR="005B515E" w:rsidRPr="0099499B" w:rsidRDefault="005B515E" w:rsidP="006E5687">
      <w:pPr>
        <w:ind w:left="6372" w:firstLine="708"/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Pr="00BC56AD">
        <w:rPr>
          <w:rFonts w:ascii="Garamond" w:hAnsi="Garamond"/>
        </w:rPr>
        <w:t>ředsed</w:t>
      </w:r>
      <w:r>
        <w:rPr>
          <w:rFonts w:ascii="Garamond" w:hAnsi="Garamond"/>
        </w:rPr>
        <w:t xml:space="preserve">kyně </w:t>
      </w:r>
      <w:r w:rsidRPr="00BC56AD">
        <w:rPr>
          <w:rFonts w:ascii="Garamond" w:hAnsi="Garamond"/>
        </w:rPr>
        <w:t>senátu</w:t>
      </w:r>
    </w:p>
    <w:p w:rsidR="00D20487" w:rsidRPr="005B515E" w:rsidRDefault="00D20487" w:rsidP="005B515E">
      <w:pPr>
        <w:rPr>
          <w:rFonts w:ascii="Garamond" w:hAnsi="Garamond"/>
        </w:rPr>
      </w:pPr>
    </w:p>
    <w:sectPr w:rsidR="00D20487" w:rsidRPr="005B515E" w:rsidSect="00361931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DE4" w:rsidRDefault="001E1DE4" w:rsidP="00361931">
      <w:r>
        <w:separator/>
      </w:r>
    </w:p>
  </w:endnote>
  <w:endnote w:type="continuationSeparator" w:id="0">
    <w:p w:rsidR="001E1DE4" w:rsidRDefault="001E1DE4" w:rsidP="0036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DE4" w:rsidRDefault="001E1DE4" w:rsidP="00361931">
      <w:r>
        <w:separator/>
      </w:r>
    </w:p>
  </w:footnote>
  <w:footnote w:type="continuationSeparator" w:id="0">
    <w:p w:rsidR="001E1DE4" w:rsidRDefault="001E1DE4" w:rsidP="0036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931" w:rsidRDefault="00361931" w:rsidP="00361931">
    <w:pPr>
      <w:pStyle w:val="Zhlav"/>
      <w:jc w:val="right"/>
    </w:pPr>
    <w:r w:rsidRPr="00361931">
      <w:rPr>
        <w:rFonts w:ascii="Garamond" w:hAnsi="Garamond"/>
      </w:rPr>
      <w:t>5 Azs 65/2020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931" w:rsidRPr="00361931" w:rsidRDefault="00361931" w:rsidP="00361931">
    <w:pPr>
      <w:pStyle w:val="Zhlav"/>
      <w:ind w:left="1080"/>
      <w:jc w:val="right"/>
      <w:rPr>
        <w:rFonts w:ascii="Garamond" w:hAnsi="Garamond"/>
      </w:rPr>
    </w:pPr>
    <w:r w:rsidRPr="00361931">
      <w:rPr>
        <w:rFonts w:ascii="Garamond" w:hAnsi="Garamond"/>
      </w:rPr>
      <w:t xml:space="preserve">5 Azs 65/2020 - </w:t>
    </w:r>
    <w:r w:rsidRPr="00361931">
      <w:rPr>
        <w:rFonts w:ascii="Garamond" w:hAnsi="Garamond"/>
      </w:rPr>
      <w:fldChar w:fldCharType="begin"/>
    </w:r>
    <w:r w:rsidRPr="00361931">
      <w:rPr>
        <w:rFonts w:ascii="Garamond" w:hAnsi="Garamond"/>
      </w:rPr>
      <w:instrText xml:space="preserve"> =  31  + INT ((</w:instrText>
    </w:r>
    <w:r w:rsidRPr="00361931">
      <w:rPr>
        <w:rFonts w:ascii="Garamond" w:hAnsi="Garamond"/>
      </w:rPr>
      <w:fldChar w:fldCharType="begin"/>
    </w:r>
    <w:r w:rsidRPr="00361931">
      <w:rPr>
        <w:rFonts w:ascii="Garamond" w:hAnsi="Garamond"/>
      </w:rPr>
      <w:instrText xml:space="preserve"> PAGE</w:instrText>
    </w:r>
    <w:r w:rsidRPr="00361931">
      <w:rPr>
        <w:rFonts w:ascii="Garamond" w:hAnsi="Garamond"/>
      </w:rPr>
      <w:fldChar w:fldCharType="separate"/>
    </w:r>
    <w:r w:rsidR="00681072">
      <w:rPr>
        <w:rFonts w:ascii="Garamond" w:hAnsi="Garamond"/>
        <w:noProof/>
      </w:rPr>
      <w:instrText>9</w:instrText>
    </w:r>
    <w:r w:rsidRPr="00361931">
      <w:rPr>
        <w:rFonts w:ascii="Garamond" w:hAnsi="Garamond"/>
      </w:rPr>
      <w:fldChar w:fldCharType="end"/>
    </w:r>
    <w:r w:rsidRPr="00361931">
      <w:rPr>
        <w:rFonts w:ascii="Garamond" w:hAnsi="Garamond"/>
      </w:rPr>
      <w:instrText xml:space="preserve">+1)/2)-1 </w:instrText>
    </w:r>
    <w:r w:rsidRPr="00361931">
      <w:rPr>
        <w:rFonts w:ascii="Garamond" w:hAnsi="Garamond"/>
      </w:rPr>
      <w:fldChar w:fldCharType="separate"/>
    </w:r>
    <w:r w:rsidR="00681072">
      <w:rPr>
        <w:rFonts w:ascii="Garamond" w:hAnsi="Garamond"/>
        <w:noProof/>
      </w:rPr>
      <w:t>35</w:t>
    </w:r>
    <w:r w:rsidRPr="00361931">
      <w:rPr>
        <w:rFonts w:ascii="Garamond" w:hAnsi="Garamond"/>
      </w:rPr>
      <w:fldChar w:fldCharType="end"/>
    </w:r>
  </w:p>
  <w:p w:rsidR="00361931" w:rsidRDefault="00361931">
    <w:pPr>
      <w:pStyle w:val="Zhlav"/>
    </w:pPr>
    <w:r w:rsidRPr="00361931">
      <w:rPr>
        <w:rFonts w:ascii="Garamond" w:hAnsi="Garamond"/>
      </w:rPr>
      <w:t>pokračování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931" w:rsidRPr="00361931" w:rsidRDefault="00361931" w:rsidP="00361931">
    <w:pPr>
      <w:pStyle w:val="Zhlav"/>
      <w:ind w:left="1080"/>
      <w:jc w:val="right"/>
      <w:rPr>
        <w:rFonts w:ascii="Garamond" w:hAnsi="Garamond"/>
      </w:rPr>
    </w:pPr>
    <w:r w:rsidRPr="00361931">
      <w:rPr>
        <w:rFonts w:ascii="Garamond" w:hAnsi="Garamond"/>
      </w:rPr>
      <w:t xml:space="preserve">5 Azs 65/2020 - </w:t>
    </w:r>
    <w:r w:rsidRPr="00361931">
      <w:rPr>
        <w:rFonts w:ascii="Garamond" w:hAnsi="Garamond"/>
      </w:rPr>
      <w:fldChar w:fldCharType="begin"/>
    </w:r>
    <w:r w:rsidRPr="00361931">
      <w:rPr>
        <w:rFonts w:ascii="Garamond" w:hAnsi="Garamond"/>
      </w:rPr>
      <w:instrText xml:space="preserve"> =   31 + INT ((</w:instrText>
    </w:r>
    <w:r w:rsidRPr="00361931">
      <w:rPr>
        <w:rFonts w:ascii="Garamond" w:hAnsi="Garamond"/>
      </w:rPr>
      <w:fldChar w:fldCharType="begin"/>
    </w:r>
    <w:r w:rsidRPr="00361931">
      <w:rPr>
        <w:rFonts w:ascii="Garamond" w:hAnsi="Garamond"/>
      </w:rPr>
      <w:instrText xml:space="preserve"> PAGE</w:instrText>
    </w:r>
    <w:r w:rsidRPr="00361931">
      <w:rPr>
        <w:rFonts w:ascii="Garamond" w:hAnsi="Garamond"/>
      </w:rPr>
      <w:fldChar w:fldCharType="separate"/>
    </w:r>
    <w:r w:rsidR="00681072">
      <w:rPr>
        <w:rFonts w:ascii="Garamond" w:hAnsi="Garamond"/>
        <w:noProof/>
      </w:rPr>
      <w:instrText>1</w:instrText>
    </w:r>
    <w:r w:rsidRPr="00361931">
      <w:rPr>
        <w:rFonts w:ascii="Garamond" w:hAnsi="Garamond"/>
      </w:rPr>
      <w:fldChar w:fldCharType="end"/>
    </w:r>
    <w:r w:rsidRPr="00361931">
      <w:rPr>
        <w:rFonts w:ascii="Garamond" w:hAnsi="Garamond"/>
      </w:rPr>
      <w:instrText xml:space="preserve">+1)/2)-1 </w:instrText>
    </w:r>
    <w:r w:rsidRPr="00361931">
      <w:rPr>
        <w:rFonts w:ascii="Garamond" w:hAnsi="Garamond"/>
      </w:rPr>
      <w:fldChar w:fldCharType="separate"/>
    </w:r>
    <w:r w:rsidR="00681072">
      <w:rPr>
        <w:rFonts w:ascii="Garamond" w:hAnsi="Garamond"/>
        <w:noProof/>
      </w:rPr>
      <w:t>31</w:t>
    </w:r>
    <w:r w:rsidRPr="00361931">
      <w:rPr>
        <w:rFonts w:ascii="Garamond" w:hAnsi="Garamond"/>
      </w:rPr>
      <w:fldChar w:fldCharType="end"/>
    </w:r>
  </w:p>
  <w:p w:rsidR="00361931" w:rsidRPr="00361931" w:rsidRDefault="00361931">
    <w:pPr>
      <w:pStyle w:val="Zhlav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47D6C"/>
    <w:multiLevelType w:val="hybridMultilevel"/>
    <w:tmpl w:val="E348CC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C3B34"/>
    <w:multiLevelType w:val="hybridMultilevel"/>
    <w:tmpl w:val="26F4D246"/>
    <w:lvl w:ilvl="0" w:tplc="6F4C4236">
      <w:start w:val="1"/>
      <w:numFmt w:val="decimal"/>
      <w:pStyle w:val="odst"/>
      <w:lvlText w:val="[%1]"/>
      <w:lvlJc w:val="left"/>
      <w:pPr>
        <w:ind w:left="50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91933"/>
    <w:multiLevelType w:val="hybridMultilevel"/>
    <w:tmpl w:val="E926F20A"/>
    <w:lvl w:ilvl="0" w:tplc="22186F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E58E0"/>
    <w:multiLevelType w:val="hybridMultilevel"/>
    <w:tmpl w:val="B244601C"/>
    <w:lvl w:ilvl="0" w:tplc="81529682">
      <w:start w:val="1"/>
      <w:numFmt w:val="decimal"/>
      <w:lvlText w:val="[%1]"/>
      <w:lvlJc w:val="left"/>
      <w:pPr>
        <w:ind w:left="360" w:hanging="360"/>
      </w:pPr>
      <w:rPr>
        <w:rFonts w:ascii="Garamond" w:hAnsi="Garamond"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BFA862C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E51B5"/>
    <w:multiLevelType w:val="hybridMultilevel"/>
    <w:tmpl w:val="40623BE8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B57E3"/>
    <w:multiLevelType w:val="hybridMultilevel"/>
    <w:tmpl w:val="417CBE42"/>
    <w:lvl w:ilvl="0" w:tplc="C02C0E34">
      <w:start w:val="1"/>
      <w:numFmt w:val="decimal"/>
      <w:lvlText w:val="[%1]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68303D4F"/>
    <w:multiLevelType w:val="hybridMultilevel"/>
    <w:tmpl w:val="2F624B3A"/>
    <w:lvl w:ilvl="0" w:tplc="6128B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272B9"/>
    <w:multiLevelType w:val="hybridMultilevel"/>
    <w:tmpl w:val="9F4E0BEA"/>
    <w:lvl w:ilvl="0" w:tplc="CE86964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B2"/>
    <w:rsid w:val="000516C8"/>
    <w:rsid w:val="000562BE"/>
    <w:rsid w:val="000A4408"/>
    <w:rsid w:val="000B013B"/>
    <w:rsid w:val="000D2E56"/>
    <w:rsid w:val="000F2BFE"/>
    <w:rsid w:val="000F391C"/>
    <w:rsid w:val="0010019A"/>
    <w:rsid w:val="00135FE3"/>
    <w:rsid w:val="0015341A"/>
    <w:rsid w:val="00184B08"/>
    <w:rsid w:val="001E1DE4"/>
    <w:rsid w:val="001F3F99"/>
    <w:rsid w:val="00215EB4"/>
    <w:rsid w:val="00250332"/>
    <w:rsid w:val="00257040"/>
    <w:rsid w:val="00284A11"/>
    <w:rsid w:val="00314349"/>
    <w:rsid w:val="00325B36"/>
    <w:rsid w:val="00361931"/>
    <w:rsid w:val="00395A35"/>
    <w:rsid w:val="003D0DE2"/>
    <w:rsid w:val="003F3183"/>
    <w:rsid w:val="00443368"/>
    <w:rsid w:val="00455D7A"/>
    <w:rsid w:val="004A70A8"/>
    <w:rsid w:val="004D0F0B"/>
    <w:rsid w:val="004D55BD"/>
    <w:rsid w:val="005905D9"/>
    <w:rsid w:val="0059425F"/>
    <w:rsid w:val="005B515E"/>
    <w:rsid w:val="00603C5A"/>
    <w:rsid w:val="00631E65"/>
    <w:rsid w:val="006533AD"/>
    <w:rsid w:val="00681072"/>
    <w:rsid w:val="006E5687"/>
    <w:rsid w:val="0072140B"/>
    <w:rsid w:val="00792317"/>
    <w:rsid w:val="007D7B81"/>
    <w:rsid w:val="007E06DD"/>
    <w:rsid w:val="008443B2"/>
    <w:rsid w:val="00857C2A"/>
    <w:rsid w:val="00891055"/>
    <w:rsid w:val="00895FA1"/>
    <w:rsid w:val="00945F67"/>
    <w:rsid w:val="00983C31"/>
    <w:rsid w:val="00984C73"/>
    <w:rsid w:val="009F53D0"/>
    <w:rsid w:val="00A00A6A"/>
    <w:rsid w:val="00A25060"/>
    <w:rsid w:val="00A65698"/>
    <w:rsid w:val="00A761E7"/>
    <w:rsid w:val="00AB04FF"/>
    <w:rsid w:val="00AB7B10"/>
    <w:rsid w:val="00AF4B9B"/>
    <w:rsid w:val="00B149D8"/>
    <w:rsid w:val="00B350DF"/>
    <w:rsid w:val="00B405EC"/>
    <w:rsid w:val="00B42AB5"/>
    <w:rsid w:val="00BF7E33"/>
    <w:rsid w:val="00C063A4"/>
    <w:rsid w:val="00C62DE0"/>
    <w:rsid w:val="00CB7747"/>
    <w:rsid w:val="00CD3255"/>
    <w:rsid w:val="00D15068"/>
    <w:rsid w:val="00D20487"/>
    <w:rsid w:val="00D66736"/>
    <w:rsid w:val="00D76394"/>
    <w:rsid w:val="00DB0109"/>
    <w:rsid w:val="00DD5C70"/>
    <w:rsid w:val="00DF5D26"/>
    <w:rsid w:val="00E10CED"/>
    <w:rsid w:val="00E12515"/>
    <w:rsid w:val="00E91BF0"/>
    <w:rsid w:val="00E953A0"/>
    <w:rsid w:val="00EE4826"/>
    <w:rsid w:val="00F24C7A"/>
    <w:rsid w:val="00F528F8"/>
    <w:rsid w:val="00F71010"/>
    <w:rsid w:val="00F868E3"/>
    <w:rsid w:val="00F92CA1"/>
    <w:rsid w:val="00FA114F"/>
    <w:rsid w:val="00FE28F7"/>
    <w:rsid w:val="00FE2DD1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5F052D-5DA2-4081-8A5A-B4BC1305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7E33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styleId="Odstavecseseznamem">
    <w:name w:val="List Paragraph"/>
    <w:basedOn w:val="Normln"/>
    <w:link w:val="OdstavecseseznamemChar"/>
    <w:uiPriority w:val="34"/>
    <w:qFormat/>
    <w:rsid w:val="000A4408"/>
    <w:pPr>
      <w:ind w:left="720"/>
      <w:contextualSpacing/>
      <w:jc w:val="center"/>
    </w:pPr>
    <w:rPr>
      <w:rFonts w:ascii="Garamond" w:hAnsi="Garamond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0A4408"/>
    <w:rPr>
      <w:rFonts w:ascii="Garamond" w:hAnsi="Garamond"/>
      <w:sz w:val="24"/>
      <w:szCs w:val="24"/>
    </w:rPr>
  </w:style>
  <w:style w:type="paragraph" w:styleId="Zhlav">
    <w:name w:val="header"/>
    <w:basedOn w:val="Normln"/>
    <w:link w:val="ZhlavChar"/>
    <w:uiPriority w:val="99"/>
    <w:rsid w:val="005B51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B515E"/>
    <w:rPr>
      <w:sz w:val="24"/>
      <w:szCs w:val="24"/>
      <w:lang w:eastAsia="cs-CZ"/>
    </w:rPr>
  </w:style>
  <w:style w:type="character" w:styleId="slostrnky">
    <w:name w:val="page number"/>
    <w:basedOn w:val="Standardnpsmoodstavce"/>
    <w:rsid w:val="005B515E"/>
  </w:style>
  <w:style w:type="character" w:styleId="Hypertextovodkaz">
    <w:name w:val="Hyperlink"/>
    <w:uiPriority w:val="99"/>
    <w:unhideWhenUsed/>
    <w:rsid w:val="005B515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5B51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5B515E"/>
    <w:rPr>
      <w:rFonts w:ascii="Tahom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51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B515E"/>
    <w:rPr>
      <w:sz w:val="24"/>
      <w:szCs w:val="24"/>
      <w:lang w:eastAsia="cs-CZ"/>
    </w:rPr>
  </w:style>
  <w:style w:type="paragraph" w:customStyle="1" w:styleId="odst">
    <w:name w:val="odst"/>
    <w:basedOn w:val="Odstavecseseznamem"/>
    <w:link w:val="odstChar"/>
    <w:qFormat/>
    <w:rsid w:val="005B515E"/>
    <w:pPr>
      <w:numPr>
        <w:numId w:val="6"/>
      </w:numPr>
      <w:contextualSpacing w:val="0"/>
      <w:jc w:val="both"/>
    </w:pPr>
    <w:rPr>
      <w:lang w:eastAsia="cs-CZ"/>
    </w:rPr>
  </w:style>
  <w:style w:type="character" w:customStyle="1" w:styleId="odstChar">
    <w:name w:val="odst Char"/>
    <w:link w:val="odst"/>
    <w:rsid w:val="005B515E"/>
    <w:rPr>
      <w:rFonts w:ascii="Garamond" w:hAnsi="Garamond"/>
      <w:sz w:val="24"/>
      <w:szCs w:val="24"/>
      <w:lang w:eastAsia="cs-CZ"/>
    </w:rPr>
  </w:style>
  <w:style w:type="paragraph" w:customStyle="1" w:styleId="Zkladntext1">
    <w:name w:val="Základní text1"/>
    <w:basedOn w:val="Normln"/>
    <w:rsid w:val="005B515E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Default">
    <w:name w:val="Default"/>
    <w:rsid w:val="005B515E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5B515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B515E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B515E"/>
    <w:rPr>
      <w:rFonts w:cs="Times New Roman"/>
      <w:color w:val="auto"/>
    </w:rPr>
  </w:style>
  <w:style w:type="paragraph" w:customStyle="1" w:styleId="Odstavecseseznamem1">
    <w:name w:val="Odstavec se seznamem1"/>
    <w:basedOn w:val="Normln"/>
    <w:rsid w:val="005B515E"/>
    <w:pPr>
      <w:ind w:left="720"/>
    </w:pPr>
    <w:rPr>
      <w:rFonts w:ascii="Garamond" w:hAnsi="Garamond"/>
      <w:b/>
      <w:szCs w:val="22"/>
      <w:lang w:eastAsia="en-US"/>
    </w:rPr>
  </w:style>
  <w:style w:type="paragraph" w:customStyle="1" w:styleId="c01pointnumerotealtn">
    <w:name w:val="c01pointnumerotealtn"/>
    <w:basedOn w:val="Normln"/>
    <w:rsid w:val="005B515E"/>
    <w:pPr>
      <w:spacing w:before="100" w:beforeAutospacing="1" w:after="240"/>
      <w:ind w:left="567" w:hanging="53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4B41A2F291B14DAD59816BA7C01C8D" ma:contentTypeVersion="0" ma:contentTypeDescription="Vytvoří nový dokument" ma:contentTypeScope="" ma:versionID="f0d2559abb94d30415b8b6161b9042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545FA9-FA13-4DF2-8FE9-EDCF8FDB0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6869B0-1A32-4362-9D1B-2A28E9FAE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A9EE0-F276-49E0-8B97-AB26EC73AFC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5410</Words>
  <Characters>31925</Characters>
  <Application>Microsoft Office Word</Application>
  <DocSecurity>0</DocSecurity>
  <Lines>266</Lines>
  <Paragraphs>74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 As 1/2003 – 34</vt:lpstr>
    </vt:vector>
  </TitlesOfParts>
  <Company>NSS</Company>
  <LinksUpToDate>false</LinksUpToDate>
  <CharactersWithSpaces>37261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Matušková Anna Mgr.</dc:creator>
  <cp:keywords/>
  <cp:lastModifiedBy>Matušková Anna Mgr.</cp:lastModifiedBy>
  <cp:revision>2</cp:revision>
  <cp:lastPrinted>2020-11-06T15:08:00Z</cp:lastPrinted>
  <dcterms:created xsi:type="dcterms:W3CDTF">2022-02-15T13:15:00Z</dcterms:created>
  <dcterms:modified xsi:type="dcterms:W3CDTF">2022-02-15T13:15:00Z</dcterms:modified>
</cp:coreProperties>
</file>