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22055" w14:textId="6ADE19F2" w:rsidR="00151989" w:rsidRDefault="00A95394">
      <w:r>
        <w:t xml:space="preserve">Uitspraak Nederlandse Raad van State </w:t>
      </w:r>
      <w:r w:rsidRPr="00A95394">
        <w:t>202203874/1/A3</w:t>
      </w:r>
      <w:r>
        <w:t xml:space="preserve"> - </w:t>
      </w:r>
      <w:r w:rsidRPr="00A95394">
        <w:br/>
        <w:t>ECLI:NL:RVS:2026:746</w:t>
      </w:r>
      <w:r>
        <w:t xml:space="preserve"> – 11 februari 2026</w:t>
      </w:r>
    </w:p>
    <w:p w14:paraId="518CE0C0" w14:textId="77777777" w:rsidR="00A95394" w:rsidRDefault="00A95394"/>
    <w:p w14:paraId="4EB5C297" w14:textId="350BF1AA" w:rsidR="00A95394" w:rsidRDefault="00A95394">
      <w:pPr>
        <w:rPr>
          <w:b/>
          <w:bCs/>
        </w:rPr>
      </w:pPr>
      <w:r w:rsidRPr="00A95394">
        <w:rPr>
          <w:b/>
          <w:bCs/>
        </w:rPr>
        <w:t>Bij besluit van 16 april 2019 heeft de Autoriteit Persoonsgegevens het verzoek van [appellant] om handhavend op te treden tegen Stichting Focus Filmtheater en Focus Horeca B.V. afgewezen. [appellant] wil met contant geld een bioscoopkaartje kunnen kopen bij Focus. In 2018 is Focus verhuisd naar een nieuw pand en sindsdien kunnen bioscoopkaartjes alleen nog met pinpas of creditcard, of online via de website gekocht worden. Ook consumpties in de horecagelegenheid van Focus kunnen alleen nog met pin of creditcard betaald worden. [appellant] vindt dit in strijd met zijn recht op privéleven, omdat daarbij onnodig persoonsgegevens van hem verwerkt worden. Daarom heeft hij de AP verzocht om, met toepassing van de Algemene Verordening Gegevensbescherming (hierna: AVG) onderzoek te doen naar en handhavend op te treden tegen de afschaffing van de mogelijkheid van contante betalingen door Focus. De AP heeft op basis van bureauonderzoek het niet aannemelijk geacht dat zich mogelijkerwijs een overtreding van de AVG voordoet doordat Focus geen contante betalingen accepteert. De AP heeft het handhavingsverzoek daarom afgewezen.</w:t>
      </w:r>
    </w:p>
    <w:p w14:paraId="0AACBCF4" w14:textId="77777777" w:rsidR="00A95394" w:rsidRDefault="00A95394">
      <w:pPr>
        <w:rPr>
          <w:b/>
          <w:bCs/>
        </w:rPr>
      </w:pPr>
    </w:p>
    <w:p w14:paraId="7643DD09" w14:textId="77777777" w:rsidR="00A95394" w:rsidRPr="00A95394" w:rsidRDefault="00A95394" w:rsidP="00A95394">
      <w:pPr>
        <w:rPr>
          <w:b/>
          <w:bCs/>
        </w:rPr>
      </w:pPr>
      <w:r w:rsidRPr="00A95394">
        <w:rPr>
          <w:b/>
          <w:bCs/>
        </w:rPr>
        <w:t>Autoriteit Persoonsgegevens moet nieuw besluit nemen over verplichte pinbetaling bij Arnhemse bioscoop</w:t>
      </w:r>
    </w:p>
    <w:p w14:paraId="248386FA" w14:textId="77777777" w:rsidR="00A95394" w:rsidRPr="00A95394" w:rsidRDefault="00A95394" w:rsidP="00A95394">
      <w:r w:rsidRPr="00A95394">
        <w:t>De Autoriteit Persoonsgegevens (AP) moet binnen acht weken een nieuw besluit nemen in een zaak die draait om de vraag of een Arnhemse bioscoop contante betaling van filmkaartjes mag weigeren. Dat volgt uit een uitspraak van de Afdeling bestuursrechtspraak van vandaag (11 februari 2026). Een inwoner van Arnhem had de AP om maatregelen gevraagd, omdat hij bij de bioscoop alleen nog maar met pin kan betalen en niet meer met contant geld. Dat vindt hij in strijd met de Algemene Verordening Gegevensbescherming. De Afdeling bestuursrechtspraak oordeelt dat de AP de afwijzing van zijn handhavingsverzoek niet goed heeft gemotiveerd.</w:t>
      </w:r>
    </w:p>
    <w:p w14:paraId="21225FAF" w14:textId="77777777" w:rsidR="00A95394" w:rsidRDefault="00A95394" w:rsidP="00A95394">
      <w:pPr>
        <w:rPr>
          <w:b/>
          <w:bCs/>
        </w:rPr>
      </w:pPr>
    </w:p>
    <w:p w14:paraId="64DDDD17" w14:textId="7A4E1902" w:rsidR="00A95394" w:rsidRPr="00A95394" w:rsidRDefault="00A95394" w:rsidP="00A95394">
      <w:pPr>
        <w:rPr>
          <w:b/>
          <w:bCs/>
        </w:rPr>
      </w:pPr>
      <w:r w:rsidRPr="00A95394">
        <w:rPr>
          <w:b/>
          <w:bCs/>
        </w:rPr>
        <w:t>Geen contant geld meer</w:t>
      </w:r>
    </w:p>
    <w:p w14:paraId="2E77A501" w14:textId="77777777" w:rsidR="00A95394" w:rsidRPr="00A95394" w:rsidRDefault="00A95394" w:rsidP="00A95394">
      <w:r w:rsidRPr="00A95394">
        <w:t>De betreffende bioscoop besloot na de verhuizing naar een nieuw pand geen contant geld meer aan te nemen maar alleen nog te werken met pinbetalingen. Dat zou de veiligheid van de veelal vrijwillige medewerkers van de bioscoop vergroten. De man vindt dat hij anoniem kaartjes moet kunnen kopen voor de film en wil om die reden dus alleen met contant geld betalen. Op grond van de AVG moet er een gerechtvaardigd doel zijn om persoonsgegevens te verwerken. Volgens de AP ligt dat doel in de (sociale) veiligheid van de medewerkers van de bioscoop.</w:t>
      </w:r>
    </w:p>
    <w:p w14:paraId="7D6DD9EB" w14:textId="77777777" w:rsidR="00A95394" w:rsidRDefault="00A95394" w:rsidP="00A95394"/>
    <w:p w14:paraId="3F01F58C" w14:textId="0B6A05D1" w:rsidR="00A95394" w:rsidRPr="00A95394" w:rsidRDefault="00A95394" w:rsidP="00A95394">
      <w:pPr>
        <w:rPr>
          <w:b/>
          <w:bCs/>
        </w:rPr>
      </w:pPr>
      <w:r w:rsidRPr="00A95394">
        <w:rPr>
          <w:b/>
          <w:bCs/>
        </w:rPr>
        <w:t>Veiligheid</w:t>
      </w:r>
    </w:p>
    <w:p w14:paraId="4935E210" w14:textId="77777777" w:rsidR="00A95394" w:rsidRDefault="00A95394" w:rsidP="00A95394">
      <w:r w:rsidRPr="00A95394">
        <w:t>Sociale veiligheid kan een gerechtvaardigd doel kan zijn om alleen pinbetalingen te accepteren. Maar op basis van de informatie in deze zaak kan niet worden vastgesteld of de veiligheid van de medewerkers van de bioscoop in dit geval werkelijk in het geding is. De man uit Arnhem had gemotiveerd betwist dat het accepteren van contante betalingen zou leiden tot onveilige situaties voor de bioscoopmedewerkers, en de AP heeft daar niets tegenover gesteld. Uit niets blijkt dat het afschaffen van contant geld in dit geval een wezenlijk effect heeft op de veiligheid van de medewerkers van de bioscoop. De enkele omstandigheid dat contant geld vatbaar is voor diefstal is naar het oordeel van de Afdeling bestuursrechtspraak niet voldoende om uit een oogpunt van (sociale) veiligheid contante betalingen af te schaffen en over te stappen op verplichte pinbetalingen.</w:t>
      </w:r>
    </w:p>
    <w:p w14:paraId="4688DBEE" w14:textId="77777777" w:rsidR="00A95394" w:rsidRPr="00A95394" w:rsidRDefault="00A95394" w:rsidP="00A95394"/>
    <w:p w14:paraId="332E505D" w14:textId="77777777" w:rsidR="00A95394" w:rsidRPr="00A95394" w:rsidRDefault="00A95394" w:rsidP="00A95394">
      <w:pPr>
        <w:rPr>
          <w:b/>
          <w:bCs/>
        </w:rPr>
      </w:pPr>
      <w:r w:rsidRPr="00A95394">
        <w:rPr>
          <w:b/>
          <w:bCs/>
        </w:rPr>
        <w:lastRenderedPageBreak/>
        <w:t>Wat nu?</w:t>
      </w:r>
    </w:p>
    <w:p w14:paraId="12CDBD61" w14:textId="77777777" w:rsidR="00A95394" w:rsidRPr="00A95394" w:rsidRDefault="00A95394" w:rsidP="00A95394">
      <w:r w:rsidRPr="00A95394">
        <w:t>De AP moet binnen acht weken een nieuw besluit nemen. Als de man of de bioscoop het daar niet mee eens is, kunnen zij tegen dat nieuwe besluit direct beroep indienen bij de Afdeling bestuursrechtspraak.</w:t>
      </w:r>
    </w:p>
    <w:p w14:paraId="798E9427" w14:textId="77777777" w:rsidR="00A95394" w:rsidRPr="00A95394" w:rsidRDefault="00A95394"/>
    <w:sectPr w:rsidR="00A95394" w:rsidRPr="00A953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94"/>
    <w:rsid w:val="000063E0"/>
    <w:rsid w:val="00151989"/>
    <w:rsid w:val="00500DBB"/>
    <w:rsid w:val="009B78AF"/>
    <w:rsid w:val="00A95394"/>
    <w:rsid w:val="00B0212C"/>
    <w:rsid w:val="00C63E94"/>
    <w:rsid w:val="00D77D80"/>
    <w:rsid w:val="00EF0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44086"/>
  <w15:chartTrackingRefBased/>
  <w15:docId w15:val="{FC6EDA5D-1F55-494B-8E8C-B393F410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A9539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A9539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A9539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A9539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A95394"/>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A9539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9539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9539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9539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5394"/>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A95394"/>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A95394"/>
    <w:rPr>
      <w:rFonts w:asciiTheme="minorHAnsi" w:eastAsiaTheme="majorEastAsia" w:hAnsiTheme="min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A95394"/>
    <w:rPr>
      <w:rFonts w:asciiTheme="minorHAnsi" w:eastAsiaTheme="majorEastAsia" w:hAnsiTheme="min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A95394"/>
    <w:rPr>
      <w:rFonts w:asciiTheme="minorHAnsi" w:eastAsiaTheme="majorEastAsia" w:hAnsiTheme="min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A95394"/>
    <w:rPr>
      <w:rFonts w:asciiTheme="minorHAnsi" w:eastAsiaTheme="majorEastAsia" w:hAnsiTheme="minorHAnsi" w:cstheme="majorBidi"/>
      <w:i/>
      <w:iCs/>
      <w:color w:val="595959" w:themeColor="text1" w:themeTint="A6"/>
      <w:sz w:val="22"/>
      <w:szCs w:val="24"/>
    </w:rPr>
  </w:style>
  <w:style w:type="character" w:customStyle="1" w:styleId="Kop7Char">
    <w:name w:val="Kop 7 Char"/>
    <w:basedOn w:val="Standaardalinea-lettertype"/>
    <w:link w:val="Kop7"/>
    <w:uiPriority w:val="9"/>
    <w:semiHidden/>
    <w:rsid w:val="00A95394"/>
    <w:rPr>
      <w:rFonts w:asciiTheme="minorHAnsi" w:eastAsiaTheme="majorEastAsia" w:hAnsiTheme="minorHAnsi" w:cstheme="majorBidi"/>
      <w:color w:val="595959" w:themeColor="text1" w:themeTint="A6"/>
      <w:sz w:val="22"/>
      <w:szCs w:val="24"/>
    </w:rPr>
  </w:style>
  <w:style w:type="character" w:customStyle="1" w:styleId="Kop8Char">
    <w:name w:val="Kop 8 Char"/>
    <w:basedOn w:val="Standaardalinea-lettertype"/>
    <w:link w:val="Kop8"/>
    <w:uiPriority w:val="9"/>
    <w:semiHidden/>
    <w:rsid w:val="00A95394"/>
    <w:rPr>
      <w:rFonts w:asciiTheme="minorHAnsi" w:eastAsiaTheme="majorEastAsia" w:hAnsiTheme="minorHAnsi" w:cstheme="majorBidi"/>
      <w:i/>
      <w:iCs/>
      <w:color w:val="272727" w:themeColor="text1" w:themeTint="D8"/>
      <w:sz w:val="22"/>
      <w:szCs w:val="24"/>
    </w:rPr>
  </w:style>
  <w:style w:type="character" w:customStyle="1" w:styleId="Kop9Char">
    <w:name w:val="Kop 9 Char"/>
    <w:basedOn w:val="Standaardalinea-lettertype"/>
    <w:link w:val="Kop9"/>
    <w:uiPriority w:val="9"/>
    <w:semiHidden/>
    <w:rsid w:val="00A95394"/>
    <w:rPr>
      <w:rFonts w:asciiTheme="minorHAnsi" w:eastAsiaTheme="majorEastAsia" w:hAnsiTheme="minorHAnsi" w:cstheme="majorBidi"/>
      <w:color w:val="272727" w:themeColor="text1" w:themeTint="D8"/>
      <w:sz w:val="22"/>
      <w:szCs w:val="24"/>
    </w:rPr>
  </w:style>
  <w:style w:type="paragraph" w:styleId="Titel">
    <w:name w:val="Title"/>
    <w:basedOn w:val="Standaard"/>
    <w:next w:val="Standaard"/>
    <w:link w:val="TitelChar"/>
    <w:uiPriority w:val="10"/>
    <w:qFormat/>
    <w:rsid w:val="00A9539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53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539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539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9539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95394"/>
    <w:rPr>
      <w:rFonts w:ascii="Univers" w:hAnsi="Univers"/>
      <w:i/>
      <w:iCs/>
      <w:color w:val="404040" w:themeColor="text1" w:themeTint="BF"/>
      <w:sz w:val="22"/>
      <w:szCs w:val="24"/>
    </w:rPr>
  </w:style>
  <w:style w:type="paragraph" w:styleId="Lijstalinea">
    <w:name w:val="List Paragraph"/>
    <w:basedOn w:val="Standaard"/>
    <w:uiPriority w:val="34"/>
    <w:qFormat/>
    <w:rsid w:val="00A95394"/>
    <w:pPr>
      <w:ind w:left="720"/>
      <w:contextualSpacing/>
    </w:pPr>
  </w:style>
  <w:style w:type="character" w:styleId="Intensievebenadrukking">
    <w:name w:val="Intense Emphasis"/>
    <w:basedOn w:val="Standaardalinea-lettertype"/>
    <w:uiPriority w:val="21"/>
    <w:qFormat/>
    <w:rsid w:val="00A95394"/>
    <w:rPr>
      <w:i/>
      <w:iCs/>
      <w:color w:val="365F91" w:themeColor="accent1" w:themeShade="BF"/>
    </w:rPr>
  </w:style>
  <w:style w:type="paragraph" w:styleId="Duidelijkcitaat">
    <w:name w:val="Intense Quote"/>
    <w:basedOn w:val="Standaard"/>
    <w:next w:val="Standaard"/>
    <w:link w:val="DuidelijkcitaatChar"/>
    <w:uiPriority w:val="30"/>
    <w:qFormat/>
    <w:rsid w:val="00A9539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95394"/>
    <w:rPr>
      <w:rFonts w:ascii="Univers" w:hAnsi="Univers"/>
      <w:i/>
      <w:iCs/>
      <w:color w:val="365F91" w:themeColor="accent1" w:themeShade="BF"/>
      <w:sz w:val="22"/>
      <w:szCs w:val="24"/>
    </w:rPr>
  </w:style>
  <w:style w:type="character" w:styleId="Intensieveverwijzing">
    <w:name w:val="Intense Reference"/>
    <w:basedOn w:val="Standaardalinea-lettertype"/>
    <w:uiPriority w:val="32"/>
    <w:qFormat/>
    <w:rsid w:val="00A9539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0432">
      <w:bodyDiv w:val="1"/>
      <w:marLeft w:val="0"/>
      <w:marRight w:val="0"/>
      <w:marTop w:val="0"/>
      <w:marBottom w:val="0"/>
      <w:divBdr>
        <w:top w:val="none" w:sz="0" w:space="0" w:color="auto"/>
        <w:left w:val="none" w:sz="0" w:space="0" w:color="auto"/>
        <w:bottom w:val="none" w:sz="0" w:space="0" w:color="auto"/>
        <w:right w:val="none" w:sz="0" w:space="0" w:color="auto"/>
      </w:divBdr>
    </w:div>
    <w:div w:id="274602286">
      <w:bodyDiv w:val="1"/>
      <w:marLeft w:val="0"/>
      <w:marRight w:val="0"/>
      <w:marTop w:val="0"/>
      <w:marBottom w:val="0"/>
      <w:divBdr>
        <w:top w:val="none" w:sz="0" w:space="0" w:color="auto"/>
        <w:left w:val="none" w:sz="0" w:space="0" w:color="auto"/>
        <w:bottom w:val="none" w:sz="0" w:space="0" w:color="auto"/>
        <w:right w:val="none" w:sz="0" w:space="0" w:color="auto"/>
      </w:divBdr>
    </w:div>
    <w:div w:id="901911715">
      <w:bodyDiv w:val="1"/>
      <w:marLeft w:val="0"/>
      <w:marRight w:val="0"/>
      <w:marTop w:val="0"/>
      <w:marBottom w:val="0"/>
      <w:divBdr>
        <w:top w:val="none" w:sz="0" w:space="0" w:color="auto"/>
        <w:left w:val="none" w:sz="0" w:space="0" w:color="auto"/>
        <w:bottom w:val="none" w:sz="0" w:space="0" w:color="auto"/>
        <w:right w:val="none" w:sz="0" w:space="0" w:color="auto"/>
      </w:divBdr>
      <w:divsChild>
        <w:div w:id="151144099">
          <w:marLeft w:val="0"/>
          <w:marRight w:val="0"/>
          <w:marTop w:val="0"/>
          <w:marBottom w:val="0"/>
          <w:divBdr>
            <w:top w:val="none" w:sz="0" w:space="0" w:color="auto"/>
            <w:left w:val="none" w:sz="0" w:space="0" w:color="auto"/>
            <w:bottom w:val="none" w:sz="0" w:space="0" w:color="auto"/>
            <w:right w:val="none" w:sz="0" w:space="0" w:color="auto"/>
          </w:divBdr>
        </w:div>
        <w:div w:id="1847207696">
          <w:marLeft w:val="0"/>
          <w:marRight w:val="0"/>
          <w:marTop w:val="240"/>
          <w:marBottom w:val="0"/>
          <w:divBdr>
            <w:top w:val="none" w:sz="0" w:space="0" w:color="auto"/>
            <w:left w:val="none" w:sz="0" w:space="0" w:color="auto"/>
            <w:bottom w:val="none" w:sz="0" w:space="0" w:color="auto"/>
            <w:right w:val="none" w:sz="0" w:space="0" w:color="auto"/>
          </w:divBdr>
        </w:div>
      </w:divsChild>
    </w:div>
    <w:div w:id="1151561536">
      <w:bodyDiv w:val="1"/>
      <w:marLeft w:val="0"/>
      <w:marRight w:val="0"/>
      <w:marTop w:val="0"/>
      <w:marBottom w:val="0"/>
      <w:divBdr>
        <w:top w:val="none" w:sz="0" w:space="0" w:color="auto"/>
        <w:left w:val="none" w:sz="0" w:space="0" w:color="auto"/>
        <w:bottom w:val="none" w:sz="0" w:space="0" w:color="auto"/>
        <w:right w:val="none" w:sz="0" w:space="0" w:color="auto"/>
      </w:divBdr>
      <w:divsChild>
        <w:div w:id="372537673">
          <w:marLeft w:val="0"/>
          <w:marRight w:val="0"/>
          <w:marTop w:val="0"/>
          <w:marBottom w:val="0"/>
          <w:divBdr>
            <w:top w:val="none" w:sz="0" w:space="0" w:color="auto"/>
            <w:left w:val="none" w:sz="0" w:space="0" w:color="auto"/>
            <w:bottom w:val="none" w:sz="0" w:space="0" w:color="auto"/>
            <w:right w:val="none" w:sz="0" w:space="0" w:color="auto"/>
          </w:divBdr>
        </w:div>
        <w:div w:id="2019456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3068</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Abels, L. (Liz)</dc:creator>
  <cp:keywords/>
  <dc:description/>
  <cp:lastModifiedBy>Abels, L. (Liz)</cp:lastModifiedBy>
  <cp:revision>1</cp:revision>
  <dcterms:created xsi:type="dcterms:W3CDTF">2026-08-25T11:07:00Z</dcterms:created>
  <dcterms:modified xsi:type="dcterms:W3CDTF">2026-08-25T11:09:00Z</dcterms:modified>
</cp:coreProperties>
</file>