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Mkatabulky"/>
        <w:tblW w:w="0" w:type="auto"/>
        <w:tblInd w:w="29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tblGrid>
      <w:tr w:rsidR="00C85187" w:rsidRPr="00C85187" w14:paraId="46F69007" w14:textId="77777777" w:rsidTr="00C85187">
        <w:tc>
          <w:tcPr>
            <w:tcW w:w="3544" w:type="dxa"/>
          </w:tcPr>
          <w:p w14:paraId="46F69006" w14:textId="77777777" w:rsidR="00C85187" w:rsidRPr="00C85187" w:rsidRDefault="00C85187" w:rsidP="00C85187">
            <w:pPr>
              <w:ind w:right="63"/>
              <w:jc w:val="center"/>
              <w:rPr>
                <w:rFonts w:ascii="Garamond" w:eastAsia="Calibri" w:hAnsi="Garamond"/>
                <w:lang w:eastAsia="en-US"/>
              </w:rPr>
            </w:pPr>
            <w:bookmarkStart w:id="0" w:name="_GoBack"/>
            <w:bookmarkEnd w:id="0"/>
            <w:r w:rsidRPr="00C85187">
              <w:rPr>
                <w:rFonts w:ascii="Garamond" w:eastAsia="Calibri" w:hAnsi="Garamond"/>
                <w:noProof/>
              </w:rPr>
              <w:drawing>
                <wp:inline distT="0" distB="0" distL="0" distR="0" wp14:anchorId="46F69061" wp14:editId="46F69062">
                  <wp:extent cx="1051824" cy="1247388"/>
                  <wp:effectExtent l="0" t="0" r="0" b="0"/>
                  <wp:docPr id="2"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11" cstate="print"/>
                          <a:srcRect/>
                          <a:stretch>
                            <a:fillRect/>
                          </a:stretch>
                        </pic:blipFill>
                        <pic:spPr bwMode="auto">
                          <a:xfrm>
                            <a:off x="0" y="0"/>
                            <a:ext cx="1053757" cy="1249680"/>
                          </a:xfrm>
                          <a:prstGeom prst="rect">
                            <a:avLst/>
                          </a:prstGeom>
                          <a:noFill/>
                          <a:ln w="9525">
                            <a:noFill/>
                            <a:miter lim="800000"/>
                            <a:headEnd/>
                            <a:tailEnd/>
                          </a:ln>
                        </pic:spPr>
                      </pic:pic>
                    </a:graphicData>
                  </a:graphic>
                </wp:inline>
              </w:drawing>
            </w:r>
          </w:p>
        </w:tc>
      </w:tr>
    </w:tbl>
    <w:p w14:paraId="46F69008" w14:textId="77777777" w:rsidR="00C85187" w:rsidRPr="00C85187" w:rsidRDefault="00C85187" w:rsidP="00C85187">
      <w:pPr>
        <w:jc w:val="center"/>
        <w:rPr>
          <w:rFonts w:ascii="Garamond" w:eastAsia="Calibri" w:hAnsi="Garamond"/>
          <w:szCs w:val="22"/>
          <w:lang w:eastAsia="en-US"/>
        </w:rPr>
      </w:pPr>
      <w:r w:rsidRPr="00C85187">
        <w:rPr>
          <w:rFonts w:ascii="Garamond" w:eastAsia="Calibri" w:hAnsi="Garamond"/>
          <w:sz w:val="28"/>
          <w:szCs w:val="28"/>
          <w:lang w:eastAsia="en-US"/>
        </w:rPr>
        <w:t>ČESKÁ REPUBLIKA</w:t>
      </w:r>
    </w:p>
    <w:p w14:paraId="46F69009" w14:textId="77777777" w:rsidR="00C85187" w:rsidRPr="00C85187" w:rsidRDefault="00C85187" w:rsidP="00C85187">
      <w:pPr>
        <w:jc w:val="center"/>
        <w:rPr>
          <w:rFonts w:ascii="Garamond" w:eastAsia="Calibri" w:hAnsi="Garamond"/>
          <w:szCs w:val="22"/>
          <w:lang w:eastAsia="en-US"/>
        </w:rPr>
      </w:pPr>
    </w:p>
    <w:p w14:paraId="46F6900A" w14:textId="77777777" w:rsidR="00C85187" w:rsidRPr="00C85187" w:rsidRDefault="00C85187" w:rsidP="00C85187">
      <w:pPr>
        <w:jc w:val="center"/>
        <w:rPr>
          <w:rFonts w:ascii="Garamond" w:eastAsia="Calibri" w:hAnsi="Garamond"/>
          <w:b/>
          <w:spacing w:val="60"/>
          <w:szCs w:val="22"/>
          <w:lang w:eastAsia="en-US"/>
        </w:rPr>
      </w:pPr>
      <w:r w:rsidRPr="00C85187">
        <w:rPr>
          <w:rFonts w:ascii="Garamond" w:eastAsia="Calibri" w:hAnsi="Garamond"/>
          <w:b/>
          <w:spacing w:val="60"/>
          <w:sz w:val="32"/>
          <w:szCs w:val="32"/>
          <w:lang w:eastAsia="en-US"/>
        </w:rPr>
        <w:t>ROZSUDEK</w:t>
      </w:r>
    </w:p>
    <w:p w14:paraId="46F6900B" w14:textId="77777777" w:rsidR="00C85187" w:rsidRPr="00C85187" w:rsidRDefault="00C85187" w:rsidP="00C85187">
      <w:pPr>
        <w:jc w:val="center"/>
        <w:rPr>
          <w:rFonts w:ascii="Garamond" w:eastAsia="Calibri" w:hAnsi="Garamond"/>
          <w:b/>
          <w:sz w:val="32"/>
          <w:szCs w:val="32"/>
          <w:lang w:eastAsia="en-US"/>
        </w:rPr>
      </w:pPr>
      <w:r w:rsidRPr="00C85187">
        <w:rPr>
          <w:rFonts w:ascii="Garamond" w:eastAsia="Calibri" w:hAnsi="Garamond"/>
          <w:b/>
          <w:spacing w:val="60"/>
          <w:sz w:val="32"/>
          <w:szCs w:val="32"/>
          <w:lang w:eastAsia="en-US"/>
        </w:rPr>
        <w:t>JMÉNEM REPUBLIKY</w:t>
      </w:r>
    </w:p>
    <w:p w14:paraId="46F6900C" w14:textId="77777777" w:rsidR="00C85187" w:rsidRPr="009966FB" w:rsidRDefault="00C85187" w:rsidP="00C85187">
      <w:pPr>
        <w:pStyle w:val="mmstd"/>
        <w:spacing w:before="0" w:after="0" w:line="240" w:lineRule="auto"/>
        <w:ind w:firstLine="0"/>
        <w:rPr>
          <w:sz w:val="24"/>
          <w:szCs w:val="24"/>
        </w:rPr>
      </w:pPr>
    </w:p>
    <w:p w14:paraId="46F6900D" w14:textId="77777777" w:rsidR="00C85187" w:rsidRPr="009966FB" w:rsidRDefault="00C85187" w:rsidP="00C85187">
      <w:pPr>
        <w:jc w:val="both"/>
        <w:rPr>
          <w:rFonts w:ascii="Garamond" w:hAnsi="Garamond"/>
        </w:rPr>
      </w:pPr>
    </w:p>
    <w:p w14:paraId="46F6900E" w14:textId="77777777" w:rsidR="00C85187" w:rsidRPr="009966FB" w:rsidRDefault="00C85187" w:rsidP="00C85187">
      <w:pPr>
        <w:pStyle w:val="Nadpis1"/>
        <w:numPr>
          <w:ilvl w:val="0"/>
          <w:numId w:val="0"/>
        </w:numPr>
        <w:jc w:val="both"/>
        <w:rPr>
          <w:rFonts w:ascii="Garamond" w:hAnsi="Garamond"/>
          <w:b w:val="0"/>
          <w:sz w:val="24"/>
          <w:szCs w:val="24"/>
        </w:rPr>
      </w:pPr>
      <w:r w:rsidRPr="009966FB">
        <w:rPr>
          <w:rFonts w:ascii="Garamond" w:hAnsi="Garamond"/>
          <w:b w:val="0"/>
          <w:sz w:val="24"/>
          <w:szCs w:val="24"/>
        </w:rPr>
        <w:t xml:space="preserve">Nejvyšší správní soud rozhodl v senátu složeném z předsedy Zdeňka Kühna, soudkyně </w:t>
      </w:r>
      <w:r>
        <w:rPr>
          <w:rFonts w:ascii="Garamond" w:hAnsi="Garamond"/>
          <w:b w:val="0"/>
          <w:sz w:val="24"/>
          <w:szCs w:val="24"/>
        </w:rPr>
        <w:t>Sylvy </w:t>
      </w:r>
      <w:r w:rsidRPr="009966FB">
        <w:rPr>
          <w:rFonts w:ascii="Garamond" w:hAnsi="Garamond"/>
          <w:b w:val="0"/>
          <w:sz w:val="24"/>
          <w:szCs w:val="24"/>
        </w:rPr>
        <w:t xml:space="preserve">Šiškeové a soudce Ondřeje Mrákoty v právní věci žalobce: </w:t>
      </w:r>
      <w:r>
        <w:rPr>
          <w:rFonts w:ascii="Garamond" w:hAnsi="Garamond"/>
          <w:sz w:val="24"/>
          <w:szCs w:val="24"/>
        </w:rPr>
        <w:t>Umweltorganisation VIRUS </w:t>
      </w:r>
      <w:r>
        <w:rPr>
          <w:rFonts w:ascii="Garamond" w:hAnsi="Garamond"/>
          <w:sz w:val="24"/>
          <w:szCs w:val="24"/>
        </w:rPr>
        <w:noBreakHyphen/>
        <w:t> </w:t>
      </w:r>
      <w:r w:rsidRPr="009966FB">
        <w:rPr>
          <w:rFonts w:ascii="Garamond" w:hAnsi="Garamond"/>
          <w:sz w:val="24"/>
          <w:szCs w:val="24"/>
        </w:rPr>
        <w:t>Verein Projektwerkstatt für Umwelt und Soziales,</w:t>
      </w:r>
      <w:r w:rsidRPr="009966FB">
        <w:rPr>
          <w:rFonts w:ascii="Garamond" w:hAnsi="Garamond"/>
          <w:b w:val="0"/>
          <w:sz w:val="24"/>
          <w:szCs w:val="24"/>
        </w:rPr>
        <w:t xml:space="preserve"> se sídlem Währingerstr. 59, Wien, Rakousko, zast</w:t>
      </w:r>
      <w:r>
        <w:rPr>
          <w:rFonts w:ascii="Garamond" w:hAnsi="Garamond"/>
          <w:b w:val="0"/>
          <w:sz w:val="24"/>
          <w:szCs w:val="24"/>
        </w:rPr>
        <w:t>oupeného</w:t>
      </w:r>
      <w:r w:rsidRPr="009966FB">
        <w:rPr>
          <w:rFonts w:ascii="Garamond" w:hAnsi="Garamond"/>
          <w:b w:val="0"/>
          <w:sz w:val="24"/>
          <w:szCs w:val="24"/>
        </w:rPr>
        <w:t xml:space="preserve"> RNDr. Miroslavem Patrikem, </w:t>
      </w:r>
      <w:r>
        <w:rPr>
          <w:rFonts w:ascii="Garamond" w:hAnsi="Garamond"/>
          <w:b w:val="0"/>
          <w:sz w:val="24"/>
          <w:szCs w:val="24"/>
        </w:rPr>
        <w:t xml:space="preserve">obecným zmocněncem, </w:t>
      </w:r>
      <w:r w:rsidRPr="009966FB">
        <w:rPr>
          <w:rFonts w:ascii="Garamond" w:hAnsi="Garamond"/>
          <w:b w:val="0"/>
          <w:sz w:val="24"/>
          <w:szCs w:val="24"/>
        </w:rPr>
        <w:t xml:space="preserve">bytem Merhautova 1009/139, Brno, proti žalovanému: </w:t>
      </w:r>
      <w:r w:rsidRPr="009966FB">
        <w:rPr>
          <w:rFonts w:ascii="Garamond" w:hAnsi="Garamond"/>
          <w:sz w:val="24"/>
          <w:szCs w:val="24"/>
        </w:rPr>
        <w:t>Krajský úřad Jihomoravského kraje,</w:t>
      </w:r>
      <w:r w:rsidRPr="009966FB">
        <w:rPr>
          <w:rFonts w:ascii="Garamond" w:hAnsi="Garamond"/>
          <w:b w:val="0"/>
          <w:sz w:val="24"/>
          <w:szCs w:val="24"/>
        </w:rPr>
        <w:t xml:space="preserve"> se sídlem Žerotínovo náměstí 449/3, Brno, za účasti osob zúčastněných na řízení: </w:t>
      </w:r>
      <w:r w:rsidRPr="009966FB">
        <w:rPr>
          <w:rFonts w:ascii="Garamond" w:hAnsi="Garamond"/>
          <w:sz w:val="24"/>
          <w:szCs w:val="24"/>
        </w:rPr>
        <w:t>I</w:t>
      </w:r>
      <w:r>
        <w:rPr>
          <w:rFonts w:ascii="Garamond" w:hAnsi="Garamond"/>
          <w:sz w:val="24"/>
          <w:szCs w:val="24"/>
        </w:rPr>
        <w:t>)</w:t>
      </w:r>
      <w:r w:rsidRPr="009966FB">
        <w:rPr>
          <w:rFonts w:ascii="Garamond" w:hAnsi="Garamond"/>
          <w:b w:val="0"/>
          <w:sz w:val="24"/>
          <w:szCs w:val="24"/>
        </w:rPr>
        <w:t xml:space="preserve"> </w:t>
      </w:r>
      <w:r w:rsidRPr="009966FB">
        <w:rPr>
          <w:rFonts w:ascii="Garamond" w:hAnsi="Garamond"/>
          <w:sz w:val="24"/>
          <w:szCs w:val="24"/>
        </w:rPr>
        <w:t>Děti země – Klub za</w:t>
      </w:r>
      <w:r>
        <w:rPr>
          <w:rFonts w:ascii="Garamond" w:hAnsi="Garamond"/>
          <w:sz w:val="24"/>
          <w:szCs w:val="24"/>
        </w:rPr>
        <w:t> </w:t>
      </w:r>
      <w:r w:rsidRPr="009966FB">
        <w:rPr>
          <w:rFonts w:ascii="Garamond" w:hAnsi="Garamond"/>
          <w:sz w:val="24"/>
          <w:szCs w:val="24"/>
        </w:rPr>
        <w:t>udržitelnou dopravu,</w:t>
      </w:r>
      <w:r w:rsidRPr="009966FB">
        <w:rPr>
          <w:rFonts w:ascii="Garamond" w:hAnsi="Garamond"/>
          <w:b w:val="0"/>
          <w:sz w:val="24"/>
          <w:szCs w:val="24"/>
        </w:rPr>
        <w:t xml:space="preserve"> se sídlem Cejl 866/50a, Brno a </w:t>
      </w:r>
      <w:r w:rsidRPr="009966FB">
        <w:rPr>
          <w:rFonts w:ascii="Garamond" w:hAnsi="Garamond"/>
          <w:sz w:val="24"/>
          <w:szCs w:val="24"/>
        </w:rPr>
        <w:t>II</w:t>
      </w:r>
      <w:r>
        <w:rPr>
          <w:rFonts w:ascii="Garamond" w:hAnsi="Garamond"/>
          <w:sz w:val="24"/>
          <w:szCs w:val="24"/>
        </w:rPr>
        <w:t>)</w:t>
      </w:r>
      <w:r w:rsidRPr="009966FB">
        <w:rPr>
          <w:rFonts w:ascii="Garamond" w:hAnsi="Garamond"/>
          <w:sz w:val="24"/>
          <w:szCs w:val="24"/>
        </w:rPr>
        <w:t xml:space="preserve"> Ředitelství silnic a dálnic ČR,</w:t>
      </w:r>
      <w:r w:rsidRPr="009966FB">
        <w:rPr>
          <w:rFonts w:ascii="Garamond" w:hAnsi="Garamond"/>
          <w:b w:val="0"/>
          <w:sz w:val="24"/>
          <w:szCs w:val="24"/>
        </w:rPr>
        <w:t xml:space="preserve"> se</w:t>
      </w:r>
      <w:r>
        <w:rPr>
          <w:rFonts w:ascii="Garamond" w:hAnsi="Garamond"/>
          <w:b w:val="0"/>
          <w:sz w:val="24"/>
          <w:szCs w:val="24"/>
        </w:rPr>
        <w:t> </w:t>
      </w:r>
      <w:r w:rsidRPr="009966FB">
        <w:rPr>
          <w:rFonts w:ascii="Garamond" w:hAnsi="Garamond"/>
          <w:b w:val="0"/>
          <w:sz w:val="24"/>
          <w:szCs w:val="24"/>
        </w:rPr>
        <w:t>sí</w:t>
      </w:r>
      <w:r>
        <w:rPr>
          <w:rFonts w:ascii="Garamond" w:hAnsi="Garamond"/>
          <w:b w:val="0"/>
          <w:sz w:val="24"/>
          <w:szCs w:val="24"/>
        </w:rPr>
        <w:t>dlem Na Pankráci 546/56, Praha 4, o </w:t>
      </w:r>
      <w:r w:rsidRPr="009966FB">
        <w:rPr>
          <w:rFonts w:ascii="Garamond" w:hAnsi="Garamond"/>
          <w:b w:val="0"/>
          <w:sz w:val="24"/>
          <w:szCs w:val="24"/>
        </w:rPr>
        <w:t>žalobě proti rozhodnutí žalovaného ze dne 3. 12. 2019, č</w:t>
      </w:r>
      <w:r>
        <w:rPr>
          <w:rFonts w:ascii="Garamond" w:hAnsi="Garamond"/>
          <w:b w:val="0"/>
          <w:sz w:val="24"/>
          <w:szCs w:val="24"/>
        </w:rPr>
        <w:t>j. JMK 172852/2019, v řízení o </w:t>
      </w:r>
      <w:r w:rsidRPr="009966FB">
        <w:rPr>
          <w:rFonts w:ascii="Garamond" w:hAnsi="Garamond"/>
          <w:b w:val="0"/>
          <w:sz w:val="24"/>
          <w:szCs w:val="24"/>
        </w:rPr>
        <w:t>kasačních stížnostech žalovaného a osoby zúčastněné na řízení II</w:t>
      </w:r>
      <w:r>
        <w:rPr>
          <w:rFonts w:ascii="Garamond" w:hAnsi="Garamond"/>
          <w:b w:val="0"/>
          <w:sz w:val="24"/>
          <w:szCs w:val="24"/>
        </w:rPr>
        <w:t>)</w:t>
      </w:r>
      <w:r w:rsidRPr="009966FB">
        <w:rPr>
          <w:rFonts w:ascii="Garamond" w:hAnsi="Garamond"/>
          <w:b w:val="0"/>
          <w:sz w:val="24"/>
          <w:szCs w:val="24"/>
        </w:rPr>
        <w:t xml:space="preserve"> proti rozsudku Krajského soudu v Ostravě ze dne 28. 1. 2021, čj. 38 A 2/2020-109,</w:t>
      </w:r>
    </w:p>
    <w:p w14:paraId="46F6900F" w14:textId="77777777" w:rsidR="00C85187" w:rsidRPr="009966FB" w:rsidRDefault="00C85187" w:rsidP="00C85187">
      <w:pPr>
        <w:jc w:val="both"/>
        <w:rPr>
          <w:rFonts w:ascii="Garamond" w:hAnsi="Garamond"/>
        </w:rPr>
      </w:pPr>
    </w:p>
    <w:p w14:paraId="46F69010" w14:textId="77777777" w:rsidR="00C85187" w:rsidRPr="009966FB" w:rsidRDefault="00C85187" w:rsidP="00C85187">
      <w:pPr>
        <w:jc w:val="center"/>
        <w:rPr>
          <w:rFonts w:ascii="Garamond" w:hAnsi="Garamond"/>
          <w:b/>
          <w:spacing w:val="60"/>
        </w:rPr>
      </w:pPr>
      <w:r w:rsidRPr="009966FB">
        <w:rPr>
          <w:rFonts w:ascii="Garamond" w:hAnsi="Garamond"/>
          <w:b/>
          <w:spacing w:val="60"/>
        </w:rPr>
        <w:t>takto:</w:t>
      </w:r>
    </w:p>
    <w:p w14:paraId="46F69011" w14:textId="77777777" w:rsidR="00C85187" w:rsidRPr="009966FB" w:rsidRDefault="00C85187" w:rsidP="00C85187">
      <w:pPr>
        <w:jc w:val="center"/>
        <w:rPr>
          <w:rFonts w:ascii="Garamond" w:hAnsi="Garamond"/>
          <w:b/>
        </w:rPr>
      </w:pPr>
    </w:p>
    <w:p w14:paraId="46F69012" w14:textId="77777777" w:rsidR="00C85187" w:rsidRPr="001E150E" w:rsidRDefault="00C85187" w:rsidP="00C85187">
      <w:pPr>
        <w:pStyle w:val="Odstavecseseznamem"/>
        <w:numPr>
          <w:ilvl w:val="0"/>
          <w:numId w:val="32"/>
        </w:numPr>
        <w:ind w:left="0" w:firstLine="0"/>
        <w:jc w:val="both"/>
        <w:rPr>
          <w:rFonts w:ascii="Garamond" w:hAnsi="Garamond"/>
          <w:b/>
        </w:rPr>
      </w:pPr>
      <w:r>
        <w:rPr>
          <w:rFonts w:ascii="Garamond" w:hAnsi="Garamond"/>
        </w:rPr>
        <w:t>Kasační stížnosti</w:t>
      </w:r>
      <w:r>
        <w:rPr>
          <w:rFonts w:ascii="Garamond" w:hAnsi="Garamond"/>
          <w:spacing w:val="60"/>
        </w:rPr>
        <w:t xml:space="preserve"> </w:t>
      </w:r>
      <w:r>
        <w:rPr>
          <w:rFonts w:ascii="Garamond" w:hAnsi="Garamond"/>
          <w:b/>
          <w:spacing w:val="60"/>
        </w:rPr>
        <w:t>se zamítají.</w:t>
      </w:r>
    </w:p>
    <w:p w14:paraId="46F69013" w14:textId="77777777" w:rsidR="00C85187" w:rsidRDefault="00C85187" w:rsidP="00C85187">
      <w:pPr>
        <w:pStyle w:val="Odstavecseseznamem"/>
        <w:ind w:left="0"/>
        <w:jc w:val="both"/>
        <w:rPr>
          <w:rFonts w:ascii="Garamond" w:hAnsi="Garamond"/>
          <w:b/>
        </w:rPr>
      </w:pPr>
    </w:p>
    <w:p w14:paraId="46F69014" w14:textId="77777777" w:rsidR="00C85187" w:rsidRDefault="00C85187" w:rsidP="00C85187">
      <w:pPr>
        <w:pStyle w:val="Odstavecseseznamem"/>
        <w:numPr>
          <w:ilvl w:val="0"/>
          <w:numId w:val="32"/>
        </w:numPr>
        <w:ind w:left="709" w:hanging="709"/>
        <w:jc w:val="both"/>
        <w:rPr>
          <w:rFonts w:ascii="Garamond" w:hAnsi="Garamond"/>
        </w:rPr>
      </w:pPr>
      <w:r>
        <w:rPr>
          <w:rFonts w:ascii="Garamond" w:hAnsi="Garamond"/>
        </w:rPr>
        <w:t xml:space="preserve">Žádný z účastníků řízení o kasačních stížnostech ani osoba zúčastněná na řízení I) </w:t>
      </w:r>
      <w:r w:rsidRPr="0076698F">
        <w:rPr>
          <w:rFonts w:ascii="Garamond" w:hAnsi="Garamond"/>
          <w:b/>
          <w:spacing w:val="60"/>
        </w:rPr>
        <w:t>nemají právo</w:t>
      </w:r>
      <w:r>
        <w:rPr>
          <w:rFonts w:ascii="Garamond" w:hAnsi="Garamond"/>
        </w:rPr>
        <w:t xml:space="preserve"> na náhradu nákladů řízení.</w:t>
      </w:r>
    </w:p>
    <w:p w14:paraId="46F69015" w14:textId="77777777" w:rsidR="00C85187" w:rsidRPr="009966FB" w:rsidRDefault="00C85187" w:rsidP="00C85187">
      <w:pPr>
        <w:pStyle w:val="mmstd"/>
        <w:spacing w:before="0" w:after="0" w:line="240" w:lineRule="auto"/>
        <w:ind w:firstLine="0"/>
        <w:rPr>
          <w:sz w:val="24"/>
          <w:szCs w:val="24"/>
        </w:rPr>
      </w:pPr>
    </w:p>
    <w:p w14:paraId="46F69016" w14:textId="77777777" w:rsidR="00C85187" w:rsidRPr="009966FB" w:rsidRDefault="00C85187" w:rsidP="00C85187">
      <w:pPr>
        <w:jc w:val="center"/>
        <w:rPr>
          <w:rFonts w:ascii="Garamond" w:hAnsi="Garamond"/>
          <w:b/>
        </w:rPr>
      </w:pPr>
    </w:p>
    <w:p w14:paraId="46F69017" w14:textId="77777777" w:rsidR="00C85187" w:rsidRPr="009966FB" w:rsidRDefault="00C85187" w:rsidP="00C85187">
      <w:pPr>
        <w:jc w:val="center"/>
        <w:outlineLvl w:val="0"/>
        <w:rPr>
          <w:rFonts w:ascii="Garamond" w:hAnsi="Garamond"/>
          <w:b/>
        </w:rPr>
      </w:pPr>
      <w:r w:rsidRPr="009966FB">
        <w:rPr>
          <w:rFonts w:ascii="Garamond" w:hAnsi="Garamond"/>
          <w:b/>
          <w:spacing w:val="60"/>
        </w:rPr>
        <w:t>Odůvodnění:</w:t>
      </w:r>
    </w:p>
    <w:p w14:paraId="46F69018" w14:textId="77777777" w:rsidR="00C85187" w:rsidRPr="009966FB" w:rsidRDefault="00C85187" w:rsidP="00C85187">
      <w:pPr>
        <w:jc w:val="center"/>
        <w:rPr>
          <w:rFonts w:ascii="Garamond" w:hAnsi="Garamond"/>
          <w:b/>
        </w:rPr>
      </w:pPr>
    </w:p>
    <w:p w14:paraId="46F69019" w14:textId="77777777" w:rsidR="00C85187" w:rsidRPr="009966FB" w:rsidRDefault="00C85187" w:rsidP="00C85187">
      <w:pPr>
        <w:jc w:val="center"/>
        <w:rPr>
          <w:rFonts w:ascii="Garamond" w:hAnsi="Garamond"/>
          <w:b/>
        </w:rPr>
      </w:pPr>
      <w:r w:rsidRPr="009966FB">
        <w:rPr>
          <w:rFonts w:ascii="Garamond" w:hAnsi="Garamond"/>
          <w:b/>
        </w:rPr>
        <w:t xml:space="preserve">I. Vymezení věci </w:t>
      </w:r>
    </w:p>
    <w:p w14:paraId="46F6901A" w14:textId="77777777" w:rsidR="00C85187" w:rsidRPr="009966FB" w:rsidRDefault="00C85187" w:rsidP="00C85187">
      <w:pPr>
        <w:jc w:val="center"/>
        <w:rPr>
          <w:rFonts w:ascii="Garamond" w:hAnsi="Garamond"/>
          <w:b/>
        </w:rPr>
      </w:pPr>
    </w:p>
    <w:p w14:paraId="46F6901B" w14:textId="77777777" w:rsidR="00C85187" w:rsidRPr="009966FB" w:rsidRDefault="00C85187" w:rsidP="00C85187">
      <w:pPr>
        <w:pStyle w:val="Odstavecseseznamem"/>
        <w:numPr>
          <w:ilvl w:val="0"/>
          <w:numId w:val="16"/>
        </w:numPr>
        <w:spacing w:after="240"/>
        <w:ind w:left="0" w:firstLine="0"/>
        <w:contextualSpacing w:val="0"/>
        <w:jc w:val="both"/>
        <w:rPr>
          <w:rFonts w:ascii="Garamond" w:hAnsi="Garamond"/>
          <w:bCs/>
          <w:lang w:eastAsia="ar-SA"/>
        </w:rPr>
      </w:pPr>
      <w:r>
        <w:rPr>
          <w:rFonts w:ascii="Garamond" w:hAnsi="Garamond"/>
          <w:bCs/>
          <w:lang w:eastAsia="ar-SA"/>
        </w:rPr>
        <w:t>S</w:t>
      </w:r>
      <w:r w:rsidRPr="009966FB">
        <w:rPr>
          <w:rFonts w:ascii="Garamond" w:hAnsi="Garamond"/>
          <w:bCs/>
          <w:lang w:eastAsia="ar-SA"/>
        </w:rPr>
        <w:t>por se týká účastenství žalobce</w:t>
      </w:r>
      <w:r>
        <w:rPr>
          <w:rFonts w:ascii="Garamond" w:hAnsi="Garamond"/>
          <w:bCs/>
          <w:lang w:eastAsia="ar-SA"/>
        </w:rPr>
        <w:t xml:space="preserve"> </w:t>
      </w:r>
      <w:r w:rsidRPr="00373EC4">
        <w:rPr>
          <w:rFonts w:ascii="Garamond" w:hAnsi="Garamond"/>
          <w:bCs/>
          <w:lang w:eastAsia="ar-SA"/>
        </w:rPr>
        <w:t>–</w:t>
      </w:r>
      <w:r>
        <w:rPr>
          <w:rFonts w:ascii="Garamond" w:hAnsi="Garamond"/>
          <w:bCs/>
          <w:lang w:eastAsia="ar-SA"/>
        </w:rPr>
        <w:t xml:space="preserve"> rakouského environmentálního spolku </w:t>
      </w:r>
      <w:r w:rsidRPr="00373EC4">
        <w:rPr>
          <w:rFonts w:ascii="Garamond" w:hAnsi="Garamond"/>
          <w:bCs/>
          <w:lang w:eastAsia="ar-SA"/>
        </w:rPr>
        <w:t>–</w:t>
      </w:r>
      <w:r w:rsidRPr="009966FB">
        <w:rPr>
          <w:rFonts w:ascii="Garamond" w:hAnsi="Garamond"/>
          <w:bCs/>
          <w:lang w:eastAsia="ar-SA"/>
        </w:rPr>
        <w:t xml:space="preserve"> v územním řízení</w:t>
      </w:r>
      <w:r>
        <w:rPr>
          <w:rFonts w:ascii="Garamond" w:hAnsi="Garamond"/>
          <w:bCs/>
          <w:lang w:eastAsia="ar-SA"/>
        </w:rPr>
        <w:t xml:space="preserve"> o </w:t>
      </w:r>
      <w:r w:rsidRPr="009966FB">
        <w:rPr>
          <w:rFonts w:ascii="Garamond" w:hAnsi="Garamond"/>
          <w:bCs/>
          <w:lang w:eastAsia="ar-SA"/>
        </w:rPr>
        <w:t>umístění stavby „</w:t>
      </w:r>
      <w:bookmarkStart w:id="1" w:name="_Hlk74862322"/>
      <w:r w:rsidRPr="009966FB">
        <w:rPr>
          <w:rFonts w:ascii="Garamond" w:hAnsi="Garamond"/>
          <w:bCs/>
          <w:lang w:eastAsia="ar-SA"/>
        </w:rPr>
        <w:t xml:space="preserve">Rychlostní silnice R52, stavba 5206 Perná – st. </w:t>
      </w:r>
      <w:r>
        <w:rPr>
          <w:rFonts w:ascii="Garamond" w:hAnsi="Garamond"/>
          <w:bCs/>
          <w:lang w:eastAsia="ar-SA"/>
        </w:rPr>
        <w:t>h</w:t>
      </w:r>
      <w:r w:rsidRPr="009966FB">
        <w:rPr>
          <w:rFonts w:ascii="Garamond" w:hAnsi="Garamond"/>
          <w:bCs/>
          <w:lang w:eastAsia="ar-SA"/>
        </w:rPr>
        <w:t>ranice ČR/Rakousko</w:t>
      </w:r>
      <w:bookmarkEnd w:id="1"/>
      <w:r w:rsidRPr="009966FB">
        <w:rPr>
          <w:rFonts w:ascii="Garamond" w:hAnsi="Garamond"/>
          <w:bCs/>
          <w:lang w:eastAsia="ar-SA"/>
        </w:rPr>
        <w:t>“ (dále „záměr R52“). Žalovaný napadeným rozhodnutím částečně potvrdil a částečně změnil rozhodnutí Městského úřadu Mikulov (dále jen „stavební úřad“) ze dne 1</w:t>
      </w:r>
      <w:r>
        <w:rPr>
          <w:rFonts w:ascii="Garamond" w:hAnsi="Garamond"/>
          <w:bCs/>
          <w:lang w:eastAsia="ar-SA"/>
        </w:rPr>
        <w:t>1</w:t>
      </w:r>
      <w:r w:rsidRPr="009966FB">
        <w:rPr>
          <w:rFonts w:ascii="Garamond" w:hAnsi="Garamond"/>
          <w:bCs/>
          <w:lang w:eastAsia="ar-SA"/>
        </w:rPr>
        <w:t>. 9. 2018, čj.</w:t>
      </w:r>
      <w:r>
        <w:rPr>
          <w:rFonts w:ascii="Garamond" w:hAnsi="Garamond"/>
          <w:bCs/>
          <w:lang w:eastAsia="ar-SA"/>
        </w:rPr>
        <w:t> </w:t>
      </w:r>
      <w:r w:rsidRPr="009966FB">
        <w:rPr>
          <w:rFonts w:ascii="Garamond" w:hAnsi="Garamond"/>
          <w:bCs/>
          <w:lang w:eastAsia="ar-SA"/>
        </w:rPr>
        <w:t>MUMI 18034090, sp. zn. STU/9043/2010/ALEL, o umístění záměru R52 (dále jen „územní rozhodnutí“). Výrokem II žalovaný zamítl odvolání žalobce jako nepřípustné a</w:t>
      </w:r>
      <w:r>
        <w:rPr>
          <w:rFonts w:ascii="Garamond" w:hAnsi="Garamond"/>
          <w:bCs/>
          <w:lang w:eastAsia="ar-SA"/>
        </w:rPr>
        <w:t> </w:t>
      </w:r>
      <w:r w:rsidRPr="009966FB">
        <w:rPr>
          <w:rFonts w:ascii="Garamond" w:hAnsi="Garamond"/>
          <w:bCs/>
          <w:lang w:eastAsia="ar-SA"/>
        </w:rPr>
        <w:t>výrokem V provedl dílčí změny územního rozhodnutí a zamítl odvolání dalších účastníků řízení.</w:t>
      </w:r>
    </w:p>
    <w:p w14:paraId="46F6901C" w14:textId="77777777" w:rsidR="00C85187" w:rsidRPr="009966FB" w:rsidRDefault="00C85187" w:rsidP="00C85187">
      <w:pPr>
        <w:pStyle w:val="Odstavecseseznamem"/>
        <w:numPr>
          <w:ilvl w:val="0"/>
          <w:numId w:val="16"/>
        </w:numPr>
        <w:spacing w:after="240"/>
        <w:ind w:left="0" w:firstLine="0"/>
        <w:contextualSpacing w:val="0"/>
        <w:jc w:val="both"/>
        <w:rPr>
          <w:rFonts w:ascii="Garamond" w:hAnsi="Garamond"/>
          <w:bCs/>
          <w:lang w:eastAsia="ar-SA"/>
        </w:rPr>
      </w:pPr>
      <w:r>
        <w:rPr>
          <w:rFonts w:ascii="Garamond" w:hAnsi="Garamond"/>
          <w:bCs/>
          <w:lang w:eastAsia="ar-SA"/>
        </w:rPr>
        <w:t>Ž</w:t>
      </w:r>
      <w:r w:rsidRPr="009966FB">
        <w:rPr>
          <w:rFonts w:ascii="Garamond" w:hAnsi="Garamond"/>
          <w:bCs/>
          <w:lang w:eastAsia="ar-SA"/>
        </w:rPr>
        <w:t xml:space="preserve">alobce </w:t>
      </w:r>
      <w:r>
        <w:rPr>
          <w:rFonts w:ascii="Garamond" w:hAnsi="Garamond"/>
          <w:bCs/>
          <w:lang w:eastAsia="ar-SA"/>
        </w:rPr>
        <w:t>podal proti výrokům II a V rozhodnutí žalovaného</w:t>
      </w:r>
      <w:r w:rsidRPr="00A01836">
        <w:rPr>
          <w:rFonts w:ascii="Garamond" w:hAnsi="Garamond"/>
          <w:bCs/>
          <w:lang w:eastAsia="ar-SA"/>
        </w:rPr>
        <w:t xml:space="preserve"> žalobu</w:t>
      </w:r>
      <w:r>
        <w:rPr>
          <w:rFonts w:ascii="Garamond" w:hAnsi="Garamond"/>
          <w:bCs/>
          <w:lang w:eastAsia="ar-SA"/>
        </w:rPr>
        <w:t xml:space="preserve">. </w:t>
      </w:r>
      <w:r w:rsidRPr="009966FB">
        <w:rPr>
          <w:rFonts w:ascii="Garamond" w:hAnsi="Garamond"/>
          <w:bCs/>
          <w:lang w:eastAsia="ar-SA"/>
        </w:rPr>
        <w:t xml:space="preserve">Krajský soud </w:t>
      </w:r>
      <w:r>
        <w:rPr>
          <w:rFonts w:ascii="Garamond" w:hAnsi="Garamond"/>
          <w:bCs/>
          <w:lang w:eastAsia="ar-SA"/>
        </w:rPr>
        <w:t xml:space="preserve">v Ostravě </w:t>
      </w:r>
      <w:r w:rsidRPr="009966FB">
        <w:rPr>
          <w:rFonts w:ascii="Garamond" w:hAnsi="Garamond"/>
          <w:bCs/>
          <w:lang w:eastAsia="ar-SA"/>
        </w:rPr>
        <w:t xml:space="preserve">rozsudkem </w:t>
      </w:r>
      <w:r w:rsidRPr="009966FB">
        <w:rPr>
          <w:rFonts w:ascii="Garamond" w:hAnsi="Garamond"/>
        </w:rPr>
        <w:t>ze dne 30. 9. 2020</w:t>
      </w:r>
      <w:r>
        <w:rPr>
          <w:rFonts w:ascii="Garamond" w:hAnsi="Garamond"/>
        </w:rPr>
        <w:t>,</w:t>
      </w:r>
      <w:r w:rsidRPr="009966FB">
        <w:rPr>
          <w:rFonts w:ascii="Garamond" w:hAnsi="Garamond"/>
        </w:rPr>
        <w:t xml:space="preserve"> čj. 38 A 2/2020-64</w:t>
      </w:r>
      <w:r>
        <w:rPr>
          <w:rFonts w:ascii="Garamond" w:hAnsi="Garamond"/>
        </w:rPr>
        <w:t>,</w:t>
      </w:r>
      <w:r w:rsidRPr="009966FB">
        <w:rPr>
          <w:rFonts w:ascii="Garamond" w:hAnsi="Garamond"/>
        </w:rPr>
        <w:t xml:space="preserve"> ve znění usnesení ze</w:t>
      </w:r>
      <w:r>
        <w:rPr>
          <w:rFonts w:ascii="Garamond" w:hAnsi="Garamond"/>
        </w:rPr>
        <w:t> </w:t>
      </w:r>
      <w:r w:rsidRPr="009966FB">
        <w:rPr>
          <w:rFonts w:ascii="Garamond" w:hAnsi="Garamond"/>
        </w:rPr>
        <w:t>dne</w:t>
      </w:r>
      <w:r>
        <w:rPr>
          <w:rFonts w:ascii="Garamond" w:hAnsi="Garamond"/>
        </w:rPr>
        <w:t> </w:t>
      </w:r>
      <w:r w:rsidRPr="009966FB">
        <w:rPr>
          <w:rFonts w:ascii="Garamond" w:hAnsi="Garamond"/>
        </w:rPr>
        <w:t>6.</w:t>
      </w:r>
      <w:r>
        <w:rPr>
          <w:rFonts w:ascii="Garamond" w:hAnsi="Garamond"/>
        </w:rPr>
        <w:t> </w:t>
      </w:r>
      <w:r w:rsidRPr="009966FB">
        <w:rPr>
          <w:rFonts w:ascii="Garamond" w:hAnsi="Garamond"/>
        </w:rPr>
        <w:t>10.</w:t>
      </w:r>
      <w:r>
        <w:rPr>
          <w:rFonts w:ascii="Garamond" w:hAnsi="Garamond"/>
        </w:rPr>
        <w:t> </w:t>
      </w:r>
      <w:r w:rsidRPr="009966FB">
        <w:rPr>
          <w:rFonts w:ascii="Garamond" w:hAnsi="Garamond"/>
        </w:rPr>
        <w:t>2020</w:t>
      </w:r>
      <w:r>
        <w:rPr>
          <w:rFonts w:ascii="Garamond" w:hAnsi="Garamond"/>
        </w:rPr>
        <w:t>,</w:t>
      </w:r>
      <w:r w:rsidRPr="009966FB">
        <w:rPr>
          <w:rFonts w:ascii="Garamond" w:hAnsi="Garamond"/>
        </w:rPr>
        <w:t xml:space="preserve"> čj. 38 A 32/2020-77</w:t>
      </w:r>
      <w:r>
        <w:rPr>
          <w:rFonts w:ascii="Garamond" w:hAnsi="Garamond"/>
        </w:rPr>
        <w:t>,</w:t>
      </w:r>
      <w:r w:rsidRPr="009966FB">
        <w:rPr>
          <w:rFonts w:ascii="Garamond" w:hAnsi="Garamond"/>
        </w:rPr>
        <w:t xml:space="preserve"> nevyhověl návrhu žalobce na spojení věcí</w:t>
      </w:r>
      <w:r>
        <w:rPr>
          <w:rFonts w:ascii="Garamond" w:hAnsi="Garamond"/>
        </w:rPr>
        <w:t>,</w:t>
      </w:r>
      <w:r w:rsidRPr="009966FB">
        <w:rPr>
          <w:rFonts w:ascii="Garamond" w:hAnsi="Garamond"/>
        </w:rPr>
        <w:t xml:space="preserve"> </w:t>
      </w:r>
      <w:r w:rsidRPr="009966FB">
        <w:rPr>
          <w:rFonts w:ascii="Garamond" w:hAnsi="Garamond" w:cs="Garamond"/>
        </w:rPr>
        <w:t>rozhodnutí žalovaného v napadeném rozsahu zrušil a věc mu vrátil k dalšímu řízení.</w:t>
      </w:r>
      <w:r w:rsidRPr="009966FB">
        <w:rPr>
          <w:rFonts w:ascii="Garamond" w:hAnsi="Garamond"/>
          <w:bCs/>
          <w:lang w:eastAsia="ar-SA"/>
        </w:rPr>
        <w:t xml:space="preserve"> </w:t>
      </w:r>
      <w:r w:rsidRPr="009966FB">
        <w:rPr>
          <w:rFonts w:ascii="Garamond" w:hAnsi="Garamond"/>
        </w:rPr>
        <w:t xml:space="preserve">Tento rozsudek </w:t>
      </w:r>
      <w:r>
        <w:rPr>
          <w:rFonts w:ascii="Garamond" w:hAnsi="Garamond"/>
        </w:rPr>
        <w:t xml:space="preserve">zrušil NSS </w:t>
      </w:r>
      <w:r w:rsidRPr="009966FB">
        <w:rPr>
          <w:rFonts w:ascii="Garamond" w:hAnsi="Garamond"/>
        </w:rPr>
        <w:t>rozsudkem ze dne 22. 12. 2020</w:t>
      </w:r>
      <w:r>
        <w:rPr>
          <w:rFonts w:ascii="Garamond" w:hAnsi="Garamond"/>
        </w:rPr>
        <w:t>,</w:t>
      </w:r>
      <w:r w:rsidRPr="009966FB">
        <w:rPr>
          <w:rFonts w:ascii="Garamond" w:hAnsi="Garamond"/>
        </w:rPr>
        <w:t xml:space="preserve"> čj. 1 As 390/2020-64</w:t>
      </w:r>
      <w:r>
        <w:rPr>
          <w:rFonts w:ascii="Garamond" w:hAnsi="Garamond"/>
        </w:rPr>
        <w:t>,</w:t>
      </w:r>
      <w:r w:rsidRPr="00810435">
        <w:rPr>
          <w:rFonts w:ascii="Garamond" w:hAnsi="Garamond"/>
        </w:rPr>
        <w:t xml:space="preserve"> </w:t>
      </w:r>
      <w:r>
        <w:rPr>
          <w:rFonts w:ascii="Garamond" w:hAnsi="Garamond"/>
        </w:rPr>
        <w:t xml:space="preserve">neboť krajský soud v řízení nejednal s Ředitelstvím silnic a dálnic ČR [osoba zúčastněná na řízení II)] jako s osobou zúčastněnou </w:t>
      </w:r>
      <w:r>
        <w:rPr>
          <w:rFonts w:ascii="Garamond" w:hAnsi="Garamond"/>
        </w:rPr>
        <w:lastRenderedPageBreak/>
        <w:t>na řízení</w:t>
      </w:r>
      <w:r w:rsidRPr="009966FB">
        <w:rPr>
          <w:rFonts w:ascii="Garamond" w:hAnsi="Garamond"/>
        </w:rPr>
        <w:t xml:space="preserve">. Krajský soud </w:t>
      </w:r>
      <w:r>
        <w:rPr>
          <w:rFonts w:ascii="Garamond" w:hAnsi="Garamond"/>
        </w:rPr>
        <w:t xml:space="preserve">si následně vyžádal </w:t>
      </w:r>
      <w:r w:rsidRPr="009966FB">
        <w:rPr>
          <w:rFonts w:ascii="Garamond" w:hAnsi="Garamond"/>
        </w:rPr>
        <w:t xml:space="preserve">vyjádření </w:t>
      </w:r>
      <w:r>
        <w:rPr>
          <w:rFonts w:ascii="Garamond" w:hAnsi="Garamond"/>
        </w:rPr>
        <w:t>tohoto subjektu</w:t>
      </w:r>
      <w:r w:rsidRPr="009966FB">
        <w:rPr>
          <w:rFonts w:ascii="Garamond" w:hAnsi="Garamond"/>
        </w:rPr>
        <w:t xml:space="preserve"> a</w:t>
      </w:r>
      <w:r>
        <w:rPr>
          <w:rFonts w:ascii="Garamond" w:hAnsi="Garamond"/>
        </w:rPr>
        <w:t> rozsudkem ze dne </w:t>
      </w:r>
      <w:r w:rsidRPr="009966FB">
        <w:rPr>
          <w:rFonts w:ascii="Garamond" w:hAnsi="Garamond"/>
        </w:rPr>
        <w:t>28. 1. 2021 opět nevyhověl návrhu žalobce na spojení věcí</w:t>
      </w:r>
      <w:r>
        <w:rPr>
          <w:rFonts w:ascii="Garamond" w:hAnsi="Garamond"/>
        </w:rPr>
        <w:t>.</w:t>
      </w:r>
      <w:r w:rsidRPr="009966FB">
        <w:rPr>
          <w:rFonts w:ascii="Garamond" w:hAnsi="Garamond"/>
        </w:rPr>
        <w:t xml:space="preserve"> </w:t>
      </w:r>
      <w:r>
        <w:rPr>
          <w:rFonts w:ascii="Garamond" w:hAnsi="Garamond"/>
        </w:rPr>
        <w:t>R</w:t>
      </w:r>
      <w:r w:rsidRPr="009966FB">
        <w:rPr>
          <w:rFonts w:ascii="Garamond" w:hAnsi="Garamond"/>
        </w:rPr>
        <w:t>ozhodnutí žalovaného v napadeném rozsahu</w:t>
      </w:r>
      <w:r>
        <w:rPr>
          <w:rFonts w:ascii="Garamond" w:hAnsi="Garamond"/>
        </w:rPr>
        <w:t xml:space="preserve"> zrušil a věc mu vrátil k dalšímu řízení</w:t>
      </w:r>
      <w:r w:rsidRPr="009966FB">
        <w:rPr>
          <w:rFonts w:ascii="Garamond" w:hAnsi="Garamond"/>
        </w:rPr>
        <w:t>.</w:t>
      </w:r>
    </w:p>
    <w:p w14:paraId="46F6901D" w14:textId="77777777" w:rsidR="00C85187" w:rsidRPr="009966FB" w:rsidRDefault="00C85187" w:rsidP="00C85187">
      <w:pPr>
        <w:pStyle w:val="Odstavecseseznamem"/>
        <w:numPr>
          <w:ilvl w:val="0"/>
          <w:numId w:val="16"/>
        </w:numPr>
        <w:spacing w:after="240"/>
        <w:ind w:left="0" w:firstLine="0"/>
        <w:contextualSpacing w:val="0"/>
        <w:jc w:val="both"/>
        <w:rPr>
          <w:rFonts w:ascii="Garamond" w:hAnsi="Garamond"/>
        </w:rPr>
      </w:pPr>
      <w:r>
        <w:rPr>
          <w:rFonts w:ascii="Garamond" w:hAnsi="Garamond"/>
        </w:rPr>
        <w:t xml:space="preserve">Podle krajského soudu je </w:t>
      </w:r>
      <w:r w:rsidRPr="009966FB">
        <w:rPr>
          <w:rFonts w:ascii="Garamond" w:hAnsi="Garamond"/>
        </w:rPr>
        <w:t xml:space="preserve">vhodné, </w:t>
      </w:r>
      <w:r>
        <w:rPr>
          <w:rFonts w:ascii="Garamond" w:hAnsi="Garamond"/>
        </w:rPr>
        <w:t>pokud jsou</w:t>
      </w:r>
      <w:r w:rsidRPr="009966FB">
        <w:rPr>
          <w:rFonts w:ascii="Garamond" w:hAnsi="Garamond"/>
        </w:rPr>
        <w:t xml:space="preserve"> věcně projednány řádně uplatněné žalobní námitky všech žalobců směřující proti </w:t>
      </w:r>
      <w:r>
        <w:rPr>
          <w:rFonts w:ascii="Garamond" w:hAnsi="Garamond"/>
        </w:rPr>
        <w:t>témuž</w:t>
      </w:r>
      <w:r w:rsidRPr="009966FB">
        <w:rPr>
          <w:rFonts w:ascii="Garamond" w:hAnsi="Garamond"/>
        </w:rPr>
        <w:t xml:space="preserve"> rozhodnutí. S</w:t>
      </w:r>
      <w:r>
        <w:rPr>
          <w:rFonts w:ascii="Garamond" w:hAnsi="Garamond"/>
        </w:rPr>
        <w:t>pojení ke </w:t>
      </w:r>
      <w:r w:rsidRPr="009966FB">
        <w:rPr>
          <w:rFonts w:ascii="Garamond" w:hAnsi="Garamond"/>
        </w:rPr>
        <w:t>společnému projednání však nebylo možné, neboť v</w:t>
      </w:r>
      <w:r>
        <w:rPr>
          <w:rFonts w:ascii="Garamond" w:hAnsi="Garamond"/>
        </w:rPr>
        <w:t xml:space="preserve"> řízeních o ostatních žalobách </w:t>
      </w:r>
      <w:r w:rsidRPr="009966FB">
        <w:rPr>
          <w:rFonts w:ascii="Garamond" w:hAnsi="Garamond"/>
        </w:rPr>
        <w:t xml:space="preserve">proti </w:t>
      </w:r>
      <w:r>
        <w:rPr>
          <w:rFonts w:ascii="Garamond" w:hAnsi="Garamond"/>
        </w:rPr>
        <w:t>napadenému</w:t>
      </w:r>
      <w:r w:rsidRPr="009966FB">
        <w:rPr>
          <w:rFonts w:ascii="Garamond" w:hAnsi="Garamond"/>
        </w:rPr>
        <w:t xml:space="preserve"> rozhodnutí již krajský soud </w:t>
      </w:r>
      <w:r>
        <w:rPr>
          <w:rFonts w:ascii="Garamond" w:hAnsi="Garamond"/>
        </w:rPr>
        <w:t>dříve</w:t>
      </w:r>
      <w:r w:rsidDel="00A32FF0">
        <w:rPr>
          <w:rFonts w:ascii="Garamond" w:hAnsi="Garamond"/>
        </w:rPr>
        <w:t xml:space="preserve"> </w:t>
      </w:r>
      <w:r w:rsidRPr="009966FB">
        <w:rPr>
          <w:rFonts w:ascii="Garamond" w:hAnsi="Garamond"/>
        </w:rPr>
        <w:t>rozhod</w:t>
      </w:r>
      <w:r>
        <w:rPr>
          <w:rFonts w:ascii="Garamond" w:hAnsi="Garamond"/>
        </w:rPr>
        <w:t>l</w:t>
      </w:r>
      <w:r w:rsidRPr="009966FB">
        <w:rPr>
          <w:rFonts w:ascii="Garamond" w:hAnsi="Garamond"/>
        </w:rPr>
        <w:t>.</w:t>
      </w:r>
    </w:p>
    <w:p w14:paraId="46F6901E" w14:textId="77777777" w:rsidR="00C85187" w:rsidRPr="009966FB" w:rsidRDefault="00C85187" w:rsidP="00C85187">
      <w:pPr>
        <w:pStyle w:val="Odstavecseseznamem"/>
        <w:numPr>
          <w:ilvl w:val="0"/>
          <w:numId w:val="16"/>
        </w:numPr>
        <w:spacing w:after="240"/>
        <w:ind w:left="0" w:firstLine="0"/>
        <w:contextualSpacing w:val="0"/>
        <w:jc w:val="both"/>
        <w:rPr>
          <w:rFonts w:ascii="Garamond" w:hAnsi="Garamond"/>
        </w:rPr>
      </w:pPr>
      <w:r>
        <w:rPr>
          <w:rFonts w:ascii="Garamond" w:hAnsi="Garamond"/>
        </w:rPr>
        <w:t>S</w:t>
      </w:r>
      <w:r w:rsidRPr="009966FB">
        <w:rPr>
          <w:rFonts w:ascii="Garamond" w:hAnsi="Garamond"/>
        </w:rPr>
        <w:t>tavební úřad</w:t>
      </w:r>
      <w:r>
        <w:rPr>
          <w:rFonts w:ascii="Garamond" w:hAnsi="Garamond"/>
        </w:rPr>
        <w:t xml:space="preserve"> podle soudu pochybil</w:t>
      </w:r>
      <w:r w:rsidRPr="009966FB">
        <w:rPr>
          <w:rFonts w:ascii="Garamond" w:hAnsi="Garamond"/>
        </w:rPr>
        <w:t xml:space="preserve">, </w:t>
      </w:r>
      <w:r>
        <w:rPr>
          <w:rFonts w:ascii="Garamond" w:hAnsi="Garamond"/>
        </w:rPr>
        <w:t>pokud</w:t>
      </w:r>
      <w:r w:rsidRPr="009966FB">
        <w:rPr>
          <w:rFonts w:ascii="Garamond" w:hAnsi="Garamond"/>
        </w:rPr>
        <w:t xml:space="preserve"> se nezabýval účastenstvím žalobce v</w:t>
      </w:r>
      <w:r>
        <w:rPr>
          <w:rFonts w:ascii="Garamond" w:hAnsi="Garamond"/>
        </w:rPr>
        <w:t xml:space="preserve"> územním </w:t>
      </w:r>
      <w:r w:rsidRPr="009966FB">
        <w:rPr>
          <w:rFonts w:ascii="Garamond" w:hAnsi="Garamond"/>
        </w:rPr>
        <w:t>řízení. Žalovaný tento postup potvrdil a konstatoval, že žalobce není tzv. dotčenou veřejností, která by podle § 9c odst. 3 zákona č. 100/2001 Sb., o posuzování vlivů na životní prostředí a o změně některých souvisejících zákonů (</w:t>
      </w:r>
      <w:r>
        <w:rPr>
          <w:rFonts w:ascii="Garamond" w:hAnsi="Garamond"/>
        </w:rPr>
        <w:t>dále jen „</w:t>
      </w:r>
      <w:r w:rsidRPr="009966FB">
        <w:rPr>
          <w:rFonts w:ascii="Garamond" w:hAnsi="Garamond"/>
        </w:rPr>
        <w:t>zákon o posuzování vlivů</w:t>
      </w:r>
      <w:r>
        <w:rPr>
          <w:rFonts w:ascii="Garamond" w:hAnsi="Garamond"/>
        </w:rPr>
        <w:t>“), byla </w:t>
      </w:r>
      <w:r w:rsidRPr="009966FB">
        <w:rPr>
          <w:rFonts w:ascii="Garamond" w:hAnsi="Garamond"/>
        </w:rPr>
        <w:t>účastníkem navazujícího řízení či která by i bez účasti v</w:t>
      </w:r>
      <w:r>
        <w:rPr>
          <w:rFonts w:ascii="Garamond" w:hAnsi="Garamond"/>
        </w:rPr>
        <w:t xml:space="preserve"> tomto </w:t>
      </w:r>
      <w:r w:rsidRPr="009966FB">
        <w:rPr>
          <w:rFonts w:ascii="Garamond" w:hAnsi="Garamond"/>
        </w:rPr>
        <w:t xml:space="preserve">řízení mohla podat odvolání podle § 9c odst. 4 téhož zákona. Žalovaný pochybení stavebního úřadu nenapravil, nerespektoval závazky plynoucí z mezinárodních úmluv a dopustil se zásadních procesních pochybení. </w:t>
      </w:r>
      <w:r>
        <w:rPr>
          <w:rFonts w:ascii="Garamond" w:hAnsi="Garamond"/>
        </w:rPr>
        <w:t>Závěr </w:t>
      </w:r>
      <w:r w:rsidRPr="009966FB">
        <w:rPr>
          <w:rFonts w:ascii="Garamond" w:hAnsi="Garamond"/>
        </w:rPr>
        <w:t>žalovaného</w:t>
      </w:r>
      <w:r>
        <w:rPr>
          <w:rFonts w:ascii="Garamond" w:hAnsi="Garamond"/>
        </w:rPr>
        <w:t>, že </w:t>
      </w:r>
      <w:r w:rsidRPr="009966FB">
        <w:rPr>
          <w:rFonts w:ascii="Garamond" w:hAnsi="Garamond"/>
        </w:rPr>
        <w:t>žalobce není dotčenou veřejností</w:t>
      </w:r>
      <w:r>
        <w:rPr>
          <w:rFonts w:ascii="Garamond" w:hAnsi="Garamond"/>
        </w:rPr>
        <w:t>,</w:t>
      </w:r>
      <w:r w:rsidRPr="009966FB">
        <w:rPr>
          <w:rFonts w:ascii="Garamond" w:hAnsi="Garamond"/>
        </w:rPr>
        <w:t xml:space="preserve"> </w:t>
      </w:r>
      <w:r>
        <w:rPr>
          <w:rFonts w:ascii="Garamond" w:hAnsi="Garamond"/>
        </w:rPr>
        <w:t>není podložen žádnou</w:t>
      </w:r>
      <w:r w:rsidRPr="009966FB">
        <w:rPr>
          <w:rFonts w:ascii="Garamond" w:hAnsi="Garamond"/>
        </w:rPr>
        <w:t xml:space="preserve"> správní úvah</w:t>
      </w:r>
      <w:r>
        <w:rPr>
          <w:rFonts w:ascii="Garamond" w:hAnsi="Garamond"/>
        </w:rPr>
        <w:t>o</w:t>
      </w:r>
      <w:r w:rsidRPr="009966FB">
        <w:rPr>
          <w:rFonts w:ascii="Garamond" w:hAnsi="Garamond"/>
        </w:rPr>
        <w:t xml:space="preserve">u </w:t>
      </w:r>
      <w:r>
        <w:rPr>
          <w:rFonts w:ascii="Garamond" w:hAnsi="Garamond"/>
        </w:rPr>
        <w:t>ani </w:t>
      </w:r>
      <w:r w:rsidRPr="009966FB">
        <w:rPr>
          <w:rFonts w:ascii="Garamond" w:hAnsi="Garamond"/>
        </w:rPr>
        <w:t>hodnocení</w:t>
      </w:r>
      <w:r>
        <w:rPr>
          <w:rFonts w:ascii="Garamond" w:hAnsi="Garamond"/>
        </w:rPr>
        <w:t>m</w:t>
      </w:r>
      <w:r w:rsidRPr="009966FB">
        <w:rPr>
          <w:rFonts w:ascii="Garamond" w:hAnsi="Garamond"/>
        </w:rPr>
        <w:t xml:space="preserve"> podmínek účastenství</w:t>
      </w:r>
      <w:r>
        <w:rPr>
          <w:rFonts w:ascii="Garamond" w:hAnsi="Garamond"/>
        </w:rPr>
        <w:t>.</w:t>
      </w:r>
      <w:r w:rsidRPr="009966FB">
        <w:rPr>
          <w:rFonts w:ascii="Garamond" w:hAnsi="Garamond"/>
        </w:rPr>
        <w:t xml:space="preserve"> </w:t>
      </w:r>
      <w:r>
        <w:rPr>
          <w:rFonts w:ascii="Garamond" w:hAnsi="Garamond"/>
        </w:rPr>
        <w:t>Zároveň není</w:t>
      </w:r>
      <w:r w:rsidRPr="009966FB">
        <w:rPr>
          <w:rFonts w:ascii="Garamond" w:hAnsi="Garamond"/>
        </w:rPr>
        <w:t xml:space="preserve"> zřejmé, z jakých podkladů </w:t>
      </w:r>
      <w:r>
        <w:rPr>
          <w:rFonts w:ascii="Garamond" w:hAnsi="Garamond"/>
        </w:rPr>
        <w:t xml:space="preserve">žalovaný </w:t>
      </w:r>
      <w:r w:rsidRPr="009966FB">
        <w:rPr>
          <w:rFonts w:ascii="Garamond" w:hAnsi="Garamond"/>
        </w:rPr>
        <w:t xml:space="preserve">vycházel. </w:t>
      </w:r>
    </w:p>
    <w:p w14:paraId="46F6901F" w14:textId="77777777" w:rsidR="00C85187" w:rsidRPr="009966FB" w:rsidRDefault="00C85187" w:rsidP="00C85187">
      <w:pPr>
        <w:pStyle w:val="Odstavecseseznamem"/>
        <w:numPr>
          <w:ilvl w:val="0"/>
          <w:numId w:val="16"/>
        </w:numPr>
        <w:spacing w:after="240"/>
        <w:ind w:left="0" w:firstLine="0"/>
        <w:contextualSpacing w:val="0"/>
        <w:jc w:val="both"/>
        <w:rPr>
          <w:rFonts w:ascii="Garamond" w:hAnsi="Garamond"/>
        </w:rPr>
      </w:pPr>
      <w:r w:rsidRPr="009966FB">
        <w:rPr>
          <w:rFonts w:ascii="Garamond" w:hAnsi="Garamond"/>
        </w:rPr>
        <w:t xml:space="preserve">Správní orgány se měly zabývat podáním žalobce ze dne 7. 8. 2017 z pohledu </w:t>
      </w:r>
      <w:r>
        <w:rPr>
          <w:rFonts w:ascii="Garamond" w:hAnsi="Garamond"/>
        </w:rPr>
        <w:t xml:space="preserve">splnění </w:t>
      </w:r>
      <w:r w:rsidRPr="009966FB">
        <w:rPr>
          <w:rFonts w:ascii="Garamond" w:hAnsi="Garamond"/>
        </w:rPr>
        <w:t>zákonných podmínek jeho účastenství v územním řízení v </w:t>
      </w:r>
      <w:r>
        <w:rPr>
          <w:rFonts w:ascii="Garamond" w:hAnsi="Garamond"/>
        </w:rPr>
        <w:t>postavení</w:t>
      </w:r>
      <w:r w:rsidRPr="009966FB">
        <w:rPr>
          <w:rFonts w:ascii="Garamond" w:hAnsi="Garamond"/>
        </w:rPr>
        <w:t xml:space="preserve"> dotčené veřejnosti. Posouzení podmínek </w:t>
      </w:r>
      <w:r>
        <w:rPr>
          <w:rFonts w:ascii="Garamond" w:hAnsi="Garamond"/>
        </w:rPr>
        <w:t>podle</w:t>
      </w:r>
      <w:r w:rsidRPr="009966FB">
        <w:rPr>
          <w:rFonts w:ascii="Garamond" w:hAnsi="Garamond"/>
        </w:rPr>
        <w:t xml:space="preserve"> § 3 písm. i) bod</w:t>
      </w:r>
      <w:r>
        <w:rPr>
          <w:rFonts w:ascii="Garamond" w:hAnsi="Garamond"/>
        </w:rPr>
        <w:t>u</w:t>
      </w:r>
      <w:r w:rsidRPr="009966FB">
        <w:rPr>
          <w:rFonts w:ascii="Garamond" w:hAnsi="Garamond"/>
        </w:rPr>
        <w:t xml:space="preserve"> 2 zákona o posuzování vlivů i posouzení včasnosti oznámení účasti žalobce byl</w:t>
      </w:r>
      <w:r>
        <w:rPr>
          <w:rFonts w:ascii="Garamond" w:hAnsi="Garamond"/>
        </w:rPr>
        <w:t xml:space="preserve">o pro další postup nezbytné. </w:t>
      </w:r>
      <w:r w:rsidRPr="009966FB">
        <w:rPr>
          <w:rFonts w:ascii="Garamond" w:hAnsi="Garamond"/>
        </w:rPr>
        <w:t xml:space="preserve">Správní orgány byly zároveň povinny postupovat podle § 37 odst. 3 </w:t>
      </w:r>
      <w:r>
        <w:rPr>
          <w:rFonts w:ascii="Garamond" w:hAnsi="Garamond"/>
        </w:rPr>
        <w:t xml:space="preserve">správního řádu </w:t>
      </w:r>
      <w:r w:rsidRPr="009966FB">
        <w:rPr>
          <w:rFonts w:ascii="Garamond" w:hAnsi="Garamond"/>
        </w:rPr>
        <w:t xml:space="preserve">společně s § 28 odst. 1 správního řádu. </w:t>
      </w:r>
      <w:r>
        <w:rPr>
          <w:rFonts w:ascii="Garamond" w:hAnsi="Garamond"/>
        </w:rPr>
        <w:t>Teprve po </w:t>
      </w:r>
      <w:r w:rsidRPr="009966FB">
        <w:rPr>
          <w:rFonts w:ascii="Garamond" w:hAnsi="Garamond"/>
        </w:rPr>
        <w:t>posouzení podmínek účastenství stanovených zá</w:t>
      </w:r>
      <w:r>
        <w:rPr>
          <w:rFonts w:ascii="Garamond" w:hAnsi="Garamond"/>
        </w:rPr>
        <w:t>konem o posuzování vlivů, jemuž by </w:t>
      </w:r>
      <w:r w:rsidRPr="009966FB">
        <w:rPr>
          <w:rFonts w:ascii="Garamond" w:hAnsi="Garamond"/>
        </w:rPr>
        <w:t>podle okolností předcháze</w:t>
      </w:r>
      <w:r>
        <w:rPr>
          <w:rFonts w:ascii="Garamond" w:hAnsi="Garamond"/>
        </w:rPr>
        <w:t>l</w:t>
      </w:r>
      <w:r w:rsidRPr="009966FB">
        <w:rPr>
          <w:rFonts w:ascii="Garamond" w:hAnsi="Garamond"/>
        </w:rPr>
        <w:t xml:space="preserve"> postup podle § 37 odst. 3 správního řádu, </w:t>
      </w:r>
      <w:r>
        <w:rPr>
          <w:rFonts w:ascii="Garamond" w:hAnsi="Garamond"/>
        </w:rPr>
        <w:t xml:space="preserve">mohly </w:t>
      </w:r>
      <w:r w:rsidRPr="009966FB">
        <w:rPr>
          <w:rFonts w:ascii="Garamond" w:hAnsi="Garamond"/>
        </w:rPr>
        <w:t>správní orgán</w:t>
      </w:r>
      <w:r>
        <w:rPr>
          <w:rFonts w:ascii="Garamond" w:hAnsi="Garamond"/>
        </w:rPr>
        <w:t>y řád</w:t>
      </w:r>
      <w:r w:rsidRPr="009966FB">
        <w:rPr>
          <w:rFonts w:ascii="Garamond" w:hAnsi="Garamond"/>
        </w:rPr>
        <w:t xml:space="preserve">ně posoudit účastenství </w:t>
      </w:r>
      <w:r>
        <w:rPr>
          <w:rFonts w:ascii="Garamond" w:hAnsi="Garamond"/>
        </w:rPr>
        <w:t>žalobce</w:t>
      </w:r>
      <w:r w:rsidRPr="009966FB">
        <w:rPr>
          <w:rFonts w:ascii="Garamond" w:hAnsi="Garamond"/>
        </w:rPr>
        <w:t>. Krajský soud shledal napadené rozhodnu</w:t>
      </w:r>
      <w:r>
        <w:rPr>
          <w:rFonts w:ascii="Garamond" w:hAnsi="Garamond"/>
        </w:rPr>
        <w:t xml:space="preserve">tí žalovaného nepřezkoumatelným. Současně dospěl k závěru, že správní řízení trpělo podstatnými vadami, </w:t>
      </w:r>
      <w:r w:rsidRPr="009966FB">
        <w:rPr>
          <w:rFonts w:ascii="Garamond" w:hAnsi="Garamond"/>
        </w:rPr>
        <w:t>které mohl</w:t>
      </w:r>
      <w:r>
        <w:rPr>
          <w:rFonts w:ascii="Garamond" w:hAnsi="Garamond"/>
        </w:rPr>
        <w:t>y</w:t>
      </w:r>
      <w:r w:rsidRPr="009966FB">
        <w:rPr>
          <w:rFonts w:ascii="Garamond" w:hAnsi="Garamond"/>
        </w:rPr>
        <w:t xml:space="preserve"> mít za následek nezákonné rozhodnutí ve věci samé.</w:t>
      </w:r>
    </w:p>
    <w:p w14:paraId="46F69020" w14:textId="77777777" w:rsidR="00C85187" w:rsidRPr="009966FB" w:rsidRDefault="00C85187" w:rsidP="00C85187">
      <w:pPr>
        <w:pStyle w:val="Odstavecseseznamem"/>
        <w:numPr>
          <w:ilvl w:val="0"/>
          <w:numId w:val="16"/>
        </w:numPr>
        <w:spacing w:after="240"/>
        <w:ind w:left="0" w:firstLine="0"/>
        <w:contextualSpacing w:val="0"/>
        <w:jc w:val="both"/>
        <w:rPr>
          <w:rFonts w:ascii="Garamond" w:hAnsi="Garamond"/>
        </w:rPr>
      </w:pPr>
      <w:r w:rsidRPr="009966FB">
        <w:rPr>
          <w:rFonts w:ascii="Garamond" w:hAnsi="Garamond"/>
        </w:rPr>
        <w:t xml:space="preserve">Krajský soud </w:t>
      </w:r>
      <w:r>
        <w:rPr>
          <w:rFonts w:ascii="Garamond" w:hAnsi="Garamond"/>
        </w:rPr>
        <w:t>se neztotožnil s názorem</w:t>
      </w:r>
      <w:r w:rsidRPr="009966FB">
        <w:rPr>
          <w:rFonts w:ascii="Garamond" w:hAnsi="Garamond"/>
        </w:rPr>
        <w:t xml:space="preserve"> žalovaného, že pro záměr </w:t>
      </w:r>
      <w:r>
        <w:rPr>
          <w:rFonts w:ascii="Garamond" w:hAnsi="Garamond"/>
        </w:rPr>
        <w:t xml:space="preserve">R52 sice </w:t>
      </w:r>
      <w:r w:rsidRPr="009966FB">
        <w:rPr>
          <w:rFonts w:ascii="Garamond" w:hAnsi="Garamond"/>
        </w:rPr>
        <w:t>nebyl</w:t>
      </w:r>
      <w:r>
        <w:rPr>
          <w:rFonts w:ascii="Garamond" w:hAnsi="Garamond"/>
        </w:rPr>
        <w:t>a</w:t>
      </w:r>
      <w:r w:rsidRPr="009966FB">
        <w:rPr>
          <w:rFonts w:ascii="Garamond" w:hAnsi="Garamond"/>
        </w:rPr>
        <w:t xml:space="preserve"> </w:t>
      </w:r>
      <w:r>
        <w:rPr>
          <w:rFonts w:ascii="Garamond" w:hAnsi="Garamond"/>
        </w:rPr>
        <w:t>prov</w:t>
      </w:r>
      <w:r w:rsidRPr="009966FB">
        <w:rPr>
          <w:rFonts w:ascii="Garamond" w:hAnsi="Garamond"/>
        </w:rPr>
        <w:t>eden</w:t>
      </w:r>
      <w:r>
        <w:rPr>
          <w:rFonts w:ascii="Garamond" w:hAnsi="Garamond"/>
        </w:rPr>
        <w:t>a</w:t>
      </w:r>
      <w:r w:rsidRPr="009966FB">
        <w:rPr>
          <w:rFonts w:ascii="Garamond" w:hAnsi="Garamond"/>
        </w:rPr>
        <w:t xml:space="preserve"> přeshraniční EIA, avšak do </w:t>
      </w:r>
      <w:r w:rsidRPr="00D00FB2">
        <w:rPr>
          <w:rFonts w:ascii="Garamond" w:hAnsi="Garamond"/>
        </w:rPr>
        <w:t xml:space="preserve">procesu </w:t>
      </w:r>
      <w:r w:rsidRPr="00E636DB">
        <w:rPr>
          <w:rFonts w:ascii="Garamond" w:hAnsi="Garamond"/>
        </w:rPr>
        <w:t>standardní</w:t>
      </w:r>
      <w:r w:rsidRPr="0076698F">
        <w:rPr>
          <w:rFonts w:ascii="Garamond" w:hAnsi="Garamond"/>
        </w:rPr>
        <w:t xml:space="preserve"> </w:t>
      </w:r>
      <w:r w:rsidRPr="00D00FB2">
        <w:rPr>
          <w:rFonts w:ascii="Garamond" w:hAnsi="Garamond"/>
        </w:rPr>
        <w:t>EIA byla</w:t>
      </w:r>
      <w:r w:rsidRPr="009966FB">
        <w:rPr>
          <w:rFonts w:ascii="Garamond" w:hAnsi="Garamond"/>
        </w:rPr>
        <w:t xml:space="preserve"> zahrnuta rakouská strana i</w:t>
      </w:r>
      <w:r>
        <w:rPr>
          <w:rFonts w:ascii="Garamond" w:hAnsi="Garamond"/>
        </w:rPr>
        <w:t> </w:t>
      </w:r>
      <w:r w:rsidRPr="009966FB">
        <w:rPr>
          <w:rFonts w:ascii="Garamond" w:hAnsi="Garamond"/>
        </w:rPr>
        <w:t xml:space="preserve">zástupci rakouské veřejnosti. </w:t>
      </w:r>
      <w:r>
        <w:rPr>
          <w:rFonts w:ascii="Garamond" w:hAnsi="Garamond"/>
        </w:rPr>
        <w:t>Přiléhavé není ani konstatování</w:t>
      </w:r>
      <w:r w:rsidRPr="009966FB">
        <w:rPr>
          <w:rFonts w:ascii="Garamond" w:hAnsi="Garamond"/>
        </w:rPr>
        <w:t xml:space="preserve"> žalovaného, </w:t>
      </w:r>
      <w:r>
        <w:rPr>
          <w:rFonts w:ascii="Garamond" w:hAnsi="Garamond"/>
        </w:rPr>
        <w:t xml:space="preserve">podle nějž u dvou samostatných, na sebe navazujících záměrů (rakouského a českého) </w:t>
      </w:r>
      <w:r w:rsidRPr="009966FB">
        <w:rPr>
          <w:rFonts w:ascii="Garamond" w:hAnsi="Garamond"/>
        </w:rPr>
        <w:t xml:space="preserve">nelze automaticky </w:t>
      </w:r>
      <w:r>
        <w:rPr>
          <w:rFonts w:ascii="Garamond" w:hAnsi="Garamond"/>
        </w:rPr>
        <w:t xml:space="preserve">předpokládat povinné </w:t>
      </w:r>
      <w:r w:rsidRPr="009966FB">
        <w:rPr>
          <w:rFonts w:ascii="Garamond" w:hAnsi="Garamond"/>
        </w:rPr>
        <w:t>mezistátní posuzování. Tato část odův</w:t>
      </w:r>
      <w:r>
        <w:rPr>
          <w:rFonts w:ascii="Garamond" w:hAnsi="Garamond"/>
        </w:rPr>
        <w:t>odnění napadeného rozhodnutí se </w:t>
      </w:r>
      <w:r w:rsidRPr="009966FB">
        <w:rPr>
          <w:rFonts w:ascii="Garamond" w:hAnsi="Garamond"/>
        </w:rPr>
        <w:t>týká procesu EIA, jehož průběh a výsledky nemají přímý vliv na procesní otázky účastenství dotčené veřejnosti v navazujícím řízení. Samotná neexistence přeshraničního procesu EIA nemůže bez dalšího vyloučit zahraniční environmentální subjekt jako potenciálního účastníka navazujícího řízení, ať už podle § 9c odst. 3</w:t>
      </w:r>
      <w:r>
        <w:rPr>
          <w:rFonts w:ascii="Garamond" w:hAnsi="Garamond"/>
        </w:rPr>
        <w:t>,</w:t>
      </w:r>
      <w:r w:rsidRPr="009966FB">
        <w:rPr>
          <w:rFonts w:ascii="Garamond" w:hAnsi="Garamond"/>
        </w:rPr>
        <w:t xml:space="preserve"> nebo odst. 4 zákona o posuzování vlivů.</w:t>
      </w:r>
    </w:p>
    <w:p w14:paraId="46F69021" w14:textId="77777777" w:rsidR="00C85187" w:rsidRPr="0076698F" w:rsidRDefault="00C85187" w:rsidP="00C85187">
      <w:pPr>
        <w:pStyle w:val="Odstavecseseznamem"/>
        <w:numPr>
          <w:ilvl w:val="0"/>
          <w:numId w:val="16"/>
        </w:numPr>
        <w:spacing w:after="240"/>
        <w:ind w:left="0" w:firstLine="0"/>
        <w:contextualSpacing w:val="0"/>
        <w:jc w:val="both"/>
        <w:rPr>
          <w:rFonts w:ascii="Garamond" w:hAnsi="Garamond"/>
        </w:rPr>
      </w:pPr>
      <w:r>
        <w:rPr>
          <w:rFonts w:ascii="Garamond" w:hAnsi="Garamond"/>
        </w:rPr>
        <w:t>Podle k</w:t>
      </w:r>
      <w:r w:rsidRPr="0076698F">
        <w:rPr>
          <w:rFonts w:ascii="Garamond" w:hAnsi="Garamond"/>
        </w:rPr>
        <w:t>rajsk</w:t>
      </w:r>
      <w:r>
        <w:rPr>
          <w:rFonts w:ascii="Garamond" w:hAnsi="Garamond"/>
        </w:rPr>
        <w:t>ého</w:t>
      </w:r>
      <w:r w:rsidRPr="0076698F">
        <w:rPr>
          <w:rFonts w:ascii="Garamond" w:hAnsi="Garamond"/>
        </w:rPr>
        <w:t xml:space="preserve"> soud</w:t>
      </w:r>
      <w:r>
        <w:rPr>
          <w:rFonts w:ascii="Garamond" w:hAnsi="Garamond"/>
        </w:rPr>
        <w:t>u nebylo možné posoudit všechny žalobní body ve smyslu § 2 odst. </w:t>
      </w:r>
      <w:r w:rsidRPr="0076698F">
        <w:rPr>
          <w:rFonts w:ascii="Garamond" w:hAnsi="Garamond"/>
        </w:rPr>
        <w:t>4 zákona č. 416/2009 Sb., o urychlení výstavby dopravní, vodní a energetické infrastruktury a</w:t>
      </w:r>
      <w:r>
        <w:rPr>
          <w:rFonts w:ascii="Garamond" w:hAnsi="Garamond"/>
        </w:rPr>
        <w:t> </w:t>
      </w:r>
      <w:r w:rsidRPr="0076698F">
        <w:rPr>
          <w:rFonts w:ascii="Garamond" w:hAnsi="Garamond"/>
        </w:rPr>
        <w:t xml:space="preserve">infrastruktury elektronických komunikací (liniový zákon). </w:t>
      </w:r>
      <w:r>
        <w:rPr>
          <w:rFonts w:ascii="Garamond" w:hAnsi="Garamond"/>
        </w:rPr>
        <w:t xml:space="preserve">Soud totiž shledal </w:t>
      </w:r>
      <w:r w:rsidRPr="0076698F">
        <w:rPr>
          <w:rFonts w:ascii="Garamond" w:hAnsi="Garamond"/>
        </w:rPr>
        <w:t>závažné procesní vady</w:t>
      </w:r>
      <w:r>
        <w:rPr>
          <w:rFonts w:ascii="Garamond" w:hAnsi="Garamond"/>
        </w:rPr>
        <w:t>,</w:t>
      </w:r>
      <w:r w:rsidRPr="0076698F">
        <w:rPr>
          <w:rFonts w:ascii="Garamond" w:hAnsi="Garamond"/>
        </w:rPr>
        <w:t xml:space="preserve"> a</w:t>
      </w:r>
      <w:r>
        <w:rPr>
          <w:rFonts w:ascii="Garamond" w:hAnsi="Garamond"/>
        </w:rPr>
        <w:t> pokud by věc dále posuzoval</w:t>
      </w:r>
      <w:r w:rsidRPr="0076698F">
        <w:rPr>
          <w:rFonts w:ascii="Garamond" w:hAnsi="Garamond"/>
        </w:rPr>
        <w:t xml:space="preserve">, nepřípustně </w:t>
      </w:r>
      <w:r>
        <w:rPr>
          <w:rFonts w:ascii="Garamond" w:hAnsi="Garamond"/>
        </w:rPr>
        <w:t xml:space="preserve">by tím </w:t>
      </w:r>
      <w:r w:rsidRPr="0076698F">
        <w:rPr>
          <w:rFonts w:ascii="Garamond" w:hAnsi="Garamond"/>
        </w:rPr>
        <w:t>zas</w:t>
      </w:r>
      <w:r>
        <w:rPr>
          <w:rFonts w:ascii="Garamond" w:hAnsi="Garamond"/>
        </w:rPr>
        <w:t>áhl</w:t>
      </w:r>
      <w:r w:rsidRPr="0076698F">
        <w:rPr>
          <w:rFonts w:ascii="Garamond" w:hAnsi="Garamond"/>
        </w:rPr>
        <w:t xml:space="preserve"> do pravomoci správního orgánu a</w:t>
      </w:r>
      <w:r>
        <w:rPr>
          <w:rFonts w:ascii="Garamond" w:hAnsi="Garamond"/>
        </w:rPr>
        <w:t> </w:t>
      </w:r>
      <w:r w:rsidRPr="0076698F">
        <w:rPr>
          <w:rFonts w:ascii="Garamond" w:hAnsi="Garamond"/>
        </w:rPr>
        <w:t>předjímal jeho další rozhodnutí.</w:t>
      </w:r>
    </w:p>
    <w:p w14:paraId="46F69022" w14:textId="77777777" w:rsidR="00C85187" w:rsidRPr="009966FB" w:rsidRDefault="00C85187" w:rsidP="00C85187">
      <w:pPr>
        <w:jc w:val="center"/>
        <w:rPr>
          <w:rFonts w:ascii="Garamond" w:hAnsi="Garamond"/>
          <w:b/>
        </w:rPr>
      </w:pPr>
      <w:r w:rsidRPr="009966FB">
        <w:rPr>
          <w:rFonts w:ascii="Garamond" w:hAnsi="Garamond"/>
          <w:b/>
        </w:rPr>
        <w:t>II. Kasační stížnosti a vyjádření žalobce</w:t>
      </w:r>
    </w:p>
    <w:p w14:paraId="46F69023" w14:textId="77777777" w:rsidR="00C85187" w:rsidRPr="009966FB" w:rsidRDefault="00C85187" w:rsidP="00C85187">
      <w:pPr>
        <w:jc w:val="center"/>
        <w:rPr>
          <w:rFonts w:ascii="Garamond" w:hAnsi="Garamond"/>
          <w:b/>
        </w:rPr>
      </w:pPr>
    </w:p>
    <w:p w14:paraId="46F69024" w14:textId="77777777" w:rsidR="00C85187" w:rsidRDefault="00C85187" w:rsidP="00C85187">
      <w:pPr>
        <w:pStyle w:val="Bezmezer"/>
        <w:numPr>
          <w:ilvl w:val="0"/>
          <w:numId w:val="16"/>
        </w:numPr>
        <w:spacing w:after="240"/>
        <w:ind w:left="0" w:firstLine="0"/>
        <w:jc w:val="both"/>
        <w:rPr>
          <w:rFonts w:ascii="Garamond" w:eastAsia="Times New Roman" w:hAnsi="Garamond" w:cs="Times New Roman"/>
          <w:sz w:val="24"/>
          <w:szCs w:val="24"/>
          <w:lang w:eastAsia="cs-CZ"/>
        </w:rPr>
      </w:pPr>
      <w:r>
        <w:rPr>
          <w:rFonts w:ascii="Garamond" w:eastAsia="Times New Roman" w:hAnsi="Garamond" w:cs="Times New Roman"/>
          <w:sz w:val="24"/>
          <w:szCs w:val="24"/>
          <w:lang w:eastAsia="cs-CZ"/>
        </w:rPr>
        <w:t xml:space="preserve">Proti rozsudku podali kasační stížnost žalovaný [stěžovatel a)] a osoba zúčastněná na řízení II) [stěžovatel b)]. Jelikož jsou kasační námitky obou stěžovatelů obdobné a stěžovatelé se navzájem se svou argumentací ztotožnili, shrnuje NSS jejich námitky následovně. </w:t>
      </w:r>
    </w:p>
    <w:p w14:paraId="46F69025" w14:textId="77777777" w:rsidR="00C85187" w:rsidRPr="009966FB" w:rsidRDefault="00C85187" w:rsidP="00C85187">
      <w:pPr>
        <w:pStyle w:val="Bezmezer"/>
        <w:numPr>
          <w:ilvl w:val="0"/>
          <w:numId w:val="16"/>
        </w:numPr>
        <w:spacing w:after="240"/>
        <w:ind w:left="0" w:firstLine="0"/>
        <w:jc w:val="both"/>
        <w:rPr>
          <w:rFonts w:ascii="Garamond" w:eastAsia="Times New Roman" w:hAnsi="Garamond" w:cs="Times New Roman"/>
          <w:sz w:val="24"/>
          <w:szCs w:val="24"/>
          <w:lang w:eastAsia="cs-CZ"/>
        </w:rPr>
      </w:pPr>
      <w:r>
        <w:rPr>
          <w:rFonts w:ascii="Garamond" w:eastAsia="Times New Roman" w:hAnsi="Garamond" w:cs="Times New Roman"/>
          <w:sz w:val="24"/>
          <w:szCs w:val="24"/>
          <w:lang w:eastAsia="cs-CZ"/>
        </w:rPr>
        <w:lastRenderedPageBreak/>
        <w:t xml:space="preserve">Podle stěžovatelů </w:t>
      </w:r>
      <w:r w:rsidRPr="009966FB">
        <w:rPr>
          <w:rFonts w:ascii="Garamond" w:eastAsia="Times New Roman" w:hAnsi="Garamond" w:cs="Times New Roman"/>
          <w:sz w:val="24"/>
          <w:szCs w:val="24"/>
          <w:lang w:eastAsia="cs-CZ"/>
        </w:rPr>
        <w:t xml:space="preserve">žalobci </w:t>
      </w:r>
      <w:r>
        <w:rPr>
          <w:rFonts w:ascii="Garamond" w:eastAsia="Times New Roman" w:hAnsi="Garamond" w:cs="Times New Roman"/>
          <w:sz w:val="24"/>
          <w:szCs w:val="24"/>
          <w:lang w:eastAsia="cs-CZ"/>
        </w:rPr>
        <w:t>nepříslušelo</w:t>
      </w:r>
      <w:r w:rsidRPr="009966FB">
        <w:rPr>
          <w:rFonts w:ascii="Garamond" w:eastAsia="Times New Roman" w:hAnsi="Garamond" w:cs="Times New Roman"/>
          <w:sz w:val="24"/>
          <w:szCs w:val="24"/>
          <w:lang w:eastAsia="cs-CZ"/>
        </w:rPr>
        <w:t xml:space="preserve"> postavení úča</w:t>
      </w:r>
      <w:r>
        <w:rPr>
          <w:rFonts w:ascii="Garamond" w:eastAsia="Times New Roman" w:hAnsi="Garamond" w:cs="Times New Roman"/>
          <w:sz w:val="24"/>
          <w:szCs w:val="24"/>
          <w:lang w:eastAsia="cs-CZ"/>
        </w:rPr>
        <w:t>stníka územního řízení. Žalobce </w:t>
      </w:r>
      <w:r w:rsidRPr="009966FB">
        <w:rPr>
          <w:rFonts w:ascii="Garamond" w:eastAsia="Times New Roman" w:hAnsi="Garamond" w:cs="Times New Roman"/>
          <w:sz w:val="24"/>
          <w:szCs w:val="24"/>
          <w:lang w:eastAsia="cs-CZ"/>
        </w:rPr>
        <w:t>neuvedl, že</w:t>
      </w:r>
      <w:r>
        <w:rPr>
          <w:rFonts w:ascii="Garamond" w:eastAsia="Times New Roman" w:hAnsi="Garamond" w:cs="Times New Roman"/>
          <w:sz w:val="24"/>
          <w:szCs w:val="24"/>
          <w:lang w:eastAsia="cs-CZ"/>
        </w:rPr>
        <w:t> </w:t>
      </w:r>
      <w:r w:rsidRPr="009966FB">
        <w:rPr>
          <w:rFonts w:ascii="Garamond" w:eastAsia="Times New Roman" w:hAnsi="Garamond" w:cs="Times New Roman"/>
          <w:sz w:val="24"/>
          <w:szCs w:val="24"/>
          <w:lang w:eastAsia="cs-CZ"/>
        </w:rPr>
        <w:t>podává přihlášku</w:t>
      </w:r>
      <w:r>
        <w:rPr>
          <w:rFonts w:ascii="Garamond" w:eastAsia="Times New Roman" w:hAnsi="Garamond" w:cs="Times New Roman"/>
          <w:sz w:val="24"/>
          <w:szCs w:val="24"/>
          <w:lang w:eastAsia="cs-CZ"/>
        </w:rPr>
        <w:t xml:space="preserve"> do řízení</w:t>
      </w:r>
      <w:r w:rsidRPr="009966FB">
        <w:rPr>
          <w:rFonts w:ascii="Garamond" w:eastAsia="Times New Roman" w:hAnsi="Garamond" w:cs="Times New Roman"/>
          <w:sz w:val="24"/>
          <w:szCs w:val="24"/>
          <w:lang w:eastAsia="cs-CZ"/>
        </w:rPr>
        <w:t xml:space="preserve"> ve smyslu zákona o posuzování vlivů</w:t>
      </w:r>
      <w:r>
        <w:rPr>
          <w:rFonts w:ascii="Garamond" w:eastAsia="Times New Roman" w:hAnsi="Garamond" w:cs="Times New Roman"/>
          <w:sz w:val="24"/>
          <w:szCs w:val="24"/>
          <w:lang w:eastAsia="cs-CZ"/>
        </w:rPr>
        <w:t>,</w:t>
      </w:r>
      <w:r w:rsidRPr="009966FB">
        <w:rPr>
          <w:rFonts w:ascii="Garamond" w:eastAsia="Times New Roman" w:hAnsi="Garamond" w:cs="Times New Roman"/>
          <w:sz w:val="24"/>
          <w:szCs w:val="24"/>
          <w:lang w:eastAsia="cs-CZ"/>
        </w:rPr>
        <w:t xml:space="preserve"> a</w:t>
      </w:r>
      <w:r>
        <w:rPr>
          <w:rFonts w:ascii="Garamond" w:eastAsia="Times New Roman" w:hAnsi="Garamond" w:cs="Times New Roman"/>
          <w:sz w:val="24"/>
          <w:szCs w:val="24"/>
          <w:lang w:eastAsia="cs-CZ"/>
        </w:rPr>
        <w:t xml:space="preserve"> proto </w:t>
      </w:r>
      <w:r w:rsidRPr="009966FB">
        <w:rPr>
          <w:rFonts w:ascii="Garamond" w:eastAsia="Times New Roman" w:hAnsi="Garamond" w:cs="Times New Roman"/>
          <w:sz w:val="24"/>
          <w:szCs w:val="24"/>
          <w:lang w:eastAsia="cs-CZ"/>
        </w:rPr>
        <w:t>nesplňoval podmínky pro</w:t>
      </w:r>
      <w:r>
        <w:rPr>
          <w:rFonts w:ascii="Garamond" w:eastAsia="Times New Roman" w:hAnsi="Garamond" w:cs="Times New Roman"/>
          <w:sz w:val="24"/>
          <w:szCs w:val="24"/>
          <w:lang w:eastAsia="cs-CZ"/>
        </w:rPr>
        <w:t xml:space="preserve"> přiznání takového účastenství. Žalobce odvozoval svou účast v územním řízení z </w:t>
      </w:r>
      <w:r w:rsidRPr="009966FB">
        <w:rPr>
          <w:rFonts w:ascii="Garamond" w:eastAsia="Times New Roman" w:hAnsi="Garamond" w:cs="Times New Roman"/>
          <w:sz w:val="24"/>
          <w:szCs w:val="24"/>
          <w:lang w:eastAsia="cs-CZ"/>
        </w:rPr>
        <w:t xml:space="preserve">rakouské právní úpravy. Z podání ze dne </w:t>
      </w:r>
      <w:r>
        <w:rPr>
          <w:rFonts w:ascii="Garamond" w:eastAsia="Times New Roman" w:hAnsi="Garamond" w:cs="Times New Roman"/>
          <w:sz w:val="24"/>
          <w:szCs w:val="24"/>
          <w:lang w:eastAsia="cs-CZ"/>
        </w:rPr>
        <w:t>7</w:t>
      </w:r>
      <w:r w:rsidRPr="009966FB">
        <w:rPr>
          <w:rFonts w:ascii="Garamond" w:eastAsia="Times New Roman" w:hAnsi="Garamond" w:cs="Times New Roman"/>
          <w:sz w:val="24"/>
          <w:szCs w:val="24"/>
          <w:lang w:eastAsia="cs-CZ"/>
        </w:rPr>
        <w:t>. 8. 2017 ani</w:t>
      </w:r>
      <w:r>
        <w:rPr>
          <w:rFonts w:ascii="Garamond" w:eastAsia="Times New Roman" w:hAnsi="Garamond" w:cs="Times New Roman"/>
          <w:sz w:val="24"/>
          <w:szCs w:val="24"/>
          <w:lang w:eastAsia="cs-CZ"/>
        </w:rPr>
        <w:t> </w:t>
      </w:r>
      <w:r w:rsidRPr="009966FB">
        <w:rPr>
          <w:rFonts w:ascii="Garamond" w:eastAsia="Times New Roman" w:hAnsi="Garamond" w:cs="Times New Roman"/>
          <w:sz w:val="24"/>
          <w:szCs w:val="24"/>
          <w:lang w:eastAsia="cs-CZ"/>
        </w:rPr>
        <w:t xml:space="preserve">ze </w:t>
      </w:r>
      <w:r>
        <w:rPr>
          <w:rFonts w:ascii="Garamond" w:eastAsia="Times New Roman" w:hAnsi="Garamond" w:cs="Times New Roman"/>
          <w:sz w:val="24"/>
          <w:szCs w:val="24"/>
          <w:lang w:eastAsia="cs-CZ"/>
        </w:rPr>
        <w:t xml:space="preserve">správního </w:t>
      </w:r>
      <w:r w:rsidRPr="009966FB">
        <w:rPr>
          <w:rFonts w:ascii="Garamond" w:eastAsia="Times New Roman" w:hAnsi="Garamond" w:cs="Times New Roman"/>
          <w:sz w:val="24"/>
          <w:szCs w:val="24"/>
          <w:lang w:eastAsia="cs-CZ"/>
        </w:rPr>
        <w:t>spisu nevyplývá, že</w:t>
      </w:r>
      <w:r>
        <w:rPr>
          <w:rFonts w:ascii="Garamond" w:eastAsia="Times New Roman" w:hAnsi="Garamond" w:cs="Times New Roman"/>
          <w:sz w:val="24"/>
          <w:szCs w:val="24"/>
          <w:lang w:eastAsia="cs-CZ"/>
        </w:rPr>
        <w:t> </w:t>
      </w:r>
      <w:r w:rsidRPr="009966FB">
        <w:rPr>
          <w:rFonts w:ascii="Garamond" w:eastAsia="Times New Roman" w:hAnsi="Garamond" w:cs="Times New Roman"/>
          <w:sz w:val="24"/>
          <w:szCs w:val="24"/>
          <w:lang w:eastAsia="cs-CZ"/>
        </w:rPr>
        <w:t>se</w:t>
      </w:r>
      <w:r>
        <w:rPr>
          <w:rFonts w:ascii="Garamond" w:eastAsia="Times New Roman" w:hAnsi="Garamond" w:cs="Times New Roman"/>
          <w:sz w:val="24"/>
          <w:szCs w:val="24"/>
          <w:lang w:eastAsia="cs-CZ"/>
        </w:rPr>
        <w:t> </w:t>
      </w:r>
      <w:r w:rsidRPr="009966FB">
        <w:rPr>
          <w:rFonts w:ascii="Garamond" w:eastAsia="Times New Roman" w:hAnsi="Garamond" w:cs="Times New Roman"/>
          <w:sz w:val="24"/>
          <w:szCs w:val="24"/>
          <w:lang w:eastAsia="cs-CZ"/>
        </w:rPr>
        <w:t xml:space="preserve">žalobce domáhal účastenství v řízení z titulu dotčené veřejnosti. </w:t>
      </w:r>
      <w:r>
        <w:rPr>
          <w:rFonts w:ascii="Garamond" w:eastAsia="Times New Roman" w:hAnsi="Garamond" w:cs="Times New Roman"/>
          <w:sz w:val="24"/>
          <w:szCs w:val="24"/>
          <w:lang w:eastAsia="cs-CZ"/>
        </w:rPr>
        <w:t>V</w:t>
      </w:r>
      <w:r w:rsidRPr="009966FB">
        <w:rPr>
          <w:rFonts w:ascii="Garamond" w:eastAsia="Times New Roman" w:hAnsi="Garamond" w:cs="Times New Roman"/>
          <w:sz w:val="24"/>
          <w:szCs w:val="24"/>
          <w:lang w:eastAsia="cs-CZ"/>
        </w:rPr>
        <w:t> odvolání proti územnímu rozhodnutí sice</w:t>
      </w:r>
      <w:r>
        <w:rPr>
          <w:rFonts w:ascii="Garamond" w:eastAsia="Times New Roman" w:hAnsi="Garamond" w:cs="Times New Roman"/>
          <w:sz w:val="24"/>
          <w:szCs w:val="24"/>
          <w:lang w:eastAsia="cs-CZ"/>
        </w:rPr>
        <w:t xml:space="preserve"> žalobce</w:t>
      </w:r>
      <w:r w:rsidRPr="009966FB">
        <w:rPr>
          <w:rFonts w:ascii="Garamond" w:eastAsia="Times New Roman" w:hAnsi="Garamond" w:cs="Times New Roman"/>
          <w:sz w:val="24"/>
          <w:szCs w:val="24"/>
          <w:lang w:eastAsia="cs-CZ"/>
        </w:rPr>
        <w:t xml:space="preserve"> tvrdil svou aktivní legitimaci podle</w:t>
      </w:r>
      <w:r>
        <w:rPr>
          <w:rFonts w:ascii="Garamond" w:eastAsia="Times New Roman" w:hAnsi="Garamond" w:cs="Times New Roman"/>
          <w:sz w:val="24"/>
          <w:szCs w:val="24"/>
          <w:lang w:eastAsia="cs-CZ"/>
        </w:rPr>
        <w:t xml:space="preserve"> zákona o posuzování vlivů, svá </w:t>
      </w:r>
      <w:r w:rsidRPr="009966FB">
        <w:rPr>
          <w:rFonts w:ascii="Garamond" w:eastAsia="Times New Roman" w:hAnsi="Garamond" w:cs="Times New Roman"/>
          <w:sz w:val="24"/>
          <w:szCs w:val="24"/>
          <w:lang w:eastAsia="cs-CZ"/>
        </w:rPr>
        <w:t xml:space="preserve">tvrzení </w:t>
      </w:r>
      <w:r>
        <w:rPr>
          <w:rFonts w:ascii="Garamond" w:eastAsia="Times New Roman" w:hAnsi="Garamond" w:cs="Times New Roman"/>
          <w:sz w:val="24"/>
          <w:szCs w:val="24"/>
          <w:lang w:eastAsia="cs-CZ"/>
        </w:rPr>
        <w:t>však</w:t>
      </w:r>
      <w:r w:rsidRPr="009966FB">
        <w:rPr>
          <w:rFonts w:ascii="Garamond" w:eastAsia="Times New Roman" w:hAnsi="Garamond" w:cs="Times New Roman"/>
          <w:sz w:val="24"/>
          <w:szCs w:val="24"/>
          <w:lang w:eastAsia="cs-CZ"/>
        </w:rPr>
        <w:t xml:space="preserve"> nedoložil. Správní orgány přitom neměly povinnost vyzvat </w:t>
      </w:r>
      <w:r>
        <w:rPr>
          <w:rFonts w:ascii="Garamond" w:eastAsia="Times New Roman" w:hAnsi="Garamond" w:cs="Times New Roman"/>
          <w:sz w:val="24"/>
          <w:szCs w:val="24"/>
          <w:lang w:eastAsia="cs-CZ"/>
        </w:rPr>
        <w:t>jej</w:t>
      </w:r>
      <w:r w:rsidRPr="009966FB">
        <w:rPr>
          <w:rFonts w:ascii="Garamond" w:eastAsia="Times New Roman" w:hAnsi="Garamond" w:cs="Times New Roman"/>
          <w:sz w:val="24"/>
          <w:szCs w:val="24"/>
          <w:lang w:eastAsia="cs-CZ"/>
        </w:rPr>
        <w:t xml:space="preserve"> </w:t>
      </w:r>
      <w:r>
        <w:rPr>
          <w:rFonts w:ascii="Garamond" w:eastAsia="Times New Roman" w:hAnsi="Garamond" w:cs="Times New Roman"/>
          <w:sz w:val="24"/>
          <w:szCs w:val="24"/>
          <w:lang w:eastAsia="cs-CZ"/>
        </w:rPr>
        <w:t xml:space="preserve">k odstranění vad podání </w:t>
      </w:r>
      <w:r w:rsidRPr="009966FB">
        <w:rPr>
          <w:rFonts w:ascii="Garamond" w:eastAsia="Times New Roman" w:hAnsi="Garamond" w:cs="Times New Roman"/>
          <w:sz w:val="24"/>
          <w:szCs w:val="24"/>
          <w:lang w:eastAsia="cs-CZ"/>
        </w:rPr>
        <w:t>podle § 37</w:t>
      </w:r>
      <w:r>
        <w:rPr>
          <w:rFonts w:ascii="Garamond" w:eastAsia="Times New Roman" w:hAnsi="Garamond" w:cs="Times New Roman"/>
          <w:sz w:val="24"/>
          <w:szCs w:val="24"/>
          <w:lang w:eastAsia="cs-CZ"/>
        </w:rPr>
        <w:t> </w:t>
      </w:r>
      <w:r w:rsidRPr="009966FB">
        <w:rPr>
          <w:rFonts w:ascii="Garamond" w:eastAsia="Times New Roman" w:hAnsi="Garamond" w:cs="Times New Roman"/>
          <w:sz w:val="24"/>
          <w:szCs w:val="24"/>
          <w:lang w:eastAsia="cs-CZ"/>
        </w:rPr>
        <w:t>odst. 3 správního řádu</w:t>
      </w:r>
      <w:r>
        <w:rPr>
          <w:rFonts w:ascii="Garamond" w:eastAsia="Times New Roman" w:hAnsi="Garamond" w:cs="Times New Roman"/>
          <w:sz w:val="24"/>
          <w:szCs w:val="24"/>
          <w:lang w:eastAsia="cs-CZ"/>
        </w:rPr>
        <w:t>;</w:t>
      </w:r>
      <w:r w:rsidRPr="009966FB">
        <w:rPr>
          <w:rFonts w:ascii="Garamond" w:eastAsia="Times New Roman" w:hAnsi="Garamond" w:cs="Times New Roman"/>
          <w:sz w:val="24"/>
          <w:szCs w:val="24"/>
          <w:lang w:eastAsia="cs-CZ"/>
        </w:rPr>
        <w:t xml:space="preserve"> by</w:t>
      </w:r>
      <w:r>
        <w:rPr>
          <w:rFonts w:ascii="Garamond" w:eastAsia="Times New Roman" w:hAnsi="Garamond" w:cs="Times New Roman"/>
          <w:sz w:val="24"/>
          <w:szCs w:val="24"/>
          <w:lang w:eastAsia="cs-CZ"/>
        </w:rPr>
        <w:t>lo</w:t>
      </w:r>
      <w:r w:rsidRPr="009966FB">
        <w:rPr>
          <w:rFonts w:ascii="Garamond" w:eastAsia="Times New Roman" w:hAnsi="Garamond" w:cs="Times New Roman"/>
          <w:sz w:val="24"/>
          <w:szCs w:val="24"/>
          <w:lang w:eastAsia="cs-CZ"/>
        </w:rPr>
        <w:t xml:space="preserve"> by</w:t>
      </w:r>
      <w:r>
        <w:rPr>
          <w:rFonts w:ascii="Garamond" w:eastAsia="Times New Roman" w:hAnsi="Garamond" w:cs="Times New Roman"/>
          <w:sz w:val="24"/>
          <w:szCs w:val="24"/>
          <w:lang w:eastAsia="cs-CZ"/>
        </w:rPr>
        <w:t xml:space="preserve"> to</w:t>
      </w:r>
      <w:r w:rsidRPr="009966FB">
        <w:rPr>
          <w:rFonts w:ascii="Garamond" w:eastAsia="Times New Roman" w:hAnsi="Garamond" w:cs="Times New Roman"/>
          <w:sz w:val="24"/>
          <w:szCs w:val="24"/>
          <w:lang w:eastAsia="cs-CZ"/>
        </w:rPr>
        <w:t xml:space="preserve"> obstrukční a </w:t>
      </w:r>
      <w:r>
        <w:rPr>
          <w:rFonts w:ascii="Garamond" w:eastAsia="Times New Roman" w:hAnsi="Garamond" w:cs="Times New Roman"/>
          <w:sz w:val="24"/>
          <w:szCs w:val="24"/>
          <w:lang w:eastAsia="cs-CZ"/>
        </w:rPr>
        <w:t>zakládalo by to </w:t>
      </w:r>
      <w:r w:rsidRPr="009966FB">
        <w:rPr>
          <w:rFonts w:ascii="Garamond" w:eastAsia="Times New Roman" w:hAnsi="Garamond" w:cs="Times New Roman"/>
          <w:sz w:val="24"/>
          <w:szCs w:val="24"/>
          <w:lang w:eastAsia="cs-CZ"/>
        </w:rPr>
        <w:t>diskrimin</w:t>
      </w:r>
      <w:r>
        <w:rPr>
          <w:rFonts w:ascii="Garamond" w:eastAsia="Times New Roman" w:hAnsi="Garamond" w:cs="Times New Roman"/>
          <w:sz w:val="24"/>
          <w:szCs w:val="24"/>
          <w:lang w:eastAsia="cs-CZ"/>
        </w:rPr>
        <w:t>aci ostatních</w:t>
      </w:r>
      <w:r w:rsidRPr="009966FB">
        <w:rPr>
          <w:rFonts w:ascii="Garamond" w:eastAsia="Times New Roman" w:hAnsi="Garamond" w:cs="Times New Roman"/>
          <w:sz w:val="24"/>
          <w:szCs w:val="24"/>
          <w:lang w:eastAsia="cs-CZ"/>
        </w:rPr>
        <w:t xml:space="preserve"> účastník</w:t>
      </w:r>
      <w:r>
        <w:rPr>
          <w:rFonts w:ascii="Garamond" w:eastAsia="Times New Roman" w:hAnsi="Garamond" w:cs="Times New Roman"/>
          <w:sz w:val="24"/>
          <w:szCs w:val="24"/>
          <w:lang w:eastAsia="cs-CZ"/>
        </w:rPr>
        <w:t>ů</w:t>
      </w:r>
      <w:r w:rsidRPr="009966FB">
        <w:rPr>
          <w:rFonts w:ascii="Garamond" w:eastAsia="Times New Roman" w:hAnsi="Garamond" w:cs="Times New Roman"/>
          <w:sz w:val="24"/>
          <w:szCs w:val="24"/>
          <w:lang w:eastAsia="cs-CZ"/>
        </w:rPr>
        <w:t xml:space="preserve"> řízení. Stěžovatelé také zpochybnili právní subjektivitu žalobce a krajskému soudu vytýkají, že</w:t>
      </w:r>
      <w:r>
        <w:rPr>
          <w:rFonts w:ascii="Garamond" w:eastAsia="Times New Roman" w:hAnsi="Garamond" w:cs="Times New Roman"/>
          <w:sz w:val="24"/>
          <w:szCs w:val="24"/>
          <w:lang w:eastAsia="cs-CZ"/>
        </w:rPr>
        <w:t> </w:t>
      </w:r>
      <w:r w:rsidRPr="009966FB">
        <w:rPr>
          <w:rFonts w:ascii="Garamond" w:eastAsia="Times New Roman" w:hAnsi="Garamond" w:cs="Times New Roman"/>
          <w:sz w:val="24"/>
          <w:szCs w:val="24"/>
          <w:lang w:eastAsia="cs-CZ"/>
        </w:rPr>
        <w:t>se</w:t>
      </w:r>
      <w:r>
        <w:rPr>
          <w:rFonts w:ascii="Garamond" w:eastAsia="Times New Roman" w:hAnsi="Garamond" w:cs="Times New Roman"/>
          <w:sz w:val="24"/>
          <w:szCs w:val="24"/>
          <w:lang w:eastAsia="cs-CZ"/>
        </w:rPr>
        <w:t> </w:t>
      </w:r>
      <w:r w:rsidRPr="009966FB">
        <w:rPr>
          <w:rFonts w:ascii="Garamond" w:eastAsia="Times New Roman" w:hAnsi="Garamond" w:cs="Times New Roman"/>
          <w:sz w:val="24"/>
          <w:szCs w:val="24"/>
          <w:lang w:eastAsia="cs-CZ"/>
        </w:rPr>
        <w:t xml:space="preserve">důsledně nezabýval </w:t>
      </w:r>
      <w:r>
        <w:rPr>
          <w:rFonts w:ascii="Garamond" w:eastAsia="Times New Roman" w:hAnsi="Garamond" w:cs="Times New Roman"/>
          <w:sz w:val="24"/>
          <w:szCs w:val="24"/>
          <w:lang w:eastAsia="cs-CZ"/>
        </w:rPr>
        <w:t xml:space="preserve">ani jeho </w:t>
      </w:r>
      <w:r w:rsidRPr="009966FB">
        <w:rPr>
          <w:rFonts w:ascii="Garamond" w:eastAsia="Times New Roman" w:hAnsi="Garamond" w:cs="Times New Roman"/>
          <w:sz w:val="24"/>
          <w:szCs w:val="24"/>
          <w:lang w:eastAsia="cs-CZ"/>
        </w:rPr>
        <w:t>aktivní legitimací</w:t>
      </w:r>
      <w:r>
        <w:rPr>
          <w:rFonts w:ascii="Garamond" w:eastAsia="Times New Roman" w:hAnsi="Garamond" w:cs="Times New Roman"/>
          <w:sz w:val="24"/>
          <w:szCs w:val="24"/>
          <w:lang w:eastAsia="cs-CZ"/>
        </w:rPr>
        <w:t>.</w:t>
      </w:r>
      <w:r w:rsidRPr="009966FB">
        <w:rPr>
          <w:rFonts w:ascii="Garamond" w:eastAsia="Times New Roman" w:hAnsi="Garamond" w:cs="Times New Roman"/>
          <w:sz w:val="24"/>
          <w:szCs w:val="24"/>
          <w:lang w:eastAsia="cs-CZ"/>
        </w:rPr>
        <w:t xml:space="preserve"> </w:t>
      </w:r>
      <w:r>
        <w:rPr>
          <w:rFonts w:ascii="Garamond" w:eastAsia="Times New Roman" w:hAnsi="Garamond" w:cs="Times New Roman"/>
          <w:sz w:val="24"/>
          <w:szCs w:val="24"/>
          <w:lang w:eastAsia="cs-CZ"/>
        </w:rPr>
        <w:t xml:space="preserve"> </w:t>
      </w:r>
    </w:p>
    <w:p w14:paraId="46F69026" w14:textId="77777777" w:rsidR="00C85187" w:rsidRPr="009966FB" w:rsidRDefault="00C85187" w:rsidP="00C85187">
      <w:pPr>
        <w:pStyle w:val="Bezmezer"/>
        <w:numPr>
          <w:ilvl w:val="0"/>
          <w:numId w:val="16"/>
        </w:numPr>
        <w:spacing w:after="240"/>
        <w:ind w:left="0" w:firstLine="0"/>
        <w:jc w:val="both"/>
        <w:rPr>
          <w:rFonts w:ascii="Garamond" w:eastAsia="Times New Roman" w:hAnsi="Garamond" w:cs="Times New Roman"/>
          <w:sz w:val="24"/>
          <w:szCs w:val="24"/>
          <w:lang w:eastAsia="cs-CZ"/>
        </w:rPr>
      </w:pPr>
      <w:r>
        <w:rPr>
          <w:rFonts w:ascii="Garamond" w:eastAsia="Times New Roman" w:hAnsi="Garamond" w:cs="Times New Roman"/>
          <w:sz w:val="24"/>
          <w:szCs w:val="24"/>
          <w:lang w:eastAsia="cs-CZ"/>
        </w:rPr>
        <w:t>Stěžovatelé n</w:t>
      </w:r>
      <w:r w:rsidRPr="009966FB">
        <w:rPr>
          <w:rFonts w:ascii="Garamond" w:eastAsia="Times New Roman" w:hAnsi="Garamond" w:cs="Times New Roman"/>
          <w:sz w:val="24"/>
          <w:szCs w:val="24"/>
          <w:lang w:eastAsia="cs-CZ"/>
        </w:rPr>
        <w:t>esouhlasí ani s tím, že se správní orgány měly zabývat otázkou včasnost</w:t>
      </w:r>
      <w:r>
        <w:rPr>
          <w:rFonts w:ascii="Garamond" w:eastAsia="Times New Roman" w:hAnsi="Garamond" w:cs="Times New Roman"/>
          <w:sz w:val="24"/>
          <w:szCs w:val="24"/>
          <w:lang w:eastAsia="cs-CZ"/>
        </w:rPr>
        <w:t xml:space="preserve">i podané </w:t>
      </w:r>
      <w:r w:rsidRPr="009966FB">
        <w:rPr>
          <w:rFonts w:ascii="Garamond" w:eastAsia="Times New Roman" w:hAnsi="Garamond" w:cs="Times New Roman"/>
          <w:sz w:val="24"/>
          <w:szCs w:val="24"/>
          <w:lang w:eastAsia="cs-CZ"/>
        </w:rPr>
        <w:t xml:space="preserve">přihlášky do řízení, </w:t>
      </w:r>
      <w:r>
        <w:rPr>
          <w:rFonts w:ascii="Garamond" w:eastAsia="Times New Roman" w:hAnsi="Garamond" w:cs="Times New Roman"/>
          <w:sz w:val="24"/>
          <w:szCs w:val="24"/>
          <w:lang w:eastAsia="cs-CZ"/>
        </w:rPr>
        <w:t xml:space="preserve">neboť územní řízení bylo zahájeno v souladu se zákonem. </w:t>
      </w:r>
      <w:r w:rsidRPr="009966FB">
        <w:rPr>
          <w:rFonts w:ascii="Garamond" w:eastAsia="Times New Roman" w:hAnsi="Garamond" w:cs="Times New Roman"/>
          <w:sz w:val="24"/>
          <w:szCs w:val="24"/>
          <w:lang w:eastAsia="cs-CZ"/>
        </w:rPr>
        <w:t xml:space="preserve"> </w:t>
      </w:r>
      <w:r>
        <w:rPr>
          <w:rFonts w:ascii="Garamond" w:eastAsia="Times New Roman" w:hAnsi="Garamond" w:cs="Times New Roman"/>
          <w:sz w:val="24"/>
          <w:szCs w:val="24"/>
          <w:lang w:eastAsia="cs-CZ"/>
        </w:rPr>
        <w:t xml:space="preserve">Nepodložené </w:t>
      </w:r>
      <w:r w:rsidRPr="0080455F">
        <w:rPr>
          <w:rFonts w:ascii="Garamond" w:eastAsia="Times New Roman" w:hAnsi="Garamond" w:cs="Times New Roman"/>
          <w:sz w:val="24"/>
          <w:szCs w:val="24"/>
          <w:lang w:eastAsia="cs-CZ"/>
        </w:rPr>
        <w:t>tvrzení žalobce o</w:t>
      </w:r>
      <w:r>
        <w:rPr>
          <w:rFonts w:ascii="Garamond" w:eastAsia="Times New Roman" w:hAnsi="Garamond" w:cs="Times New Roman"/>
          <w:sz w:val="24"/>
          <w:szCs w:val="24"/>
          <w:lang w:eastAsia="cs-CZ"/>
        </w:rPr>
        <w:t xml:space="preserve"> porušení mezinárodních úmluv</w:t>
      </w:r>
      <w:r w:rsidRPr="00E91F85">
        <w:rPr>
          <w:rFonts w:ascii="Garamond" w:eastAsia="Times New Roman" w:hAnsi="Garamond" w:cs="Times New Roman"/>
          <w:sz w:val="24"/>
          <w:szCs w:val="24"/>
          <w:lang w:eastAsia="cs-CZ"/>
        </w:rPr>
        <w:t xml:space="preserve"> </w:t>
      </w:r>
      <w:r>
        <w:rPr>
          <w:rFonts w:ascii="Garamond" w:eastAsia="Times New Roman" w:hAnsi="Garamond" w:cs="Times New Roman"/>
          <w:sz w:val="24"/>
          <w:szCs w:val="24"/>
          <w:lang w:eastAsia="cs-CZ"/>
        </w:rPr>
        <w:t>nemohlo založit</w:t>
      </w:r>
      <w:r w:rsidRPr="00E91F85">
        <w:rPr>
          <w:rFonts w:ascii="Garamond" w:eastAsia="Times New Roman" w:hAnsi="Garamond" w:cs="Times New Roman"/>
          <w:sz w:val="24"/>
          <w:szCs w:val="24"/>
          <w:lang w:eastAsia="cs-CZ"/>
        </w:rPr>
        <w:t xml:space="preserve"> </w:t>
      </w:r>
      <w:r>
        <w:rPr>
          <w:rFonts w:ascii="Garamond" w:eastAsia="Times New Roman" w:hAnsi="Garamond" w:cs="Times New Roman"/>
          <w:sz w:val="24"/>
          <w:szCs w:val="24"/>
          <w:lang w:eastAsia="cs-CZ"/>
        </w:rPr>
        <w:t>pochybnost o tom, zda bylo jeho podání skutečně opožděné. S</w:t>
      </w:r>
      <w:r w:rsidRPr="009966FB">
        <w:rPr>
          <w:rFonts w:ascii="Garamond" w:eastAsia="Times New Roman" w:hAnsi="Garamond" w:cs="Times New Roman"/>
          <w:sz w:val="24"/>
          <w:szCs w:val="24"/>
          <w:lang w:eastAsia="cs-CZ"/>
        </w:rPr>
        <w:t xml:space="preserve">tavební úřad zveřejnil </w:t>
      </w:r>
      <w:r>
        <w:rPr>
          <w:rFonts w:ascii="Garamond" w:eastAsia="Times New Roman" w:hAnsi="Garamond" w:cs="Times New Roman"/>
          <w:sz w:val="24"/>
          <w:szCs w:val="24"/>
          <w:lang w:eastAsia="cs-CZ"/>
        </w:rPr>
        <w:t>podle stěžovatele a) </w:t>
      </w:r>
      <w:r w:rsidRPr="009966FB">
        <w:rPr>
          <w:rFonts w:ascii="Garamond" w:eastAsia="Times New Roman" w:hAnsi="Garamond" w:cs="Times New Roman"/>
          <w:sz w:val="24"/>
          <w:szCs w:val="24"/>
          <w:lang w:eastAsia="cs-CZ"/>
        </w:rPr>
        <w:t>informaci o zahájení územního řízení zákonným způsobem</w:t>
      </w:r>
      <w:r>
        <w:rPr>
          <w:rFonts w:ascii="Garamond" w:eastAsia="Times New Roman" w:hAnsi="Garamond" w:cs="Times New Roman"/>
          <w:sz w:val="24"/>
          <w:szCs w:val="24"/>
          <w:lang w:eastAsia="cs-CZ"/>
        </w:rPr>
        <w:t>. Poté začala plynout lhůta pro </w:t>
      </w:r>
      <w:r w:rsidRPr="009966FB">
        <w:rPr>
          <w:rFonts w:ascii="Garamond" w:eastAsia="Times New Roman" w:hAnsi="Garamond" w:cs="Times New Roman"/>
          <w:sz w:val="24"/>
          <w:szCs w:val="24"/>
          <w:lang w:eastAsia="cs-CZ"/>
        </w:rPr>
        <w:t xml:space="preserve">přihlášení </w:t>
      </w:r>
      <w:r>
        <w:rPr>
          <w:rFonts w:ascii="Garamond" w:eastAsia="Times New Roman" w:hAnsi="Garamond" w:cs="Times New Roman"/>
          <w:sz w:val="24"/>
          <w:szCs w:val="24"/>
          <w:lang w:eastAsia="cs-CZ"/>
        </w:rPr>
        <w:t xml:space="preserve">účastníků do </w:t>
      </w:r>
      <w:r w:rsidRPr="009966FB">
        <w:rPr>
          <w:rFonts w:ascii="Garamond" w:eastAsia="Times New Roman" w:hAnsi="Garamond" w:cs="Times New Roman"/>
          <w:sz w:val="24"/>
          <w:szCs w:val="24"/>
          <w:lang w:eastAsia="cs-CZ"/>
        </w:rPr>
        <w:t>řízení</w:t>
      </w:r>
      <w:r>
        <w:rPr>
          <w:rFonts w:ascii="Garamond" w:eastAsia="Times New Roman" w:hAnsi="Garamond" w:cs="Times New Roman"/>
          <w:sz w:val="24"/>
          <w:szCs w:val="24"/>
          <w:lang w:eastAsia="cs-CZ"/>
        </w:rPr>
        <w:t>. Stavební úřad měl přitom za prokázané, že záměr nemá </w:t>
      </w:r>
      <w:r w:rsidRPr="009966FB">
        <w:rPr>
          <w:rFonts w:ascii="Garamond" w:eastAsia="Times New Roman" w:hAnsi="Garamond" w:cs="Times New Roman"/>
          <w:sz w:val="24"/>
          <w:szCs w:val="24"/>
          <w:lang w:eastAsia="cs-CZ"/>
        </w:rPr>
        <w:t xml:space="preserve">přeshraniční dopad. </w:t>
      </w:r>
    </w:p>
    <w:p w14:paraId="46F69027" w14:textId="77777777" w:rsidR="00C85187" w:rsidRPr="009966FB" w:rsidRDefault="00C85187" w:rsidP="00C85187">
      <w:pPr>
        <w:pStyle w:val="Odstavecseseznamem"/>
        <w:numPr>
          <w:ilvl w:val="0"/>
          <w:numId w:val="16"/>
        </w:numPr>
        <w:spacing w:after="240"/>
        <w:ind w:left="0" w:firstLine="0"/>
        <w:contextualSpacing w:val="0"/>
        <w:jc w:val="both"/>
        <w:rPr>
          <w:rFonts w:ascii="Garamond" w:hAnsi="Garamond"/>
        </w:rPr>
      </w:pPr>
      <w:r w:rsidRPr="009966FB">
        <w:rPr>
          <w:rFonts w:ascii="Garamond" w:hAnsi="Garamond"/>
        </w:rPr>
        <w:t xml:space="preserve">Stěžovatelé odmítají závěr soudu, </w:t>
      </w:r>
      <w:r>
        <w:rPr>
          <w:rFonts w:ascii="Garamond" w:hAnsi="Garamond"/>
        </w:rPr>
        <w:t>podle nějž je žalobce dotčenou veřejností a jeho </w:t>
      </w:r>
      <w:r w:rsidRPr="009966FB">
        <w:rPr>
          <w:rFonts w:ascii="Garamond" w:hAnsi="Garamond"/>
        </w:rPr>
        <w:t xml:space="preserve">odvolání </w:t>
      </w:r>
      <w:r>
        <w:rPr>
          <w:rFonts w:ascii="Garamond" w:hAnsi="Garamond"/>
        </w:rPr>
        <w:t>bylo</w:t>
      </w:r>
      <w:r w:rsidRPr="009966FB">
        <w:rPr>
          <w:rFonts w:ascii="Garamond" w:hAnsi="Garamond"/>
        </w:rPr>
        <w:t xml:space="preserve"> přípustné jako odvolání subjektu, kterému nebylo umožněno stát se</w:t>
      </w:r>
      <w:r>
        <w:rPr>
          <w:rFonts w:ascii="Garamond" w:hAnsi="Garamond"/>
        </w:rPr>
        <w:t> </w:t>
      </w:r>
      <w:r w:rsidRPr="009966FB">
        <w:rPr>
          <w:rFonts w:ascii="Garamond" w:hAnsi="Garamond"/>
        </w:rPr>
        <w:t xml:space="preserve">účastníkem řízení podle § 9c odst. 3 zákona o posuzování vlivů </w:t>
      </w:r>
      <w:r>
        <w:rPr>
          <w:rFonts w:ascii="Garamond" w:hAnsi="Garamond"/>
        </w:rPr>
        <w:t>ani</w:t>
      </w:r>
      <w:r w:rsidRPr="009966FB">
        <w:rPr>
          <w:rFonts w:ascii="Garamond" w:hAnsi="Garamond"/>
        </w:rPr>
        <w:t xml:space="preserve"> </w:t>
      </w:r>
      <w:r>
        <w:rPr>
          <w:rFonts w:ascii="Garamond" w:hAnsi="Garamond"/>
        </w:rPr>
        <w:t>účastníkem ve smyslu § 9c </w:t>
      </w:r>
      <w:r w:rsidRPr="009966FB">
        <w:rPr>
          <w:rFonts w:ascii="Garamond" w:hAnsi="Garamond"/>
        </w:rPr>
        <w:t>odst. 4 téhož zákona. Žalobce</w:t>
      </w:r>
      <w:r>
        <w:rPr>
          <w:rFonts w:ascii="Garamond" w:hAnsi="Garamond"/>
        </w:rPr>
        <w:t xml:space="preserve"> ve správním ani soudním řízení neprokázal, že by byl </w:t>
      </w:r>
      <w:r w:rsidRPr="009966FB">
        <w:rPr>
          <w:rFonts w:ascii="Garamond" w:hAnsi="Garamond"/>
        </w:rPr>
        <w:t>dotčenou veřejností</w:t>
      </w:r>
      <w:r>
        <w:rPr>
          <w:rFonts w:ascii="Garamond" w:hAnsi="Garamond"/>
        </w:rPr>
        <w:t>, a n</w:t>
      </w:r>
      <w:r w:rsidRPr="009966FB">
        <w:rPr>
          <w:rFonts w:ascii="Garamond" w:hAnsi="Garamond"/>
        </w:rPr>
        <w:t>ení zřejmé</w:t>
      </w:r>
      <w:r>
        <w:rPr>
          <w:rFonts w:ascii="Garamond" w:hAnsi="Garamond"/>
        </w:rPr>
        <w:t>,</w:t>
      </w:r>
      <w:r w:rsidRPr="009966FB">
        <w:rPr>
          <w:rFonts w:ascii="Garamond" w:hAnsi="Garamond"/>
        </w:rPr>
        <w:t xml:space="preserve"> </w:t>
      </w:r>
      <w:r>
        <w:rPr>
          <w:rFonts w:ascii="Garamond" w:hAnsi="Garamond"/>
        </w:rPr>
        <w:t>z čeho to krajský soud dovodil. Žalobce totiž p</w:t>
      </w:r>
      <w:r w:rsidRPr="009966FB">
        <w:rPr>
          <w:rFonts w:ascii="Garamond" w:hAnsi="Garamond"/>
        </w:rPr>
        <w:t xml:space="preserve">ředložil </w:t>
      </w:r>
      <w:r>
        <w:rPr>
          <w:rFonts w:ascii="Garamond" w:hAnsi="Garamond"/>
        </w:rPr>
        <w:t>pouze</w:t>
      </w:r>
      <w:r w:rsidRPr="009966FB">
        <w:rPr>
          <w:rFonts w:ascii="Garamond" w:hAnsi="Garamond"/>
        </w:rPr>
        <w:t xml:space="preserve"> dokumenty v německém jazyce</w:t>
      </w:r>
      <w:r>
        <w:rPr>
          <w:rFonts w:ascii="Garamond" w:hAnsi="Garamond"/>
        </w:rPr>
        <w:t>;</w:t>
      </w:r>
      <w:r w:rsidRPr="009966FB">
        <w:rPr>
          <w:rFonts w:ascii="Garamond" w:hAnsi="Garamond"/>
        </w:rPr>
        <w:t xml:space="preserve"> </w:t>
      </w:r>
      <w:r>
        <w:rPr>
          <w:rFonts w:ascii="Garamond" w:hAnsi="Garamond"/>
        </w:rPr>
        <w:t>soud si však podle stěžovatele a)</w:t>
      </w:r>
      <w:r w:rsidRPr="009966FB">
        <w:rPr>
          <w:rFonts w:ascii="Garamond" w:hAnsi="Garamond"/>
        </w:rPr>
        <w:t xml:space="preserve"> </w:t>
      </w:r>
      <w:r>
        <w:rPr>
          <w:rFonts w:ascii="Garamond" w:hAnsi="Garamond"/>
        </w:rPr>
        <w:t>neopatřil jejich překlad, čímž</w:t>
      </w:r>
      <w:r w:rsidRPr="00070E9F">
        <w:rPr>
          <w:rFonts w:ascii="Garamond" w:hAnsi="Garamond"/>
        </w:rPr>
        <w:t xml:space="preserve"> </w:t>
      </w:r>
      <w:r>
        <w:rPr>
          <w:rFonts w:ascii="Garamond" w:hAnsi="Garamond"/>
        </w:rPr>
        <w:t>zatížil řízení zmatečností.</w:t>
      </w:r>
    </w:p>
    <w:p w14:paraId="46F69028" w14:textId="77777777" w:rsidR="00C85187" w:rsidRPr="009966FB" w:rsidRDefault="00C85187" w:rsidP="00C85187">
      <w:pPr>
        <w:pStyle w:val="Bezmezer"/>
        <w:numPr>
          <w:ilvl w:val="0"/>
          <w:numId w:val="16"/>
        </w:numPr>
        <w:spacing w:after="240"/>
        <w:ind w:left="0" w:firstLine="0"/>
        <w:jc w:val="both"/>
        <w:rPr>
          <w:rFonts w:ascii="Garamond" w:eastAsia="Times New Roman" w:hAnsi="Garamond" w:cs="Times New Roman"/>
          <w:sz w:val="24"/>
          <w:szCs w:val="24"/>
          <w:lang w:eastAsia="cs-CZ"/>
        </w:rPr>
      </w:pPr>
      <w:r>
        <w:rPr>
          <w:rFonts w:ascii="Garamond" w:eastAsia="Times New Roman" w:hAnsi="Garamond" w:cs="Times New Roman"/>
          <w:sz w:val="24"/>
          <w:szCs w:val="24"/>
          <w:lang w:eastAsia="cs-CZ"/>
        </w:rPr>
        <w:t>Podle stěžovatelů nemá u</w:t>
      </w:r>
      <w:r w:rsidRPr="009966FB">
        <w:rPr>
          <w:rFonts w:ascii="Garamond" w:eastAsia="Times New Roman" w:hAnsi="Garamond" w:cs="Times New Roman"/>
          <w:sz w:val="24"/>
          <w:szCs w:val="24"/>
          <w:lang w:eastAsia="cs-CZ"/>
        </w:rPr>
        <w:t xml:space="preserve">misťovaná stavba přeshraniční významné </w:t>
      </w:r>
      <w:r>
        <w:rPr>
          <w:rFonts w:ascii="Garamond" w:eastAsia="Times New Roman" w:hAnsi="Garamond" w:cs="Times New Roman"/>
          <w:sz w:val="24"/>
          <w:szCs w:val="24"/>
          <w:lang w:eastAsia="cs-CZ"/>
        </w:rPr>
        <w:t>negativní vlivy. Její </w:t>
      </w:r>
      <w:r w:rsidRPr="009966FB">
        <w:rPr>
          <w:rFonts w:ascii="Garamond" w:eastAsia="Times New Roman" w:hAnsi="Garamond" w:cs="Times New Roman"/>
          <w:sz w:val="24"/>
          <w:szCs w:val="24"/>
          <w:lang w:eastAsia="cs-CZ"/>
        </w:rPr>
        <w:t xml:space="preserve">vnitrostátní negativní vlivy jsou </w:t>
      </w:r>
      <w:r w:rsidRPr="00C54D5B">
        <w:rPr>
          <w:rFonts w:ascii="Garamond" w:eastAsia="Times New Roman" w:hAnsi="Garamond" w:cs="Times New Roman"/>
          <w:sz w:val="24"/>
          <w:szCs w:val="24"/>
          <w:lang w:eastAsia="cs-CZ"/>
        </w:rPr>
        <w:t xml:space="preserve">kompenzovány nebo </w:t>
      </w:r>
      <w:r>
        <w:rPr>
          <w:rFonts w:ascii="Garamond" w:eastAsia="Times New Roman" w:hAnsi="Garamond" w:cs="Times New Roman"/>
          <w:sz w:val="24"/>
          <w:szCs w:val="24"/>
          <w:lang w:eastAsia="cs-CZ"/>
        </w:rPr>
        <w:t>omezovány</w:t>
      </w:r>
      <w:r w:rsidRPr="009966FB">
        <w:rPr>
          <w:rFonts w:ascii="Garamond" w:eastAsia="Times New Roman" w:hAnsi="Garamond" w:cs="Times New Roman"/>
          <w:sz w:val="24"/>
          <w:szCs w:val="24"/>
          <w:lang w:eastAsia="cs-CZ"/>
        </w:rPr>
        <w:t xml:space="preserve"> tak, aby nedocházelo k překračování limitů znečištění životního prostředí. Stěžovatel a) poukázal i na to, že stavební úřad vypořádal námitky obsahově shodné s námitkami žalobce. Proces EIA nemá sloužit k obstrukčnímu jednání žalobce, a to ani v rámci navazujících řízení. Stěžovatel a) má</w:t>
      </w:r>
      <w:r>
        <w:rPr>
          <w:rFonts w:ascii="Garamond" w:eastAsia="Times New Roman" w:hAnsi="Garamond" w:cs="Times New Roman"/>
          <w:sz w:val="24"/>
          <w:szCs w:val="24"/>
          <w:lang w:eastAsia="cs-CZ"/>
        </w:rPr>
        <w:t> </w:t>
      </w:r>
      <w:r w:rsidRPr="009966FB">
        <w:rPr>
          <w:rFonts w:ascii="Garamond" w:eastAsia="Times New Roman" w:hAnsi="Garamond" w:cs="Times New Roman"/>
          <w:sz w:val="24"/>
          <w:szCs w:val="24"/>
          <w:lang w:eastAsia="cs-CZ"/>
        </w:rPr>
        <w:t>za</w:t>
      </w:r>
      <w:r>
        <w:rPr>
          <w:rFonts w:ascii="Garamond" w:eastAsia="Times New Roman" w:hAnsi="Garamond" w:cs="Times New Roman"/>
          <w:sz w:val="24"/>
          <w:szCs w:val="24"/>
          <w:lang w:eastAsia="cs-CZ"/>
        </w:rPr>
        <w:t> </w:t>
      </w:r>
      <w:r w:rsidRPr="009966FB">
        <w:rPr>
          <w:rFonts w:ascii="Garamond" w:eastAsia="Times New Roman" w:hAnsi="Garamond" w:cs="Times New Roman"/>
          <w:sz w:val="24"/>
          <w:szCs w:val="24"/>
          <w:lang w:eastAsia="cs-CZ"/>
        </w:rPr>
        <w:t>to, že</w:t>
      </w:r>
      <w:r>
        <w:rPr>
          <w:rFonts w:ascii="Garamond" w:eastAsia="Times New Roman" w:hAnsi="Garamond" w:cs="Times New Roman"/>
          <w:sz w:val="24"/>
          <w:szCs w:val="24"/>
          <w:lang w:eastAsia="cs-CZ"/>
        </w:rPr>
        <w:t> </w:t>
      </w:r>
      <w:r w:rsidRPr="009966FB">
        <w:rPr>
          <w:rFonts w:ascii="Garamond" w:eastAsia="Times New Roman" w:hAnsi="Garamond" w:cs="Times New Roman"/>
          <w:sz w:val="24"/>
          <w:szCs w:val="24"/>
          <w:lang w:eastAsia="cs-CZ"/>
        </w:rPr>
        <w:t xml:space="preserve">v řízení zjistil skutkový stav, o němž nejsou důvodné pochybnosti. </w:t>
      </w:r>
      <w:r>
        <w:rPr>
          <w:rFonts w:ascii="Garamond" w:eastAsia="Times New Roman" w:hAnsi="Garamond" w:cs="Times New Roman"/>
          <w:sz w:val="24"/>
          <w:szCs w:val="24"/>
          <w:lang w:eastAsia="cs-CZ"/>
        </w:rPr>
        <w:t xml:space="preserve"> </w:t>
      </w:r>
    </w:p>
    <w:p w14:paraId="46F69029" w14:textId="77777777" w:rsidR="00C85187" w:rsidRPr="009966FB" w:rsidRDefault="00C85187" w:rsidP="00C85187">
      <w:pPr>
        <w:pStyle w:val="Bezmezer"/>
        <w:numPr>
          <w:ilvl w:val="0"/>
          <w:numId w:val="16"/>
        </w:numPr>
        <w:spacing w:after="240"/>
        <w:ind w:left="0" w:firstLine="0"/>
        <w:jc w:val="both"/>
        <w:rPr>
          <w:rFonts w:ascii="Garamond" w:eastAsia="Times New Roman" w:hAnsi="Garamond" w:cs="Times New Roman"/>
          <w:sz w:val="24"/>
          <w:szCs w:val="24"/>
          <w:lang w:eastAsia="cs-CZ"/>
        </w:rPr>
      </w:pPr>
      <w:r w:rsidRPr="008203A6">
        <w:rPr>
          <w:rFonts w:ascii="Garamond" w:eastAsia="Times New Roman" w:hAnsi="Garamond" w:cs="Times New Roman"/>
          <w:sz w:val="24"/>
          <w:szCs w:val="24"/>
          <w:lang w:eastAsia="cs-CZ"/>
        </w:rPr>
        <w:t>Podle stěžovatele b) krajský soud</w:t>
      </w:r>
      <w:r>
        <w:rPr>
          <w:rFonts w:ascii="Garamond" w:eastAsia="Times New Roman" w:hAnsi="Garamond" w:cs="Times New Roman"/>
          <w:sz w:val="24"/>
          <w:szCs w:val="24"/>
          <w:lang w:eastAsia="cs-CZ"/>
        </w:rPr>
        <w:t xml:space="preserve"> nespojil věci ke společnému projednání</w:t>
      </w:r>
      <w:r w:rsidRPr="008203A6">
        <w:rPr>
          <w:rFonts w:ascii="Garamond" w:eastAsia="Times New Roman" w:hAnsi="Garamond" w:cs="Times New Roman"/>
          <w:sz w:val="24"/>
          <w:szCs w:val="24"/>
          <w:lang w:eastAsia="cs-CZ"/>
        </w:rPr>
        <w:t xml:space="preserve"> v rozporu se</w:t>
      </w:r>
      <w:r>
        <w:rPr>
          <w:rFonts w:ascii="Garamond" w:eastAsia="Times New Roman" w:hAnsi="Garamond" w:cs="Times New Roman"/>
          <w:sz w:val="24"/>
          <w:szCs w:val="24"/>
          <w:lang w:eastAsia="cs-CZ"/>
        </w:rPr>
        <w:t> </w:t>
      </w:r>
      <w:r w:rsidRPr="008203A6">
        <w:rPr>
          <w:rFonts w:ascii="Garamond" w:eastAsia="Times New Roman" w:hAnsi="Garamond" w:cs="Times New Roman"/>
          <w:sz w:val="24"/>
          <w:szCs w:val="24"/>
          <w:lang w:eastAsia="cs-CZ"/>
        </w:rPr>
        <w:t xml:space="preserve">zásadou hospodárnosti a účelnosti soudního řízení </w:t>
      </w:r>
      <w:r>
        <w:rPr>
          <w:rFonts w:ascii="Garamond" w:eastAsia="Times New Roman" w:hAnsi="Garamond" w:cs="Times New Roman"/>
          <w:sz w:val="24"/>
          <w:szCs w:val="24"/>
          <w:lang w:eastAsia="cs-CZ"/>
        </w:rPr>
        <w:t>i</w:t>
      </w:r>
      <w:r w:rsidRPr="008203A6">
        <w:rPr>
          <w:rFonts w:ascii="Garamond" w:eastAsia="Times New Roman" w:hAnsi="Garamond" w:cs="Times New Roman"/>
          <w:sz w:val="24"/>
          <w:szCs w:val="24"/>
          <w:lang w:eastAsia="cs-CZ"/>
        </w:rPr>
        <w:t xml:space="preserve"> s právem na spravedlivý proces.</w:t>
      </w:r>
      <w:r w:rsidRPr="007E5478">
        <w:rPr>
          <w:rFonts w:ascii="Garamond" w:eastAsia="Times New Roman" w:hAnsi="Garamond" w:cs="Times New Roman"/>
          <w:sz w:val="24"/>
          <w:szCs w:val="24"/>
          <w:lang w:eastAsia="cs-CZ"/>
        </w:rPr>
        <w:t xml:space="preserve"> </w:t>
      </w:r>
      <w:r w:rsidRPr="009966FB">
        <w:rPr>
          <w:rFonts w:ascii="Garamond" w:eastAsia="Times New Roman" w:hAnsi="Garamond" w:cs="Times New Roman"/>
          <w:sz w:val="24"/>
          <w:szCs w:val="24"/>
          <w:lang w:eastAsia="cs-CZ"/>
        </w:rPr>
        <w:t xml:space="preserve"> Krajský soud měl v době vydání rozsudku NSS 1 As 390/2020 ověřit, zda jsou proti žalobám, které odmítl pro překážku </w:t>
      </w:r>
      <w:r w:rsidRPr="0076698F">
        <w:rPr>
          <w:rFonts w:ascii="Garamond" w:eastAsia="Times New Roman" w:hAnsi="Garamond" w:cs="Times New Roman"/>
          <w:i/>
          <w:sz w:val="24"/>
          <w:szCs w:val="24"/>
          <w:lang w:eastAsia="cs-CZ"/>
        </w:rPr>
        <w:t>rei iudicatae</w:t>
      </w:r>
      <w:r w:rsidRPr="009966FB">
        <w:rPr>
          <w:rFonts w:ascii="Garamond" w:eastAsia="Times New Roman" w:hAnsi="Garamond" w:cs="Times New Roman"/>
          <w:sz w:val="24"/>
          <w:szCs w:val="24"/>
          <w:lang w:eastAsia="cs-CZ"/>
        </w:rPr>
        <w:t>, podány kasační stížnosti a následně vyčkat rozhodnutí NSS o</w:t>
      </w:r>
      <w:r>
        <w:rPr>
          <w:rFonts w:ascii="Garamond" w:eastAsia="Times New Roman" w:hAnsi="Garamond" w:cs="Times New Roman"/>
          <w:sz w:val="24"/>
          <w:szCs w:val="24"/>
          <w:lang w:eastAsia="cs-CZ"/>
        </w:rPr>
        <w:t> nich</w:t>
      </w:r>
      <w:r w:rsidRPr="009966FB">
        <w:rPr>
          <w:rFonts w:ascii="Garamond" w:eastAsia="Times New Roman" w:hAnsi="Garamond" w:cs="Times New Roman"/>
          <w:sz w:val="24"/>
          <w:szCs w:val="24"/>
          <w:lang w:eastAsia="cs-CZ"/>
        </w:rPr>
        <w:t xml:space="preserve">. </w:t>
      </w:r>
      <w:r>
        <w:rPr>
          <w:rFonts w:ascii="Garamond" w:eastAsia="Times New Roman" w:hAnsi="Garamond" w:cs="Times New Roman"/>
          <w:sz w:val="24"/>
          <w:szCs w:val="24"/>
          <w:lang w:eastAsia="cs-CZ"/>
        </w:rPr>
        <w:t>Pouze tak</w:t>
      </w:r>
      <w:r w:rsidRPr="009966FB">
        <w:rPr>
          <w:rFonts w:ascii="Garamond" w:eastAsia="Times New Roman" w:hAnsi="Garamond" w:cs="Times New Roman"/>
          <w:sz w:val="24"/>
          <w:szCs w:val="24"/>
          <w:lang w:eastAsia="cs-CZ"/>
        </w:rPr>
        <w:t xml:space="preserve"> </w:t>
      </w:r>
      <w:r w:rsidRPr="00D3287D">
        <w:rPr>
          <w:rFonts w:ascii="Garamond" w:eastAsia="Times New Roman" w:hAnsi="Garamond" w:cs="Times New Roman"/>
          <w:sz w:val="24"/>
          <w:szCs w:val="24"/>
          <w:lang w:eastAsia="cs-CZ"/>
        </w:rPr>
        <w:t xml:space="preserve">mohl naplnit závěry vyslovené ve věci 1 As 390/2020 a věcně projednat všechny žaloby směřující proti rozhodnutí </w:t>
      </w:r>
      <w:r>
        <w:rPr>
          <w:rFonts w:ascii="Garamond" w:eastAsia="Times New Roman" w:hAnsi="Garamond" w:cs="Times New Roman"/>
          <w:sz w:val="24"/>
          <w:szCs w:val="24"/>
          <w:lang w:eastAsia="cs-CZ"/>
        </w:rPr>
        <w:t>stěžovatele a).</w:t>
      </w:r>
      <w:r w:rsidRPr="009966FB">
        <w:rPr>
          <w:rFonts w:ascii="Garamond" w:eastAsia="Times New Roman" w:hAnsi="Garamond" w:cs="Times New Roman"/>
          <w:sz w:val="24"/>
          <w:szCs w:val="24"/>
          <w:lang w:eastAsia="cs-CZ"/>
        </w:rPr>
        <w:t xml:space="preserve"> </w:t>
      </w:r>
    </w:p>
    <w:p w14:paraId="46F6902A" w14:textId="77777777" w:rsidR="00C85187" w:rsidRPr="00543B41" w:rsidRDefault="00C85187" w:rsidP="00C85187">
      <w:pPr>
        <w:pStyle w:val="Bezmezer"/>
        <w:numPr>
          <w:ilvl w:val="0"/>
          <w:numId w:val="16"/>
        </w:numPr>
        <w:spacing w:after="240"/>
        <w:ind w:left="0" w:firstLine="0"/>
        <w:jc w:val="both"/>
        <w:rPr>
          <w:rFonts w:ascii="Garamond" w:eastAsia="Times New Roman" w:hAnsi="Garamond" w:cs="Times New Roman"/>
          <w:sz w:val="24"/>
          <w:szCs w:val="24"/>
          <w:lang w:eastAsia="cs-CZ"/>
        </w:rPr>
      </w:pPr>
      <w:r w:rsidRPr="009966FB">
        <w:rPr>
          <w:rFonts w:ascii="Garamond" w:eastAsia="Times New Roman" w:hAnsi="Garamond" w:cs="Times New Roman"/>
          <w:sz w:val="24"/>
          <w:szCs w:val="24"/>
          <w:lang w:eastAsia="cs-CZ"/>
        </w:rPr>
        <w:t>Krajský soud byl podle § 2 odst. 4 liniového zákona povinen rozhodnout o všech žalobních bodech. Stěžovatelé nesouhlasí s tím, že pro tento postup nebyly dány procesní předpoklady. Liniový zákon nepřipouští výjimku ani pro případ, že soud shledá závažné procesní vady.</w:t>
      </w:r>
    </w:p>
    <w:p w14:paraId="46F6902B" w14:textId="602514E7" w:rsidR="00C85187" w:rsidRPr="00451C4B" w:rsidRDefault="00C85187" w:rsidP="00C85187">
      <w:pPr>
        <w:pStyle w:val="Zkladnsslovnm"/>
        <w:numPr>
          <w:ilvl w:val="0"/>
          <w:numId w:val="16"/>
        </w:numPr>
        <w:tabs>
          <w:tab w:val="clear" w:pos="567"/>
          <w:tab w:val="left" w:pos="709"/>
        </w:tabs>
        <w:spacing w:before="0" w:after="240"/>
        <w:ind w:left="0" w:firstLine="0"/>
        <w:rPr>
          <w:rFonts w:ascii="Garamond" w:hAnsi="Garamond"/>
          <w:bCs/>
        </w:rPr>
      </w:pPr>
      <w:r w:rsidRPr="00451C4B">
        <w:rPr>
          <w:rFonts w:ascii="Garamond" w:hAnsi="Garamond"/>
        </w:rPr>
        <w:t>Stěžovatel a) v kasační stížnosti, stejně jako ve věci 1 As 390/2020, uplatnil námitku podjatosti soudce NSS JUDr. Tomáše Rychlého a zaměstnance NSS JUDr. V</w:t>
      </w:r>
      <w:r w:rsidR="00FC7331">
        <w:rPr>
          <w:rFonts w:ascii="Garamond" w:hAnsi="Garamond"/>
        </w:rPr>
        <w:t>.</w:t>
      </w:r>
      <w:r w:rsidRPr="00451C4B">
        <w:rPr>
          <w:rFonts w:ascii="Garamond" w:hAnsi="Garamond"/>
        </w:rPr>
        <w:t xml:space="preserve"> V</w:t>
      </w:r>
      <w:r w:rsidR="00FC7331">
        <w:rPr>
          <w:rFonts w:ascii="Garamond" w:hAnsi="Garamond"/>
        </w:rPr>
        <w:t>.</w:t>
      </w:r>
      <w:r w:rsidRPr="00451C4B">
        <w:rPr>
          <w:rFonts w:ascii="Garamond" w:hAnsi="Garamond"/>
        </w:rPr>
        <w:t>, Ph.D., LL. M. Důvodem je skutečnost, že JUDr. V</w:t>
      </w:r>
      <w:r w:rsidR="00FC7331">
        <w:rPr>
          <w:rFonts w:ascii="Garamond" w:hAnsi="Garamond"/>
        </w:rPr>
        <w:t>.</w:t>
      </w:r>
      <w:r w:rsidRPr="00451C4B">
        <w:rPr>
          <w:rFonts w:ascii="Garamond" w:hAnsi="Garamond"/>
        </w:rPr>
        <w:t xml:space="preserve"> po vydání napadeného rozsudku na sociální síti LinkedIn tento rozsudek komentoval a JUDr. Rychlý označil status tak, že se mu líbí, čímž měli dát oba najevo svůj poměr k věci.</w:t>
      </w:r>
    </w:p>
    <w:p w14:paraId="46F6902C" w14:textId="77777777" w:rsidR="00C85187" w:rsidRDefault="00C85187" w:rsidP="00C85187">
      <w:pPr>
        <w:pStyle w:val="Odstavecseseznamem"/>
        <w:numPr>
          <w:ilvl w:val="0"/>
          <w:numId w:val="16"/>
        </w:numPr>
        <w:spacing w:after="240"/>
        <w:ind w:left="0" w:firstLine="0"/>
        <w:contextualSpacing w:val="0"/>
        <w:jc w:val="both"/>
        <w:rPr>
          <w:rFonts w:ascii="Garamond" w:hAnsi="Garamond"/>
        </w:rPr>
      </w:pPr>
      <w:r>
        <w:rPr>
          <w:rFonts w:ascii="Garamond" w:hAnsi="Garamond"/>
        </w:rPr>
        <w:t xml:space="preserve">Podle vyjádření </w:t>
      </w:r>
      <w:r w:rsidRPr="00810F45">
        <w:rPr>
          <w:rFonts w:ascii="Garamond" w:hAnsi="Garamond"/>
        </w:rPr>
        <w:t>žalobce</w:t>
      </w:r>
      <w:r>
        <w:rPr>
          <w:rFonts w:ascii="Garamond" w:hAnsi="Garamond"/>
        </w:rPr>
        <w:t xml:space="preserve"> ke kasačním stížnostem</w:t>
      </w:r>
      <w:r w:rsidRPr="00810F45">
        <w:rPr>
          <w:rFonts w:ascii="Garamond" w:hAnsi="Garamond"/>
        </w:rPr>
        <w:t xml:space="preserve"> je nepochybné, že</w:t>
      </w:r>
      <w:r>
        <w:rPr>
          <w:rFonts w:ascii="Garamond" w:hAnsi="Garamond"/>
        </w:rPr>
        <w:t> se na </w:t>
      </w:r>
      <w:r w:rsidRPr="00810F45">
        <w:rPr>
          <w:rFonts w:ascii="Garamond" w:hAnsi="Garamond"/>
        </w:rPr>
        <w:t>základě veřejné vyhlášky ze dne 26. 6. 2017</w:t>
      </w:r>
      <w:r>
        <w:rPr>
          <w:rFonts w:ascii="Garamond" w:hAnsi="Garamond"/>
        </w:rPr>
        <w:t xml:space="preserve"> přihlásil</w:t>
      </w:r>
      <w:r w:rsidRPr="00810F45">
        <w:rPr>
          <w:rFonts w:ascii="Garamond" w:hAnsi="Garamond"/>
        </w:rPr>
        <w:t xml:space="preserve"> oznámením ze dne 7. 8. 2017 do</w:t>
      </w:r>
      <w:r>
        <w:rPr>
          <w:rFonts w:ascii="Garamond" w:hAnsi="Garamond"/>
        </w:rPr>
        <w:t> </w:t>
      </w:r>
      <w:r w:rsidRPr="00810F45">
        <w:rPr>
          <w:rFonts w:ascii="Garamond" w:hAnsi="Garamond"/>
        </w:rPr>
        <w:t>územního řízení a předložil věcné námitky</w:t>
      </w:r>
      <w:r>
        <w:rPr>
          <w:rFonts w:ascii="Garamond" w:hAnsi="Garamond"/>
        </w:rPr>
        <w:t>.</w:t>
      </w:r>
      <w:r w:rsidRPr="00810F45">
        <w:rPr>
          <w:rFonts w:ascii="Garamond" w:hAnsi="Garamond"/>
        </w:rPr>
        <w:t xml:space="preserve"> </w:t>
      </w:r>
      <w:r>
        <w:rPr>
          <w:rFonts w:ascii="Garamond" w:hAnsi="Garamond"/>
        </w:rPr>
        <w:t>Stavební úřad se však tímto podáním nezabýval a se žalobcem nejednal.</w:t>
      </w:r>
      <w:r w:rsidR="00451C4B">
        <w:rPr>
          <w:rFonts w:ascii="Garamond" w:hAnsi="Garamond"/>
        </w:rPr>
        <w:t xml:space="preserve"> Veřejnou </w:t>
      </w:r>
      <w:r w:rsidRPr="00810F45">
        <w:rPr>
          <w:rFonts w:ascii="Garamond" w:hAnsi="Garamond"/>
        </w:rPr>
        <w:t>vyhláškou ze dne 31. 1. 2018 oznámil stavební úřad další pokračování územního řízení</w:t>
      </w:r>
      <w:r>
        <w:rPr>
          <w:rFonts w:ascii="Garamond" w:hAnsi="Garamond"/>
        </w:rPr>
        <w:t>. Ž</w:t>
      </w:r>
      <w:r w:rsidRPr="00810F45">
        <w:rPr>
          <w:rFonts w:ascii="Garamond" w:hAnsi="Garamond"/>
        </w:rPr>
        <w:t xml:space="preserve">alobce </w:t>
      </w:r>
      <w:r>
        <w:rPr>
          <w:rFonts w:ascii="Garamond" w:hAnsi="Garamond"/>
        </w:rPr>
        <w:t xml:space="preserve">tedy </w:t>
      </w:r>
      <w:r w:rsidRPr="00810F45">
        <w:rPr>
          <w:rFonts w:ascii="Garamond" w:hAnsi="Garamond"/>
        </w:rPr>
        <w:t>splnil lhůtu pro přihlášení do řízení nejméně na</w:t>
      </w:r>
      <w:r>
        <w:rPr>
          <w:rFonts w:ascii="Garamond" w:hAnsi="Garamond"/>
        </w:rPr>
        <w:t> </w:t>
      </w:r>
      <w:r w:rsidRPr="00810F45">
        <w:rPr>
          <w:rFonts w:ascii="Garamond" w:hAnsi="Garamond"/>
        </w:rPr>
        <w:t xml:space="preserve">základě </w:t>
      </w:r>
      <w:r>
        <w:rPr>
          <w:rFonts w:ascii="Garamond" w:hAnsi="Garamond"/>
        </w:rPr>
        <w:t>této druhé vyhlášky</w:t>
      </w:r>
      <w:r w:rsidRPr="00810F45">
        <w:rPr>
          <w:rFonts w:ascii="Garamond" w:hAnsi="Garamond"/>
        </w:rPr>
        <w:t xml:space="preserve">. </w:t>
      </w:r>
      <w:r>
        <w:rPr>
          <w:rFonts w:ascii="Garamond" w:hAnsi="Garamond"/>
        </w:rPr>
        <w:t>Správní orgány měly postupovat podle § 37 odst. 3 správního řádu ve spojení s § 28 odst. 1 správního řádu.</w:t>
      </w:r>
      <w:r w:rsidRPr="00E310FE">
        <w:rPr>
          <w:rFonts w:ascii="Garamond" w:hAnsi="Garamond"/>
        </w:rPr>
        <w:t xml:space="preserve"> </w:t>
      </w:r>
      <w:r w:rsidRPr="00C54D5B">
        <w:rPr>
          <w:rFonts w:ascii="Garamond" w:hAnsi="Garamond"/>
        </w:rPr>
        <w:t>Jelikož stavební úřad se žalobcem od doručení př</w:t>
      </w:r>
      <w:r w:rsidR="00451C4B">
        <w:rPr>
          <w:rFonts w:ascii="Garamond" w:hAnsi="Garamond"/>
        </w:rPr>
        <w:t>ihlášky do územního řízení (10. </w:t>
      </w:r>
      <w:r w:rsidRPr="00C54D5B">
        <w:rPr>
          <w:rFonts w:ascii="Garamond" w:hAnsi="Garamond"/>
        </w:rPr>
        <w:t>8. 2017) do</w:t>
      </w:r>
      <w:r>
        <w:rPr>
          <w:rFonts w:ascii="Garamond" w:hAnsi="Garamond"/>
        </w:rPr>
        <w:t> </w:t>
      </w:r>
      <w:r w:rsidRPr="00C54D5B">
        <w:rPr>
          <w:rFonts w:ascii="Garamond" w:hAnsi="Garamond"/>
        </w:rPr>
        <w:t>vydání napadeného rozhodnutí (3. 12. 2019) ne</w:t>
      </w:r>
      <w:r w:rsidR="00451C4B">
        <w:rPr>
          <w:rFonts w:ascii="Garamond" w:hAnsi="Garamond"/>
        </w:rPr>
        <w:t>komunikoval, měl žalobce za to, </w:t>
      </w:r>
      <w:r w:rsidRPr="00C54D5B">
        <w:rPr>
          <w:rFonts w:ascii="Garamond" w:hAnsi="Garamond"/>
        </w:rPr>
        <w:t>že je řádným účastníkem územního i odvolacího řízení</w:t>
      </w:r>
      <w:r w:rsidRPr="00810F45">
        <w:rPr>
          <w:rFonts w:ascii="Garamond" w:hAnsi="Garamond"/>
        </w:rPr>
        <w:t>.</w:t>
      </w:r>
    </w:p>
    <w:p w14:paraId="46F6902D" w14:textId="77777777" w:rsidR="00C85187" w:rsidRPr="009966FB" w:rsidRDefault="00C85187" w:rsidP="00C85187">
      <w:pPr>
        <w:pStyle w:val="Odstavecseseznamem"/>
        <w:numPr>
          <w:ilvl w:val="0"/>
          <w:numId w:val="16"/>
        </w:numPr>
        <w:spacing w:after="240"/>
        <w:ind w:left="0" w:firstLine="0"/>
        <w:contextualSpacing w:val="0"/>
        <w:jc w:val="both"/>
        <w:rPr>
          <w:rFonts w:ascii="Garamond" w:hAnsi="Garamond"/>
        </w:rPr>
      </w:pPr>
      <w:r w:rsidRPr="009966FB">
        <w:rPr>
          <w:rFonts w:ascii="Garamond" w:hAnsi="Garamond"/>
        </w:rPr>
        <w:t xml:space="preserve">Žalobce dále upozornil, že </w:t>
      </w:r>
      <w:r>
        <w:rPr>
          <w:rFonts w:ascii="Garamond" w:hAnsi="Garamond"/>
        </w:rPr>
        <w:t>nebyly</w:t>
      </w:r>
      <w:r w:rsidRPr="009966FB">
        <w:rPr>
          <w:rFonts w:ascii="Garamond" w:hAnsi="Garamond"/>
        </w:rPr>
        <w:t xml:space="preserve"> řádn</w:t>
      </w:r>
      <w:r>
        <w:rPr>
          <w:rFonts w:ascii="Garamond" w:hAnsi="Garamond"/>
        </w:rPr>
        <w:t>ě</w:t>
      </w:r>
      <w:r w:rsidRPr="009966FB">
        <w:rPr>
          <w:rFonts w:ascii="Garamond" w:hAnsi="Garamond"/>
        </w:rPr>
        <w:t xml:space="preserve"> posouzen</w:t>
      </w:r>
      <w:r>
        <w:rPr>
          <w:rFonts w:ascii="Garamond" w:hAnsi="Garamond"/>
        </w:rPr>
        <w:t>y</w:t>
      </w:r>
      <w:r w:rsidRPr="009966FB">
        <w:rPr>
          <w:rFonts w:ascii="Garamond" w:hAnsi="Garamond"/>
        </w:rPr>
        <w:t xml:space="preserve"> přeshraniční vliv</w:t>
      </w:r>
      <w:r>
        <w:rPr>
          <w:rFonts w:ascii="Garamond" w:hAnsi="Garamond"/>
        </w:rPr>
        <w:t>y</w:t>
      </w:r>
      <w:r w:rsidRPr="009966FB">
        <w:rPr>
          <w:rFonts w:ascii="Garamond" w:hAnsi="Garamond"/>
        </w:rPr>
        <w:t xml:space="preserve"> záměru </w:t>
      </w:r>
      <w:r w:rsidRPr="00107607">
        <w:rPr>
          <w:rFonts w:ascii="Garamond" w:hAnsi="Garamond"/>
        </w:rPr>
        <w:t>R52. Obyvatelé Rakouska se k záměru nemohli vyjádřit, neboť veřejnému jednání v roce 2005 nebyl přítomen tlumočník. Odkaz stěžovatele a) na účast rakouských obyvatel v</w:t>
      </w:r>
      <w:r>
        <w:rPr>
          <w:rFonts w:ascii="Garamond" w:hAnsi="Garamond"/>
        </w:rPr>
        <w:t> procesu EIA pro </w:t>
      </w:r>
      <w:r w:rsidRPr="009966FB">
        <w:rPr>
          <w:rFonts w:ascii="Garamond" w:hAnsi="Garamond"/>
        </w:rPr>
        <w:t xml:space="preserve">záměr R52 není přiléhavý, neboť se nejednalo o přeshraniční posouzení vlivů na území Rakouska a jeho obyvatele. </w:t>
      </w:r>
      <w:r>
        <w:rPr>
          <w:rFonts w:ascii="Garamond" w:hAnsi="Garamond"/>
        </w:rPr>
        <w:t>Žalobce t</w:t>
      </w:r>
      <w:r w:rsidRPr="009966FB">
        <w:rPr>
          <w:rFonts w:ascii="Garamond" w:hAnsi="Garamond"/>
        </w:rPr>
        <w:t xml:space="preserve">aké poznamenal, že územní řízení bylo několikrát přerušeno pro nedostatky žádosti stěžovatele b) a některé spolky se do řízení z opatrnosti přihlašovaly podle zákona </w:t>
      </w:r>
      <w:r>
        <w:rPr>
          <w:rFonts w:ascii="Garamond" w:hAnsi="Garamond"/>
        </w:rPr>
        <w:t>č. 114/1992 Sb., o ochraně přírody a krajiny,</w:t>
      </w:r>
      <w:r w:rsidRPr="009966FB">
        <w:rPr>
          <w:rFonts w:ascii="Garamond" w:hAnsi="Garamond"/>
        </w:rPr>
        <w:t xml:space="preserve"> i</w:t>
      </w:r>
      <w:r>
        <w:rPr>
          <w:rFonts w:ascii="Garamond" w:hAnsi="Garamond"/>
        </w:rPr>
        <w:t xml:space="preserve"> podle</w:t>
      </w:r>
      <w:r w:rsidRPr="009966FB">
        <w:rPr>
          <w:rFonts w:ascii="Garamond" w:hAnsi="Garamond"/>
        </w:rPr>
        <w:t xml:space="preserve"> zákona o posuzování vlivů. </w:t>
      </w:r>
    </w:p>
    <w:p w14:paraId="46F6902E" w14:textId="77777777" w:rsidR="00C85187" w:rsidRPr="009966FB" w:rsidRDefault="00C85187" w:rsidP="00C85187">
      <w:pPr>
        <w:pStyle w:val="Bezmezer"/>
        <w:spacing w:after="240"/>
        <w:jc w:val="center"/>
        <w:rPr>
          <w:rFonts w:ascii="Garamond" w:hAnsi="Garamond"/>
          <w:sz w:val="24"/>
          <w:szCs w:val="24"/>
        </w:rPr>
      </w:pPr>
      <w:r w:rsidRPr="009966FB">
        <w:rPr>
          <w:rFonts w:ascii="Garamond" w:hAnsi="Garamond"/>
          <w:b/>
          <w:sz w:val="24"/>
          <w:szCs w:val="24"/>
        </w:rPr>
        <w:t xml:space="preserve">III. </w:t>
      </w:r>
      <w:r>
        <w:rPr>
          <w:rFonts w:ascii="Garamond" w:hAnsi="Garamond"/>
          <w:b/>
          <w:sz w:val="24"/>
          <w:szCs w:val="24"/>
        </w:rPr>
        <w:t>Posouzení kasačních stížností</w:t>
      </w:r>
    </w:p>
    <w:p w14:paraId="46F6902F" w14:textId="716EDBF8" w:rsidR="00C85187" w:rsidRPr="0076698F" w:rsidRDefault="00C85187" w:rsidP="00C85187">
      <w:pPr>
        <w:pStyle w:val="Odstavecseseznamem"/>
        <w:numPr>
          <w:ilvl w:val="0"/>
          <w:numId w:val="16"/>
        </w:numPr>
        <w:spacing w:after="240"/>
        <w:ind w:left="0" w:firstLine="0"/>
        <w:contextualSpacing w:val="0"/>
        <w:jc w:val="both"/>
        <w:rPr>
          <w:rFonts w:ascii="Garamond" w:hAnsi="Garamond"/>
        </w:rPr>
      </w:pPr>
      <w:bookmarkStart w:id="2" w:name="_Ref67838252"/>
      <w:r w:rsidRPr="0076698F">
        <w:rPr>
          <w:rFonts w:ascii="Garamond" w:hAnsi="Garamond"/>
        </w:rPr>
        <w:t xml:space="preserve">O námitce podjatosti uplatněné stěžovatelem a) soud nerozhodoval, neboť soudce </w:t>
      </w:r>
      <w:r>
        <w:rPr>
          <w:rFonts w:ascii="Garamond" w:hAnsi="Garamond"/>
        </w:rPr>
        <w:t>NSS</w:t>
      </w:r>
      <w:r w:rsidRPr="0076698F">
        <w:rPr>
          <w:rFonts w:ascii="Garamond" w:hAnsi="Garamond"/>
        </w:rPr>
        <w:t xml:space="preserve"> JUDr. Tomáš Rychlý ani zaměstnanec </w:t>
      </w:r>
      <w:r>
        <w:rPr>
          <w:rFonts w:ascii="Garamond" w:hAnsi="Garamond"/>
        </w:rPr>
        <w:t xml:space="preserve">NSS </w:t>
      </w:r>
      <w:r w:rsidRPr="0076698F">
        <w:rPr>
          <w:rFonts w:ascii="Garamond" w:hAnsi="Garamond"/>
        </w:rPr>
        <w:t>JUDr. V</w:t>
      </w:r>
      <w:r w:rsidR="00FC7331">
        <w:rPr>
          <w:rFonts w:ascii="Garamond" w:hAnsi="Garamond"/>
        </w:rPr>
        <w:t>.</w:t>
      </w:r>
      <w:r w:rsidRPr="0076698F">
        <w:rPr>
          <w:rFonts w:ascii="Garamond" w:hAnsi="Garamond"/>
        </w:rPr>
        <w:t xml:space="preserve"> V</w:t>
      </w:r>
      <w:r w:rsidR="00FC7331">
        <w:rPr>
          <w:rFonts w:ascii="Garamond" w:hAnsi="Garamond"/>
        </w:rPr>
        <w:t>.</w:t>
      </w:r>
      <w:r w:rsidRPr="0076698F">
        <w:rPr>
          <w:rFonts w:ascii="Garamond" w:hAnsi="Garamond"/>
        </w:rPr>
        <w:t xml:space="preserve">, Ph.D., LL. M., nejsou členy </w:t>
      </w:r>
      <w:r>
        <w:rPr>
          <w:rFonts w:ascii="Garamond" w:hAnsi="Garamond"/>
        </w:rPr>
        <w:t>desátého</w:t>
      </w:r>
      <w:r w:rsidRPr="0076698F">
        <w:rPr>
          <w:rFonts w:ascii="Garamond" w:hAnsi="Garamond"/>
        </w:rPr>
        <w:t xml:space="preserve"> senátu, kterému byla podle rozvrhu práce věc přidělena k rozhodnutí. Námitku podjatosti lze přitom podat pouze vůči soudcům, kteří jsou zákonnými soudci povolanými podle rozvrhu práce ve věci rozhodovat.</w:t>
      </w:r>
    </w:p>
    <w:p w14:paraId="46F69030" w14:textId="77777777" w:rsidR="00C85187" w:rsidRPr="00414638" w:rsidRDefault="00C85187" w:rsidP="00C85187">
      <w:pPr>
        <w:pStyle w:val="Odstavecseseznamem"/>
        <w:numPr>
          <w:ilvl w:val="0"/>
          <w:numId w:val="16"/>
        </w:numPr>
        <w:spacing w:after="240"/>
        <w:ind w:left="0" w:firstLine="0"/>
        <w:contextualSpacing w:val="0"/>
        <w:jc w:val="both"/>
        <w:rPr>
          <w:rFonts w:ascii="Garamond" w:hAnsi="Garamond"/>
          <w:bCs/>
        </w:rPr>
      </w:pPr>
      <w:r w:rsidRPr="009966FB">
        <w:rPr>
          <w:rFonts w:ascii="Garamond" w:hAnsi="Garamond"/>
        </w:rPr>
        <w:t xml:space="preserve">Kasační stížnosti </w:t>
      </w:r>
      <w:r>
        <w:rPr>
          <w:rFonts w:ascii="Garamond" w:hAnsi="Garamond"/>
        </w:rPr>
        <w:t>nejsou</w:t>
      </w:r>
      <w:r w:rsidRPr="009966FB">
        <w:rPr>
          <w:rFonts w:ascii="Garamond" w:hAnsi="Garamond"/>
        </w:rPr>
        <w:t xml:space="preserve"> důvodné.</w:t>
      </w:r>
      <w:bookmarkEnd w:id="2"/>
    </w:p>
    <w:p w14:paraId="46F69031" w14:textId="77777777" w:rsidR="00C85187" w:rsidRPr="007C1C34" w:rsidRDefault="00C85187" w:rsidP="00C85187">
      <w:pPr>
        <w:pStyle w:val="Odstavecseseznamem"/>
        <w:numPr>
          <w:ilvl w:val="0"/>
          <w:numId w:val="16"/>
        </w:numPr>
        <w:spacing w:after="240"/>
        <w:ind w:left="0" w:firstLine="0"/>
        <w:contextualSpacing w:val="0"/>
        <w:jc w:val="both"/>
        <w:rPr>
          <w:rFonts w:ascii="Garamond" w:hAnsi="Garamond"/>
          <w:bCs/>
        </w:rPr>
      </w:pPr>
      <w:r>
        <w:rPr>
          <w:rFonts w:ascii="Garamond" w:hAnsi="Garamond"/>
        </w:rPr>
        <w:t>Předmětem sporu je posouzení možnosti účasti žalobce v územním řízení jako v řízení navazujícím na proces EIA, a to ve dvou fázích: 1) účast v první</w:t>
      </w:r>
      <w:r w:rsidR="00451C4B">
        <w:rPr>
          <w:rFonts w:ascii="Garamond" w:hAnsi="Garamond"/>
        </w:rPr>
        <w:t>m stupni navazujícího řízení na </w:t>
      </w:r>
      <w:r>
        <w:rPr>
          <w:rFonts w:ascii="Garamond" w:hAnsi="Garamond"/>
        </w:rPr>
        <w:t>základě § 9c odst. 3 zákona o posuzování vlivů a 2</w:t>
      </w:r>
      <w:r>
        <w:rPr>
          <w:rFonts w:ascii="Garamond" w:hAnsi="Garamond"/>
          <w:bCs/>
        </w:rPr>
        <w:t xml:space="preserve">) </w:t>
      </w:r>
      <w:r w:rsidRPr="007C1C34">
        <w:rPr>
          <w:rFonts w:ascii="Garamond" w:hAnsi="Garamond"/>
        </w:rPr>
        <w:t>účast v odvola</w:t>
      </w:r>
      <w:r w:rsidR="00451C4B">
        <w:rPr>
          <w:rFonts w:ascii="Garamond" w:hAnsi="Garamond"/>
        </w:rPr>
        <w:t>cím řízení na základě § 9c </w:t>
      </w:r>
      <w:r w:rsidRPr="007C1C34">
        <w:rPr>
          <w:rFonts w:ascii="Garamond" w:hAnsi="Garamond"/>
        </w:rPr>
        <w:t xml:space="preserve">odst. 4 zákona o posuzování </w:t>
      </w:r>
      <w:r>
        <w:rPr>
          <w:rFonts w:ascii="Garamond" w:hAnsi="Garamond"/>
        </w:rPr>
        <w:t>vlivů</w:t>
      </w:r>
      <w:r w:rsidRPr="007C1C34">
        <w:rPr>
          <w:rFonts w:ascii="Garamond" w:hAnsi="Garamond"/>
        </w:rPr>
        <w:t xml:space="preserve">. </w:t>
      </w:r>
      <w:r>
        <w:rPr>
          <w:rFonts w:ascii="Garamond" w:hAnsi="Garamond"/>
        </w:rPr>
        <w:t>NSS tedy nejprve posoudí obě tyto možné formy účasti žalobce v územním řízení.</w:t>
      </w:r>
    </w:p>
    <w:p w14:paraId="46F69032" w14:textId="77777777" w:rsidR="00C85187" w:rsidRPr="007C1C34" w:rsidRDefault="00C85187" w:rsidP="00C85187">
      <w:pPr>
        <w:pStyle w:val="Odstavecseseznamem"/>
        <w:spacing w:after="240"/>
        <w:ind w:left="0"/>
        <w:contextualSpacing w:val="0"/>
        <w:jc w:val="center"/>
        <w:rPr>
          <w:rFonts w:ascii="Garamond" w:hAnsi="Garamond"/>
          <w:bCs/>
          <w:i/>
          <w:iCs/>
        </w:rPr>
      </w:pPr>
      <w:r w:rsidRPr="007C1C34">
        <w:rPr>
          <w:rFonts w:ascii="Garamond" w:hAnsi="Garamond"/>
          <w:i/>
          <w:iCs/>
        </w:rPr>
        <w:t>III. A. Účastenství v navazujícím řízení na základě § 9c odst. 3 zákona o posuzování vlivů</w:t>
      </w:r>
    </w:p>
    <w:p w14:paraId="46F69033" w14:textId="77777777" w:rsidR="00C85187" w:rsidRPr="00046C2F" w:rsidRDefault="00C85187" w:rsidP="00C85187">
      <w:pPr>
        <w:pStyle w:val="Odstavecseseznamem"/>
        <w:numPr>
          <w:ilvl w:val="0"/>
          <w:numId w:val="16"/>
        </w:numPr>
        <w:spacing w:after="240"/>
        <w:ind w:left="0" w:firstLine="0"/>
        <w:contextualSpacing w:val="0"/>
        <w:jc w:val="both"/>
        <w:rPr>
          <w:rFonts w:ascii="Garamond" w:hAnsi="Garamond"/>
        </w:rPr>
      </w:pPr>
      <w:r w:rsidRPr="00046C2F">
        <w:rPr>
          <w:rFonts w:ascii="Garamond" w:hAnsi="Garamond"/>
        </w:rPr>
        <w:t xml:space="preserve">Podle § 9c odst. 3 zákona o posuzování vlivů </w:t>
      </w:r>
      <w:r w:rsidRPr="00046C2F">
        <w:rPr>
          <w:rFonts w:ascii="Garamond" w:hAnsi="Garamond"/>
          <w:i/>
        </w:rPr>
        <w:t>pokud se podáním písemného oznámení přihlásí správnímu orgánu, který navazující řízení vede, do 30 dnů ode dne zveřejnění info</w:t>
      </w:r>
      <w:r w:rsidR="00451C4B">
        <w:rPr>
          <w:rFonts w:ascii="Garamond" w:hAnsi="Garamond"/>
          <w:i/>
        </w:rPr>
        <w:t>rmací podle § 9b odst. 1, stává </w:t>
      </w:r>
      <w:r w:rsidRPr="00046C2F">
        <w:rPr>
          <w:rFonts w:ascii="Garamond" w:hAnsi="Garamond"/>
          <w:i/>
        </w:rPr>
        <w:t>se účastníkem navazujícího řízení též a) dotčený územní samosprávný celek, nebo b) dotčená veřejnost uvedená v</w:t>
      </w:r>
      <w:r>
        <w:rPr>
          <w:rFonts w:ascii="Garamond" w:hAnsi="Garamond"/>
          <w:i/>
        </w:rPr>
        <w:t> </w:t>
      </w:r>
      <w:r w:rsidRPr="00046C2F">
        <w:rPr>
          <w:rFonts w:ascii="Garamond" w:hAnsi="Garamond"/>
          <w:i/>
        </w:rPr>
        <w:t>§</w:t>
      </w:r>
      <w:r>
        <w:rPr>
          <w:rFonts w:ascii="Garamond" w:hAnsi="Garamond"/>
          <w:i/>
        </w:rPr>
        <w:t> </w:t>
      </w:r>
      <w:r w:rsidRPr="00046C2F">
        <w:rPr>
          <w:rFonts w:ascii="Garamond" w:hAnsi="Garamond"/>
          <w:i/>
        </w:rPr>
        <w:t>3 písm. i) bodě 2</w:t>
      </w:r>
      <w:r w:rsidRPr="00046C2F">
        <w:rPr>
          <w:rFonts w:ascii="Garamond" w:hAnsi="Garamond"/>
        </w:rPr>
        <w:t>.</w:t>
      </w:r>
      <w:r>
        <w:rPr>
          <w:rFonts w:ascii="Garamond" w:hAnsi="Garamond"/>
        </w:rPr>
        <w:t xml:space="preserve"> </w:t>
      </w:r>
      <w:r w:rsidRPr="0092370B">
        <w:rPr>
          <w:rFonts w:ascii="Garamond" w:hAnsi="Garamond"/>
        </w:rPr>
        <w:t>Záměr R52 spadá mezi záměry, které v</w:t>
      </w:r>
      <w:r w:rsidR="00451C4B">
        <w:rPr>
          <w:rFonts w:ascii="Garamond" w:hAnsi="Garamond"/>
        </w:rPr>
        <w:t>ždy vyžadují posouzení vlivů ve </w:t>
      </w:r>
      <w:r w:rsidRPr="0092370B">
        <w:rPr>
          <w:rFonts w:ascii="Garamond" w:hAnsi="Garamond"/>
        </w:rPr>
        <w:t>smyslu kategorie I přílohy I zákona o posuzování vlivů, resp. přílo</w:t>
      </w:r>
      <w:r>
        <w:rPr>
          <w:rFonts w:ascii="Garamond" w:hAnsi="Garamond"/>
        </w:rPr>
        <w:t>hy I směrnice 2011/92/EU ze dne </w:t>
      </w:r>
      <w:r w:rsidRPr="0092370B">
        <w:rPr>
          <w:rFonts w:ascii="Garamond" w:hAnsi="Garamond"/>
        </w:rPr>
        <w:t>13. 12. 2011 o posuzování vlivů některých veřejných a soukromých záměrů na životní prostředí (směrnice EIA). Vzhledem</w:t>
      </w:r>
      <w:r w:rsidRPr="00046C2F">
        <w:rPr>
          <w:rFonts w:ascii="Garamond" w:hAnsi="Garamond"/>
        </w:rPr>
        <w:t xml:space="preserve"> k tomu, že územnímu řízení pře</w:t>
      </w:r>
      <w:r>
        <w:rPr>
          <w:rFonts w:ascii="Garamond" w:hAnsi="Garamond"/>
        </w:rPr>
        <w:t>d</w:t>
      </w:r>
      <w:r w:rsidR="00451C4B">
        <w:rPr>
          <w:rFonts w:ascii="Garamond" w:hAnsi="Garamond"/>
        </w:rPr>
        <w:t>cházel proces EIA, je třeba </w:t>
      </w:r>
      <w:r w:rsidRPr="00046C2F">
        <w:rPr>
          <w:rFonts w:ascii="Garamond" w:hAnsi="Garamond"/>
        </w:rPr>
        <w:t>podmínky účasti veřejnosti na rozhodování vykládat s přihlédnutím k požadavkům Aarhuské úmluvy (Úmluva o přístupu k informacím, účasti veřejnosti na rozhodování a přístupu k právní ochraně v záležitostech životního prostředí, č. 124/2004 Sb. m. s.) a směrnice EIA.</w:t>
      </w:r>
    </w:p>
    <w:p w14:paraId="46F69034" w14:textId="77777777" w:rsidR="00C85187" w:rsidRPr="00BD15A0" w:rsidRDefault="00C85187" w:rsidP="00C85187">
      <w:pPr>
        <w:pStyle w:val="Odstavecseseznamem"/>
        <w:numPr>
          <w:ilvl w:val="0"/>
          <w:numId w:val="16"/>
        </w:numPr>
        <w:spacing w:after="240"/>
        <w:ind w:left="0" w:firstLine="0"/>
        <w:contextualSpacing w:val="0"/>
        <w:jc w:val="both"/>
        <w:rPr>
          <w:rFonts w:ascii="Garamond" w:hAnsi="Garamond"/>
        </w:rPr>
      </w:pPr>
      <w:bookmarkStart w:id="3" w:name="_Hlk74860110"/>
      <w:r w:rsidRPr="00BD15A0">
        <w:rPr>
          <w:rFonts w:ascii="Garamond" w:hAnsi="Garamond"/>
          <w:color w:val="000000"/>
        </w:rPr>
        <w:t>Aarhuská úmluva není přímo aplikovatelná (k čl. 6 Úmluvy</w:t>
      </w:r>
      <w:r>
        <w:rPr>
          <w:rFonts w:ascii="Garamond" w:hAnsi="Garamond"/>
          <w:color w:val="000000"/>
        </w:rPr>
        <w:t xml:space="preserve">, který upravuje </w:t>
      </w:r>
      <w:r w:rsidRPr="00BD15A0">
        <w:rPr>
          <w:rFonts w:ascii="Garamond" w:hAnsi="Garamond"/>
          <w:color w:val="000000"/>
        </w:rPr>
        <w:t>účast dotčené veřejnosti na rozhodování</w:t>
      </w:r>
      <w:r>
        <w:rPr>
          <w:rFonts w:ascii="Garamond" w:hAnsi="Garamond"/>
          <w:color w:val="000000"/>
        </w:rPr>
        <w:t>, viz</w:t>
      </w:r>
      <w:r w:rsidRPr="00BD15A0">
        <w:rPr>
          <w:rFonts w:ascii="Garamond" w:hAnsi="Garamond"/>
          <w:color w:val="000000"/>
        </w:rPr>
        <w:t xml:space="preserve"> rozsudek NSS </w:t>
      </w:r>
      <w:r>
        <w:rPr>
          <w:rFonts w:ascii="Garamond" w:hAnsi="Garamond"/>
          <w:color w:val="000000"/>
        </w:rPr>
        <w:t>ze dne 29. 3. 2007, č</w:t>
      </w:r>
      <w:r w:rsidRPr="00BD15A0">
        <w:rPr>
          <w:rFonts w:ascii="Garamond" w:hAnsi="Garamond"/>
          <w:color w:val="000000"/>
        </w:rPr>
        <w:t>j</w:t>
      </w:r>
      <w:r>
        <w:rPr>
          <w:rFonts w:ascii="Garamond" w:hAnsi="Garamond"/>
          <w:color w:val="000000"/>
        </w:rPr>
        <w:t>.</w:t>
      </w:r>
      <w:r w:rsidRPr="00BD15A0">
        <w:rPr>
          <w:rFonts w:ascii="Garamond" w:hAnsi="Garamond"/>
          <w:color w:val="000000"/>
        </w:rPr>
        <w:t xml:space="preserve"> 2</w:t>
      </w:r>
      <w:r>
        <w:rPr>
          <w:rFonts w:ascii="Garamond" w:hAnsi="Garamond"/>
          <w:color w:val="000000"/>
        </w:rPr>
        <w:t> </w:t>
      </w:r>
      <w:r w:rsidRPr="00BD15A0">
        <w:rPr>
          <w:rFonts w:ascii="Garamond" w:hAnsi="Garamond"/>
          <w:color w:val="000000"/>
        </w:rPr>
        <w:t>As</w:t>
      </w:r>
      <w:r>
        <w:rPr>
          <w:rFonts w:ascii="Garamond" w:hAnsi="Garamond"/>
          <w:color w:val="000000"/>
        </w:rPr>
        <w:t> </w:t>
      </w:r>
      <w:r w:rsidRPr="00BD15A0">
        <w:rPr>
          <w:rFonts w:ascii="Garamond" w:hAnsi="Garamond"/>
          <w:color w:val="000000"/>
        </w:rPr>
        <w:t>12/2006-111)</w:t>
      </w:r>
      <w:r>
        <w:rPr>
          <w:rFonts w:ascii="Garamond" w:hAnsi="Garamond"/>
          <w:color w:val="000000"/>
        </w:rPr>
        <w:t>.</w:t>
      </w:r>
      <w:r w:rsidR="00451C4B">
        <w:rPr>
          <w:rFonts w:ascii="Garamond" w:hAnsi="Garamond"/>
          <w:color w:val="000000"/>
        </w:rPr>
        <w:t xml:space="preserve"> Soudní </w:t>
      </w:r>
      <w:r w:rsidRPr="00BD15A0">
        <w:rPr>
          <w:rFonts w:ascii="Garamond" w:hAnsi="Garamond"/>
          <w:color w:val="000000"/>
        </w:rPr>
        <w:t xml:space="preserve">dvůr EU však dovozuje povinnost členských států vyložit vnitrostátní právo takovým způsobem, který bude v co největším možném rozsahu v souladu </w:t>
      </w:r>
      <w:r>
        <w:rPr>
          <w:rFonts w:ascii="Garamond" w:hAnsi="Garamond"/>
          <w:color w:val="000000"/>
        </w:rPr>
        <w:t>s cíli, které jsou stanoveny v </w:t>
      </w:r>
      <w:r w:rsidRPr="00BD15A0">
        <w:rPr>
          <w:rFonts w:ascii="Garamond" w:hAnsi="Garamond"/>
          <w:color w:val="000000"/>
        </w:rPr>
        <w:t xml:space="preserve">Aarhuské úmluvě (srov. </w:t>
      </w:r>
      <w:r>
        <w:rPr>
          <w:rFonts w:ascii="Garamond" w:hAnsi="Garamond"/>
          <w:color w:val="000000"/>
        </w:rPr>
        <w:t xml:space="preserve">jeho </w:t>
      </w:r>
      <w:r w:rsidRPr="00BD15A0">
        <w:rPr>
          <w:rFonts w:ascii="Garamond" w:hAnsi="Garamond"/>
          <w:color w:val="000000"/>
        </w:rPr>
        <w:t>rozsudek</w:t>
      </w:r>
      <w:r>
        <w:rPr>
          <w:rFonts w:ascii="Garamond" w:hAnsi="Garamond"/>
          <w:color w:val="000000"/>
        </w:rPr>
        <w:t xml:space="preserve"> </w:t>
      </w:r>
      <w:r w:rsidRPr="00BD15A0">
        <w:rPr>
          <w:rFonts w:ascii="Garamond" w:hAnsi="Garamond"/>
          <w:color w:val="000000"/>
        </w:rPr>
        <w:t>ze dne 8. 3. 2011, C-240/09, </w:t>
      </w:r>
      <w:r w:rsidRPr="00BD15A0">
        <w:rPr>
          <w:rFonts w:ascii="Garamond" w:hAnsi="Garamond"/>
          <w:i/>
          <w:iCs/>
          <w:color w:val="000000"/>
        </w:rPr>
        <w:t>Lesoochranárske zoskupenie</w:t>
      </w:r>
      <w:r w:rsidRPr="00BD15A0">
        <w:rPr>
          <w:rFonts w:ascii="Garamond" w:hAnsi="Garamond"/>
          <w:color w:val="000000"/>
        </w:rPr>
        <w:t>, bod 50). Přímý účinek však mohou mít unijní s</w:t>
      </w:r>
      <w:r w:rsidRPr="00BD15A0">
        <w:rPr>
          <w:rFonts w:ascii="Garamond" w:hAnsi="Garamond"/>
          <w:color w:val="000000"/>
          <w:shd w:val="clear" w:color="auto" w:fill="FFFFFF" w:themeFill="background1"/>
        </w:rPr>
        <w:t>měrnice, které požadavky Aarhuské úmluvy provádí, což je případ sm</w:t>
      </w:r>
      <w:r>
        <w:rPr>
          <w:rFonts w:ascii="Garamond" w:hAnsi="Garamond"/>
          <w:color w:val="000000"/>
          <w:shd w:val="clear" w:color="auto" w:fill="FFFFFF" w:themeFill="background1"/>
        </w:rPr>
        <w:t>ě</w:t>
      </w:r>
      <w:r w:rsidRPr="00BD15A0">
        <w:rPr>
          <w:rFonts w:ascii="Garamond" w:hAnsi="Garamond"/>
          <w:color w:val="000000"/>
          <w:shd w:val="clear" w:color="auto" w:fill="FFFFFF" w:themeFill="background1"/>
        </w:rPr>
        <w:t xml:space="preserve">rnice EIA, a to nejen ve vztahu k čl. 9 odst. 2 Aarhuské úmluvy (přístup k soudní ochraně, viz např. rozsudek Soudního dvora </w:t>
      </w:r>
      <w:r>
        <w:rPr>
          <w:rFonts w:ascii="Garamond" w:hAnsi="Garamond"/>
          <w:color w:val="000000"/>
          <w:shd w:val="clear" w:color="auto" w:fill="FFFFFF" w:themeFill="background1"/>
        </w:rPr>
        <w:t>EU</w:t>
      </w:r>
      <w:r w:rsidRPr="00BD15A0">
        <w:rPr>
          <w:rFonts w:ascii="Garamond" w:hAnsi="Garamond"/>
          <w:color w:val="000000"/>
          <w:shd w:val="clear" w:color="auto" w:fill="FFFFFF" w:themeFill="background1"/>
        </w:rPr>
        <w:t xml:space="preserve"> ze dne 12. 5. 2011, C-115/09, </w:t>
      </w:r>
      <w:r w:rsidRPr="00BD15A0">
        <w:rPr>
          <w:rFonts w:ascii="Garamond" w:hAnsi="Garamond"/>
          <w:i/>
          <w:iCs/>
          <w:color w:val="000000"/>
          <w:shd w:val="clear" w:color="auto" w:fill="FFFFFF" w:themeFill="background1"/>
        </w:rPr>
        <w:t>Trianel Kohlekraftwerk Lünen</w:t>
      </w:r>
      <w:r w:rsidRPr="00BD15A0">
        <w:rPr>
          <w:rFonts w:ascii="Garamond" w:hAnsi="Garamond"/>
          <w:color w:val="000000"/>
          <w:shd w:val="clear" w:color="auto" w:fill="FFFFFF" w:themeFill="background1"/>
        </w:rPr>
        <w:t>), ale také čl. 6 (účast na rozhodování</w:t>
      </w:r>
      <w:r>
        <w:rPr>
          <w:rFonts w:ascii="Garamond" w:hAnsi="Garamond"/>
          <w:color w:val="000000"/>
          <w:shd w:val="clear" w:color="auto" w:fill="FFFFFF" w:themeFill="background1"/>
        </w:rPr>
        <w:t>,</w:t>
      </w:r>
      <w:r w:rsidRPr="00BD15A0">
        <w:rPr>
          <w:rFonts w:ascii="Garamond" w:hAnsi="Garamond"/>
          <w:color w:val="000000"/>
          <w:shd w:val="clear" w:color="auto" w:fill="FFFFFF" w:themeFill="background1"/>
        </w:rPr>
        <w:t xml:space="preserve"> viz např. rozsudek Soudního dvora E</w:t>
      </w:r>
      <w:r>
        <w:rPr>
          <w:rFonts w:ascii="Garamond" w:hAnsi="Garamond"/>
          <w:color w:val="000000"/>
          <w:shd w:val="clear" w:color="auto" w:fill="FFFFFF" w:themeFill="background1"/>
        </w:rPr>
        <w:t xml:space="preserve">U </w:t>
      </w:r>
      <w:r w:rsidRPr="00BD15A0">
        <w:rPr>
          <w:rFonts w:ascii="Garamond" w:hAnsi="Garamond"/>
          <w:color w:val="000000"/>
          <w:shd w:val="clear" w:color="auto" w:fill="FFFFFF" w:themeFill="background1"/>
        </w:rPr>
        <w:t xml:space="preserve">ze dne 20. 12. 2017, C-664/15, </w:t>
      </w:r>
      <w:r w:rsidRPr="00BD15A0">
        <w:rPr>
          <w:rFonts w:ascii="Garamond" w:hAnsi="Garamond"/>
          <w:i/>
          <w:iCs/>
          <w:color w:val="000000"/>
          <w:shd w:val="clear" w:color="auto" w:fill="FFFFFF" w:themeFill="background1"/>
        </w:rPr>
        <w:t>Protect Natur-, Arten-</w:t>
      </w:r>
      <w:r>
        <w:rPr>
          <w:rFonts w:ascii="Garamond" w:hAnsi="Garamond"/>
          <w:i/>
          <w:iCs/>
          <w:color w:val="000000"/>
          <w:shd w:val="clear" w:color="auto" w:fill="FFFFFF" w:themeFill="background1"/>
        </w:rPr>
        <w:t xml:space="preserve"> </w:t>
      </w:r>
      <w:r w:rsidRPr="00BD15A0">
        <w:rPr>
          <w:rFonts w:ascii="Garamond" w:hAnsi="Garamond"/>
          <w:i/>
          <w:iCs/>
          <w:color w:val="000000"/>
          <w:shd w:val="clear" w:color="auto" w:fill="FFFFFF" w:themeFill="background1"/>
        </w:rPr>
        <w:t>und Landschaftschutz Umweltorganisation</w:t>
      </w:r>
      <w:r w:rsidRPr="00BD15A0">
        <w:rPr>
          <w:rFonts w:ascii="Garamond" w:hAnsi="Garamond"/>
          <w:color w:val="000000"/>
          <w:shd w:val="clear" w:color="auto" w:fill="FFFFFF" w:themeFill="background1"/>
        </w:rPr>
        <w:t>, bod 66). Proto pokud vnitrostátní úprava</w:t>
      </w:r>
      <w:r w:rsidRPr="00BD15A0">
        <w:rPr>
          <w:rFonts w:ascii="Garamond" w:hAnsi="Garamond"/>
          <w:color w:val="000000"/>
        </w:rPr>
        <w:t xml:space="preserve"> neumožňuje účast dotčené veřejnost</w:t>
      </w:r>
      <w:r>
        <w:rPr>
          <w:rFonts w:ascii="Garamond" w:hAnsi="Garamond"/>
          <w:color w:val="000000"/>
        </w:rPr>
        <w:t>i na rozh</w:t>
      </w:r>
      <w:r w:rsidRPr="00BD15A0">
        <w:rPr>
          <w:rFonts w:ascii="Garamond" w:hAnsi="Garamond"/>
          <w:color w:val="000000"/>
        </w:rPr>
        <w:t xml:space="preserve">odování, případně pokud </w:t>
      </w:r>
      <w:r w:rsidRPr="0092370B">
        <w:rPr>
          <w:rFonts w:ascii="Garamond" w:hAnsi="Garamond"/>
          <w:color w:val="000000"/>
        </w:rPr>
        <w:t>obsahuje omezující pravidla, která neumožňují, aby taková účast byla včasná a efektivní ve smyslu čl. 6 odst. 4 směrnice EIA, musí být představitelům dotčené veřejnosti (dotčeným jednotlivcům a environmentálním spolkům) v zásadě účast umožněna přímo na základě citovaných ustanovení směrnice EIA.</w:t>
      </w:r>
      <w:r w:rsidRPr="00BD15A0">
        <w:rPr>
          <w:rFonts w:ascii="Garamond" w:hAnsi="Garamond"/>
          <w:color w:val="000000"/>
        </w:rPr>
        <w:t xml:space="preserve"> </w:t>
      </w:r>
    </w:p>
    <w:bookmarkEnd w:id="3"/>
    <w:p w14:paraId="46F69035" w14:textId="77777777" w:rsidR="00C85187" w:rsidRPr="00BD15A0" w:rsidRDefault="00C85187" w:rsidP="00C85187">
      <w:pPr>
        <w:pStyle w:val="Odstavecseseznamem"/>
        <w:numPr>
          <w:ilvl w:val="0"/>
          <w:numId w:val="16"/>
        </w:numPr>
        <w:spacing w:after="240"/>
        <w:ind w:left="0" w:firstLine="0"/>
        <w:contextualSpacing w:val="0"/>
        <w:jc w:val="both"/>
        <w:rPr>
          <w:rFonts w:ascii="Garamond" w:hAnsi="Garamond"/>
        </w:rPr>
      </w:pPr>
      <w:r w:rsidRPr="00BD15A0">
        <w:rPr>
          <w:rFonts w:ascii="Garamond" w:hAnsi="Garamond"/>
          <w:color w:val="000000"/>
        </w:rPr>
        <w:t xml:space="preserve">Směrnice EIA ani vnitrostátní právní úprava ve výkladu pojmu </w:t>
      </w:r>
      <w:r>
        <w:rPr>
          <w:rFonts w:ascii="Garamond" w:hAnsi="Garamond"/>
          <w:color w:val="000000"/>
        </w:rPr>
        <w:t>„</w:t>
      </w:r>
      <w:r w:rsidRPr="00BD15A0">
        <w:rPr>
          <w:rFonts w:ascii="Garamond" w:hAnsi="Garamond"/>
          <w:color w:val="000000"/>
        </w:rPr>
        <w:t>dotčená veřejnost</w:t>
      </w:r>
      <w:r>
        <w:rPr>
          <w:rFonts w:ascii="Garamond" w:hAnsi="Garamond"/>
          <w:color w:val="000000"/>
        </w:rPr>
        <w:t>“</w:t>
      </w:r>
      <w:r w:rsidRPr="00BD15A0">
        <w:rPr>
          <w:rFonts w:ascii="Garamond" w:hAnsi="Garamond"/>
          <w:color w:val="000000"/>
        </w:rPr>
        <w:t xml:space="preserve"> nerozlišují mezi dom</w:t>
      </w:r>
      <w:r>
        <w:rPr>
          <w:rFonts w:ascii="Garamond" w:hAnsi="Garamond"/>
          <w:color w:val="000000"/>
        </w:rPr>
        <w:t xml:space="preserve">ácími a zahraničními subjekty, ostatně </w:t>
      </w:r>
      <w:r w:rsidRPr="00BD15A0">
        <w:rPr>
          <w:rFonts w:ascii="Garamond" w:hAnsi="Garamond"/>
          <w:color w:val="000000"/>
        </w:rPr>
        <w:t xml:space="preserve">s ohledem na zákaz diskriminace podle čl. 3 odst. 9 Aarhuské úmluvy </w:t>
      </w:r>
      <w:r>
        <w:rPr>
          <w:rFonts w:ascii="Garamond" w:hAnsi="Garamond"/>
          <w:color w:val="000000"/>
        </w:rPr>
        <w:t>r</w:t>
      </w:r>
      <w:r w:rsidRPr="00BD15A0">
        <w:rPr>
          <w:rFonts w:ascii="Garamond" w:hAnsi="Garamond"/>
          <w:color w:val="000000"/>
        </w:rPr>
        <w:t xml:space="preserve">ozlišovat ani nemohou. </w:t>
      </w:r>
      <w:r>
        <w:rPr>
          <w:rFonts w:ascii="Garamond" w:hAnsi="Garamond"/>
        </w:rPr>
        <w:t xml:space="preserve">Provedení procesu přeshraniční EIA nebo standardní EIA nemá </w:t>
      </w:r>
      <w:r w:rsidRPr="0076698F">
        <w:rPr>
          <w:rFonts w:ascii="Garamond" w:hAnsi="Garamond"/>
          <w:i/>
        </w:rPr>
        <w:t>a priori</w:t>
      </w:r>
      <w:r>
        <w:rPr>
          <w:rFonts w:ascii="Garamond" w:hAnsi="Garamond"/>
        </w:rPr>
        <w:t xml:space="preserve"> vliv na </w:t>
      </w:r>
      <w:r>
        <w:rPr>
          <w:rFonts w:ascii="Garamond" w:hAnsi="Garamond"/>
          <w:bCs/>
        </w:rPr>
        <w:t>účastenství</w:t>
      </w:r>
      <w:r w:rsidRPr="00304AE0">
        <w:rPr>
          <w:rFonts w:ascii="Garamond" w:hAnsi="Garamond"/>
          <w:b/>
          <w:bCs/>
        </w:rPr>
        <w:t xml:space="preserve"> </w:t>
      </w:r>
      <w:r>
        <w:rPr>
          <w:rFonts w:ascii="Garamond" w:hAnsi="Garamond"/>
        </w:rPr>
        <w:t>vnitrostátních či zahraničních subjektů v navazujícím řízení. Každá z procedur EIA s sebou ale nese ji</w:t>
      </w:r>
      <w:r w:rsidR="00451C4B">
        <w:rPr>
          <w:rFonts w:ascii="Garamond" w:hAnsi="Garamond"/>
        </w:rPr>
        <w:t>nou procesní úpravu, která může </w:t>
      </w:r>
      <w:r>
        <w:rPr>
          <w:rFonts w:ascii="Garamond" w:hAnsi="Garamond"/>
        </w:rPr>
        <w:t>ovlivnit procesní otázky účastenství v navazujícím</w:t>
      </w:r>
      <w:r w:rsidRPr="00BD15A0">
        <w:rPr>
          <w:rFonts w:ascii="Garamond" w:hAnsi="Garamond"/>
          <w:color w:val="000000"/>
        </w:rPr>
        <w:t xml:space="preserve"> řízení.</w:t>
      </w:r>
    </w:p>
    <w:p w14:paraId="46F69036" w14:textId="77777777" w:rsidR="00C85187" w:rsidRPr="0076698F" w:rsidRDefault="00C85187" w:rsidP="00C85187">
      <w:pPr>
        <w:pStyle w:val="Odstavecseseznamem"/>
        <w:numPr>
          <w:ilvl w:val="0"/>
          <w:numId w:val="16"/>
        </w:numPr>
        <w:spacing w:after="240"/>
        <w:ind w:left="0" w:firstLine="0"/>
        <w:contextualSpacing w:val="0"/>
        <w:jc w:val="both"/>
        <w:rPr>
          <w:rFonts w:ascii="Garamond" w:hAnsi="Garamond"/>
        </w:rPr>
      </w:pPr>
      <w:r w:rsidRPr="00BD15A0">
        <w:rPr>
          <w:rFonts w:ascii="Garamond" w:hAnsi="Garamond"/>
          <w:color w:val="000000"/>
        </w:rPr>
        <w:t>Směrnice EIA podporuje integrační princip a předpokládá</w:t>
      </w:r>
      <w:r w:rsidR="00451C4B">
        <w:rPr>
          <w:rFonts w:ascii="Garamond" w:hAnsi="Garamond"/>
          <w:color w:val="000000"/>
        </w:rPr>
        <w:t>, že posouzení EIA bude </w:t>
      </w:r>
      <w:r w:rsidRPr="00BD15A0">
        <w:rPr>
          <w:rFonts w:ascii="Garamond" w:hAnsi="Garamond"/>
          <w:color w:val="000000"/>
        </w:rPr>
        <w:t xml:space="preserve">součástí povolovacího řízení (čl. 2 odst. 2), podobně jako že členské státy upraví koordinované nebo společné postupy, pokud je povinnost provést posouzení vlivů na životní prostředí dána různými </w:t>
      </w:r>
      <w:r w:rsidRPr="00C54D5B">
        <w:rPr>
          <w:rFonts w:ascii="Garamond" w:hAnsi="Garamond"/>
          <w:color w:val="000000"/>
        </w:rPr>
        <w:t>právními předpisy Evropské unie (čl. 3 odst. 3). Podle české právní úpravy je povolování záměru od procesu posouzení jeho vlivů n</w:t>
      </w:r>
      <w:r w:rsidR="00451C4B">
        <w:rPr>
          <w:rFonts w:ascii="Garamond" w:hAnsi="Garamond"/>
          <w:color w:val="000000"/>
        </w:rPr>
        <w:t>a životní prostředí odděleno do </w:t>
      </w:r>
      <w:r w:rsidRPr="00C54D5B">
        <w:rPr>
          <w:rFonts w:ascii="Garamond" w:hAnsi="Garamond"/>
          <w:color w:val="000000"/>
        </w:rPr>
        <w:t>jednoho či více samostatných řízení [navazujících řízení</w:t>
      </w:r>
      <w:r w:rsidRPr="00E636DB">
        <w:rPr>
          <w:rFonts w:ascii="Garamond" w:hAnsi="Garamond"/>
          <w:color w:val="000000"/>
        </w:rPr>
        <w:t xml:space="preserve"> vymezených v § 3 písm. g)</w:t>
      </w:r>
      <w:r w:rsidRPr="00BD15A0">
        <w:rPr>
          <w:rFonts w:ascii="Garamond" w:hAnsi="Garamond"/>
          <w:color w:val="000000"/>
        </w:rPr>
        <w:t xml:space="preserve"> zákona </w:t>
      </w:r>
      <w:r w:rsidR="00451C4B">
        <w:rPr>
          <w:rFonts w:ascii="Garamond" w:hAnsi="Garamond"/>
          <w:color w:val="000000"/>
        </w:rPr>
        <w:t>o </w:t>
      </w:r>
      <w:r>
        <w:rPr>
          <w:rFonts w:ascii="Garamond" w:hAnsi="Garamond"/>
          <w:color w:val="000000"/>
        </w:rPr>
        <w:t>posuzování vlivů</w:t>
      </w:r>
      <w:r w:rsidRPr="00BD15A0">
        <w:rPr>
          <w:rFonts w:ascii="Garamond" w:hAnsi="Garamond"/>
          <w:color w:val="000000"/>
        </w:rPr>
        <w:t>]. Tato úprava není sama o sobě v rozpor</w:t>
      </w:r>
      <w:r w:rsidR="00451C4B">
        <w:rPr>
          <w:rFonts w:ascii="Garamond" w:hAnsi="Garamond"/>
          <w:color w:val="000000"/>
        </w:rPr>
        <w:t>u s požadavky směrnice EIA (viz </w:t>
      </w:r>
      <w:r w:rsidRPr="00BD15A0">
        <w:rPr>
          <w:rFonts w:ascii="Garamond" w:hAnsi="Garamond"/>
          <w:color w:val="000000"/>
        </w:rPr>
        <w:t>např</w:t>
      </w:r>
      <w:r>
        <w:rPr>
          <w:rFonts w:ascii="Garamond" w:hAnsi="Garamond"/>
          <w:color w:val="000000"/>
        </w:rPr>
        <w:t>. rozsudek Soudního dvora EU ze </w:t>
      </w:r>
      <w:r w:rsidRPr="00BD15A0">
        <w:rPr>
          <w:rFonts w:ascii="Garamond" w:hAnsi="Garamond"/>
          <w:color w:val="000000"/>
        </w:rPr>
        <w:t xml:space="preserve">dne 4. 5. 2006, C-508/03, </w:t>
      </w:r>
      <w:r w:rsidRPr="00BD15A0">
        <w:rPr>
          <w:rFonts w:ascii="Garamond" w:hAnsi="Garamond"/>
          <w:i/>
          <w:iCs/>
          <w:color w:val="000000"/>
        </w:rPr>
        <w:t>Komise v. Spojené království</w:t>
      </w:r>
      <w:r w:rsidRPr="00BD15A0">
        <w:rPr>
          <w:rFonts w:ascii="Garamond" w:hAnsi="Garamond"/>
          <w:color w:val="000000"/>
        </w:rPr>
        <w:t>, bod 102), ale zvyšuje nároky na zohlednění výsledků procesu EIA i efektivní zapojení dotčené veřejnosti. To dokazuje i řízení</w:t>
      </w:r>
      <w:r>
        <w:rPr>
          <w:rFonts w:ascii="Garamond" w:hAnsi="Garamond"/>
          <w:color w:val="000000"/>
        </w:rPr>
        <w:t xml:space="preserve"> o porušení smlouvy (</w:t>
      </w:r>
      <w:r w:rsidRPr="00793DF1">
        <w:rPr>
          <w:rFonts w:ascii="Garamond" w:hAnsi="Garamond"/>
          <w:i/>
          <w:color w:val="000000"/>
        </w:rPr>
        <w:t>infringement</w:t>
      </w:r>
      <w:r>
        <w:rPr>
          <w:rFonts w:ascii="Garamond" w:hAnsi="Garamond"/>
          <w:color w:val="000000"/>
        </w:rPr>
        <w:t>)</w:t>
      </w:r>
      <w:r w:rsidR="00451C4B">
        <w:rPr>
          <w:rFonts w:ascii="Garamond" w:hAnsi="Garamond"/>
          <w:color w:val="000000"/>
        </w:rPr>
        <w:t xml:space="preserve"> vedené s Českou republikou, ve </w:t>
      </w:r>
      <w:r w:rsidRPr="00BD15A0">
        <w:rPr>
          <w:rFonts w:ascii="Garamond" w:hAnsi="Garamond"/>
          <w:color w:val="000000"/>
        </w:rPr>
        <w:t>kterém Komise dovodila, že</w:t>
      </w:r>
      <w:r>
        <w:rPr>
          <w:rFonts w:ascii="Garamond" w:hAnsi="Garamond"/>
          <w:color w:val="000000"/>
        </w:rPr>
        <w:t> </w:t>
      </w:r>
      <w:r w:rsidRPr="00BD15A0">
        <w:rPr>
          <w:rFonts w:ascii="Garamond" w:hAnsi="Garamond"/>
          <w:color w:val="000000"/>
        </w:rPr>
        <w:t>směrnic</w:t>
      </w:r>
      <w:r>
        <w:rPr>
          <w:rFonts w:ascii="Garamond" w:hAnsi="Garamond"/>
          <w:color w:val="000000"/>
        </w:rPr>
        <w:t>i</w:t>
      </w:r>
      <w:r w:rsidRPr="00BD15A0">
        <w:rPr>
          <w:rFonts w:ascii="Garamond" w:hAnsi="Garamond"/>
          <w:color w:val="000000"/>
        </w:rPr>
        <w:t xml:space="preserve"> EIA </w:t>
      </w:r>
      <w:r>
        <w:rPr>
          <w:rFonts w:ascii="Garamond" w:hAnsi="Garamond"/>
          <w:color w:val="000000"/>
        </w:rPr>
        <w:t>lze porušit</w:t>
      </w:r>
      <w:r w:rsidRPr="00BD15A0">
        <w:rPr>
          <w:rFonts w:ascii="Garamond" w:hAnsi="Garamond"/>
          <w:color w:val="000000"/>
        </w:rPr>
        <w:t xml:space="preserve"> i kombi</w:t>
      </w:r>
      <w:r w:rsidR="00451C4B">
        <w:rPr>
          <w:rFonts w:ascii="Garamond" w:hAnsi="Garamond"/>
          <w:color w:val="000000"/>
        </w:rPr>
        <w:t>nací několika prvků, které samy </w:t>
      </w:r>
      <w:r w:rsidRPr="00BD15A0">
        <w:rPr>
          <w:rFonts w:ascii="Garamond" w:hAnsi="Garamond"/>
          <w:color w:val="000000"/>
        </w:rPr>
        <w:t xml:space="preserve">o sobě </w:t>
      </w:r>
      <w:r>
        <w:rPr>
          <w:rFonts w:ascii="Garamond" w:hAnsi="Garamond"/>
          <w:color w:val="000000"/>
        </w:rPr>
        <w:t>nemusejí být</w:t>
      </w:r>
      <w:r w:rsidRPr="00BD15A0">
        <w:rPr>
          <w:rFonts w:ascii="Garamond" w:hAnsi="Garamond"/>
          <w:color w:val="000000"/>
        </w:rPr>
        <w:t xml:space="preserve"> v rozporu s požadavky směrn</w:t>
      </w:r>
      <w:r w:rsidR="00451C4B">
        <w:rPr>
          <w:rFonts w:ascii="Garamond" w:hAnsi="Garamond"/>
          <w:color w:val="000000"/>
        </w:rPr>
        <w:t>ice EIA. Těmito prvky jsou: (i) </w:t>
      </w:r>
      <w:r w:rsidRPr="00BD15A0">
        <w:rPr>
          <w:rFonts w:ascii="Garamond" w:hAnsi="Garamond"/>
          <w:color w:val="000000"/>
        </w:rPr>
        <w:t>procedur</w:t>
      </w:r>
      <w:r>
        <w:rPr>
          <w:rFonts w:ascii="Garamond" w:hAnsi="Garamond"/>
          <w:color w:val="000000"/>
        </w:rPr>
        <w:t>a</w:t>
      </w:r>
      <w:r w:rsidRPr="00BD15A0">
        <w:rPr>
          <w:rFonts w:ascii="Garamond" w:hAnsi="Garamond"/>
          <w:color w:val="000000"/>
        </w:rPr>
        <w:t xml:space="preserve"> posuzová</w:t>
      </w:r>
      <w:r>
        <w:rPr>
          <w:rFonts w:ascii="Garamond" w:hAnsi="Garamond"/>
          <w:color w:val="000000"/>
        </w:rPr>
        <w:t>ní vlivů na životní prostředí a </w:t>
      </w:r>
      <w:r w:rsidRPr="00BD15A0">
        <w:rPr>
          <w:rFonts w:ascii="Garamond" w:hAnsi="Garamond"/>
          <w:color w:val="000000"/>
        </w:rPr>
        <w:t>správní řízení o povolení záměru</w:t>
      </w:r>
      <w:r w:rsidR="00451C4B">
        <w:rPr>
          <w:rFonts w:ascii="Garamond" w:hAnsi="Garamond"/>
          <w:color w:val="000000"/>
        </w:rPr>
        <w:t xml:space="preserve"> jsou </w:t>
      </w:r>
      <w:r>
        <w:rPr>
          <w:rFonts w:ascii="Garamond" w:hAnsi="Garamond"/>
          <w:color w:val="000000"/>
        </w:rPr>
        <w:t>odděleny</w:t>
      </w:r>
      <w:r w:rsidRPr="00BD15A0">
        <w:rPr>
          <w:rFonts w:ascii="Garamond" w:hAnsi="Garamond"/>
          <w:color w:val="000000"/>
        </w:rPr>
        <w:t>, (ii) stanovisko k</w:t>
      </w:r>
      <w:r>
        <w:rPr>
          <w:rFonts w:ascii="Garamond" w:hAnsi="Garamond"/>
          <w:color w:val="000000"/>
        </w:rPr>
        <w:t> </w:t>
      </w:r>
      <w:r w:rsidRPr="00BD15A0">
        <w:rPr>
          <w:rFonts w:ascii="Garamond" w:hAnsi="Garamond"/>
          <w:color w:val="000000"/>
        </w:rPr>
        <w:t>posouzení vliv</w:t>
      </w:r>
      <w:r>
        <w:rPr>
          <w:rFonts w:ascii="Garamond" w:hAnsi="Garamond"/>
          <w:color w:val="000000"/>
        </w:rPr>
        <w:t>ů</w:t>
      </w:r>
      <w:r w:rsidRPr="00BD15A0">
        <w:rPr>
          <w:rFonts w:ascii="Garamond" w:hAnsi="Garamond"/>
          <w:color w:val="000000"/>
        </w:rPr>
        <w:t xml:space="preserve"> na životn</w:t>
      </w:r>
      <w:r w:rsidR="00451C4B">
        <w:rPr>
          <w:rFonts w:ascii="Garamond" w:hAnsi="Garamond"/>
          <w:color w:val="000000"/>
        </w:rPr>
        <w:t>í prostředí podle § 10 zákona o </w:t>
      </w:r>
      <w:r w:rsidRPr="00BD15A0">
        <w:rPr>
          <w:rFonts w:ascii="Garamond" w:hAnsi="Garamond"/>
          <w:color w:val="000000"/>
        </w:rPr>
        <w:t xml:space="preserve">posuzování vlivů není soudně přezkoumatelné samostatně, nýbrž až </w:t>
      </w:r>
      <w:r>
        <w:rPr>
          <w:rFonts w:ascii="Garamond" w:hAnsi="Garamond"/>
          <w:color w:val="000000"/>
        </w:rPr>
        <w:t>při</w:t>
      </w:r>
      <w:r w:rsidRPr="00BD15A0">
        <w:rPr>
          <w:rFonts w:ascii="Garamond" w:hAnsi="Garamond"/>
          <w:color w:val="000000"/>
        </w:rPr>
        <w:t xml:space="preserve"> přezkumu správního rozhodnutí o</w:t>
      </w:r>
      <w:r>
        <w:rPr>
          <w:rFonts w:ascii="Garamond" w:hAnsi="Garamond"/>
          <w:color w:val="000000"/>
        </w:rPr>
        <w:t> </w:t>
      </w:r>
      <w:r w:rsidRPr="00BD15A0">
        <w:rPr>
          <w:rFonts w:ascii="Garamond" w:hAnsi="Garamond"/>
          <w:color w:val="000000"/>
        </w:rPr>
        <w:t>žádosti o povolení zá</w:t>
      </w:r>
      <w:r>
        <w:rPr>
          <w:rFonts w:ascii="Garamond" w:hAnsi="Garamond"/>
          <w:color w:val="000000"/>
        </w:rPr>
        <w:t>měru a (iii) ne všechny osoby z </w:t>
      </w:r>
      <w:r w:rsidR="00451C4B">
        <w:rPr>
          <w:rFonts w:ascii="Garamond" w:hAnsi="Garamond"/>
          <w:color w:val="000000"/>
        </w:rPr>
        <w:t>řad dotčené veřejnosti mají </w:t>
      </w:r>
      <w:r w:rsidRPr="00BD15A0">
        <w:rPr>
          <w:rFonts w:ascii="Garamond" w:hAnsi="Garamond"/>
          <w:color w:val="000000"/>
        </w:rPr>
        <w:t>právo účastnit se správního řízení o</w:t>
      </w:r>
      <w:r>
        <w:rPr>
          <w:rFonts w:ascii="Garamond" w:hAnsi="Garamond"/>
          <w:color w:val="000000"/>
        </w:rPr>
        <w:t> žádosti o povolení záměru (viz </w:t>
      </w:r>
      <w:r w:rsidR="00451C4B">
        <w:rPr>
          <w:rFonts w:ascii="Garamond" w:hAnsi="Garamond"/>
          <w:color w:val="000000"/>
        </w:rPr>
        <w:t>stanoviska Komise čj. </w:t>
      </w:r>
      <w:r w:rsidRPr="00BD15A0">
        <w:rPr>
          <w:rFonts w:ascii="Garamond" w:hAnsi="Garamond"/>
          <w:color w:val="000000"/>
        </w:rPr>
        <w:t>2006/2271, 2007/2927).</w:t>
      </w:r>
    </w:p>
    <w:p w14:paraId="46F69037" w14:textId="77777777" w:rsidR="00C85187" w:rsidRDefault="00C85187" w:rsidP="00C85187">
      <w:pPr>
        <w:pStyle w:val="Odstavecseseznamem"/>
        <w:numPr>
          <w:ilvl w:val="0"/>
          <w:numId w:val="16"/>
        </w:numPr>
        <w:spacing w:after="240"/>
        <w:ind w:left="0" w:firstLine="0"/>
        <w:contextualSpacing w:val="0"/>
        <w:jc w:val="both"/>
        <w:rPr>
          <w:rFonts w:ascii="Garamond" w:hAnsi="Garamond"/>
        </w:rPr>
      </w:pPr>
      <w:bookmarkStart w:id="4" w:name="_Hlk74860243"/>
      <w:r w:rsidRPr="009966FB">
        <w:rPr>
          <w:rFonts w:ascii="Garamond" w:hAnsi="Garamond"/>
        </w:rPr>
        <w:t xml:space="preserve">V navazujícím řízení je potřeba postupovat tak, aby nedocházelo k porušení směrnice EIA. Jelikož </w:t>
      </w:r>
      <w:r>
        <w:rPr>
          <w:rFonts w:ascii="Garamond" w:hAnsi="Garamond"/>
        </w:rPr>
        <w:t xml:space="preserve">tato </w:t>
      </w:r>
      <w:r w:rsidRPr="009966FB">
        <w:rPr>
          <w:rFonts w:ascii="Garamond" w:hAnsi="Garamond"/>
        </w:rPr>
        <w:t>směrnice počítá s posouzení</w:t>
      </w:r>
      <w:r>
        <w:rPr>
          <w:rFonts w:ascii="Garamond" w:hAnsi="Garamond"/>
        </w:rPr>
        <w:t>m</w:t>
      </w:r>
      <w:r w:rsidRPr="009966FB">
        <w:rPr>
          <w:rFonts w:ascii="Garamond" w:hAnsi="Garamond"/>
        </w:rPr>
        <w:t xml:space="preserve"> vlivů záměru na životní prostředí</w:t>
      </w:r>
      <w:r w:rsidR="00451C4B">
        <w:rPr>
          <w:rFonts w:ascii="Garamond" w:hAnsi="Garamond"/>
        </w:rPr>
        <w:t xml:space="preserve"> společně s jeho </w:t>
      </w:r>
      <w:r>
        <w:rPr>
          <w:rFonts w:ascii="Garamond" w:hAnsi="Garamond"/>
        </w:rPr>
        <w:t>povolením</w:t>
      </w:r>
      <w:r w:rsidRPr="009966FB">
        <w:rPr>
          <w:rFonts w:ascii="Garamond" w:hAnsi="Garamond"/>
        </w:rPr>
        <w:t xml:space="preserve">, na </w:t>
      </w:r>
      <w:r>
        <w:rPr>
          <w:rFonts w:ascii="Garamond" w:hAnsi="Garamond"/>
        </w:rPr>
        <w:t xml:space="preserve">oddělené </w:t>
      </w:r>
      <w:r w:rsidRPr="009966FB">
        <w:rPr>
          <w:rFonts w:ascii="Garamond" w:hAnsi="Garamond"/>
        </w:rPr>
        <w:t>navazující řízení se v souladu s čl. 1 odst. 2 písm. c</w:t>
      </w:r>
      <w:r>
        <w:rPr>
          <w:rFonts w:ascii="Garamond" w:hAnsi="Garamond"/>
        </w:rPr>
        <w:t>)</w:t>
      </w:r>
      <w:r w:rsidR="00451C4B">
        <w:rPr>
          <w:rFonts w:ascii="Garamond" w:hAnsi="Garamond"/>
        </w:rPr>
        <w:t xml:space="preserve"> spolu s čl. 2 </w:t>
      </w:r>
      <w:r w:rsidRPr="009966FB">
        <w:rPr>
          <w:rFonts w:ascii="Garamond" w:hAnsi="Garamond"/>
        </w:rPr>
        <w:t>odst. 1 směrnice EIA vztahují jak závěry závazného sta</w:t>
      </w:r>
      <w:r w:rsidR="00451C4B">
        <w:rPr>
          <w:rFonts w:ascii="Garamond" w:hAnsi="Garamond"/>
        </w:rPr>
        <w:t>noviska EIA, tak i požadavky na </w:t>
      </w:r>
      <w:r w:rsidRPr="009966FB">
        <w:rPr>
          <w:rFonts w:ascii="Garamond" w:hAnsi="Garamond"/>
        </w:rPr>
        <w:t xml:space="preserve">účast veřejnosti na rozhodování. Pro účinnou možnost ochrany práv je pak podstatná nejen účast v procesu EIA, ale právě v navazujícím řízení. </w:t>
      </w:r>
      <w:bookmarkEnd w:id="4"/>
      <w:r>
        <w:rPr>
          <w:rFonts w:ascii="Garamond" w:hAnsi="Garamond"/>
        </w:rPr>
        <w:t>Je tomu tak proto, že v</w:t>
      </w:r>
      <w:r w:rsidR="00451C4B">
        <w:rPr>
          <w:rFonts w:ascii="Garamond" w:hAnsi="Garamond"/>
        </w:rPr>
        <w:t> procesu EIA může </w:t>
      </w:r>
      <w:r w:rsidRPr="009966FB">
        <w:rPr>
          <w:rFonts w:ascii="Garamond" w:hAnsi="Garamond"/>
        </w:rPr>
        <w:t>veřejnost uplatnit připomínky k oznámení EIA (§ 6 odst. 8 zákona o posuzování vlivů), připomínky k dokumentaci (§ 8 odst. 3 zákona o posuzování vlivů) a účastnit se veřejného projednání (§ 17 zákona o</w:t>
      </w:r>
      <w:r>
        <w:rPr>
          <w:rFonts w:ascii="Garamond" w:hAnsi="Garamond"/>
        </w:rPr>
        <w:t> </w:t>
      </w:r>
      <w:r w:rsidRPr="009966FB">
        <w:rPr>
          <w:rFonts w:ascii="Garamond" w:hAnsi="Garamond"/>
        </w:rPr>
        <w:t>posuzování vlivů). Vyjádření veřej</w:t>
      </w:r>
      <w:r w:rsidR="00451C4B">
        <w:rPr>
          <w:rFonts w:ascii="Garamond" w:hAnsi="Garamond"/>
        </w:rPr>
        <w:t>nosti a veřejné projednání jsou </w:t>
      </w:r>
      <w:r w:rsidRPr="009966FB">
        <w:rPr>
          <w:rFonts w:ascii="Garamond" w:hAnsi="Garamond"/>
        </w:rPr>
        <w:t>podkladem pro stanovisko EIA (§ 9a odst. 1 zákona o posuzování vlivů). Proti obsahu stanov</w:t>
      </w:r>
      <w:r>
        <w:rPr>
          <w:rFonts w:ascii="Garamond" w:hAnsi="Garamond"/>
        </w:rPr>
        <w:t>iska EIA se lze bránit právě až </w:t>
      </w:r>
      <w:r w:rsidRPr="009966FB">
        <w:rPr>
          <w:rFonts w:ascii="Garamond" w:hAnsi="Garamond"/>
        </w:rPr>
        <w:t>v navazujícím řízení (</w:t>
      </w:r>
      <w:r>
        <w:rPr>
          <w:rFonts w:ascii="Garamond" w:hAnsi="Garamond"/>
        </w:rPr>
        <w:t>§ 9a odst. 3 zákona o posuzování vlivů ve spojení s § 149 správního řádu</w:t>
      </w:r>
      <w:r w:rsidRPr="009966FB">
        <w:rPr>
          <w:rFonts w:ascii="Garamond" w:hAnsi="Garamond"/>
        </w:rPr>
        <w:t xml:space="preserve">). </w:t>
      </w:r>
      <w:r>
        <w:rPr>
          <w:rFonts w:ascii="Garamond" w:hAnsi="Garamond"/>
        </w:rPr>
        <w:t>V</w:t>
      </w:r>
      <w:r w:rsidRPr="009966FB">
        <w:rPr>
          <w:rFonts w:ascii="Garamond" w:hAnsi="Garamond"/>
        </w:rPr>
        <w:t xml:space="preserve"> navazujícím řízení </w:t>
      </w:r>
      <w:r>
        <w:rPr>
          <w:rFonts w:ascii="Garamond" w:hAnsi="Garamond"/>
        </w:rPr>
        <w:t xml:space="preserve">pak </w:t>
      </w:r>
      <w:r w:rsidRPr="009966FB">
        <w:rPr>
          <w:rFonts w:ascii="Garamond" w:hAnsi="Garamond"/>
        </w:rPr>
        <w:t>může mít dotčená veřejnost postavení účastníka a pak jí svědčí také práva s tím spojená (§ 9c odst. 3 zákona o posuzování vlivů).</w:t>
      </w:r>
      <w:r>
        <w:rPr>
          <w:rFonts w:ascii="Garamond" w:hAnsi="Garamond"/>
        </w:rPr>
        <w:t xml:space="preserve"> </w:t>
      </w:r>
    </w:p>
    <w:p w14:paraId="46F69038" w14:textId="77777777" w:rsidR="00C85187" w:rsidRPr="009C0B32" w:rsidRDefault="00C85187" w:rsidP="00C85187">
      <w:pPr>
        <w:pStyle w:val="Odstavecseseznamem"/>
        <w:numPr>
          <w:ilvl w:val="0"/>
          <w:numId w:val="16"/>
        </w:numPr>
        <w:spacing w:after="240"/>
        <w:ind w:left="0" w:firstLine="0"/>
        <w:contextualSpacing w:val="0"/>
        <w:jc w:val="both"/>
        <w:rPr>
          <w:rFonts w:ascii="Garamond" w:hAnsi="Garamond"/>
        </w:rPr>
      </w:pPr>
      <w:bookmarkStart w:id="5" w:name="_Hlk74860259"/>
      <w:r w:rsidRPr="009C0B32">
        <w:rPr>
          <w:rFonts w:ascii="Garamond" w:hAnsi="Garamond"/>
        </w:rPr>
        <w:t>Z uvedeného plyne, proč je důležité umožnit účast dotčené veřejnosti v navazujícím řízení. Povinností státu je zejména poskytnout veřejnosti včasnou a účinnou možnost účastnit se rozhodovacích řízení s posouzením vlivů na životní prostředí ještě v době, kdy jsou všechny varianty otevřené, tedy před rozhodnutím o žádosti o povolení podle čl. 6 odst. 4 směrnice EIA. NSS se ztotožňuj</w:t>
      </w:r>
      <w:r>
        <w:rPr>
          <w:rFonts w:ascii="Garamond" w:hAnsi="Garamond"/>
        </w:rPr>
        <w:t>e</w:t>
      </w:r>
      <w:r w:rsidRPr="009C0B32">
        <w:rPr>
          <w:rFonts w:ascii="Garamond" w:hAnsi="Garamond"/>
        </w:rPr>
        <w:t xml:space="preserve"> se závěrem krajského soudu, že možnost účast</w:t>
      </w:r>
      <w:r w:rsidR="00451C4B">
        <w:rPr>
          <w:rFonts w:ascii="Garamond" w:hAnsi="Garamond"/>
        </w:rPr>
        <w:t>nit se navazujícího řízení není </w:t>
      </w:r>
      <w:r w:rsidRPr="009C0B32">
        <w:rPr>
          <w:rFonts w:ascii="Garamond" w:hAnsi="Garamond"/>
        </w:rPr>
        <w:t>podmíněna předchozí účast</w:t>
      </w:r>
      <w:r>
        <w:rPr>
          <w:rFonts w:ascii="Garamond" w:hAnsi="Garamond"/>
        </w:rPr>
        <w:t>í</w:t>
      </w:r>
      <w:r w:rsidRPr="009C0B32">
        <w:rPr>
          <w:rFonts w:ascii="Garamond" w:hAnsi="Garamond"/>
        </w:rPr>
        <w:t xml:space="preserve"> v procesu EIA.</w:t>
      </w:r>
    </w:p>
    <w:p w14:paraId="46F69039" w14:textId="77777777" w:rsidR="00C85187" w:rsidRPr="00D37898" w:rsidRDefault="00C85187" w:rsidP="00C85187">
      <w:pPr>
        <w:pStyle w:val="Odstavecseseznamem"/>
        <w:numPr>
          <w:ilvl w:val="0"/>
          <w:numId w:val="16"/>
        </w:numPr>
        <w:spacing w:after="240"/>
        <w:ind w:left="0" w:firstLine="0"/>
        <w:contextualSpacing w:val="0"/>
        <w:jc w:val="both"/>
        <w:rPr>
          <w:rFonts w:ascii="Garamond" w:hAnsi="Garamond"/>
        </w:rPr>
      </w:pPr>
      <w:bookmarkStart w:id="6" w:name="_Hlk74861954"/>
      <w:bookmarkEnd w:id="5"/>
      <w:r w:rsidRPr="009C0B32">
        <w:rPr>
          <w:rFonts w:ascii="Garamond" w:hAnsi="Garamond"/>
        </w:rPr>
        <w:t xml:space="preserve">Směrnice EIA i zákon o posuzování vlivů upravují přeshraniční EIA v podstatě </w:t>
      </w:r>
      <w:r>
        <w:rPr>
          <w:rFonts w:ascii="Garamond" w:hAnsi="Garamond"/>
        </w:rPr>
        <w:t xml:space="preserve">totožným způsobem </w:t>
      </w:r>
      <w:r w:rsidRPr="00A66F3D">
        <w:rPr>
          <w:rFonts w:ascii="Garamond" w:hAnsi="Garamond"/>
        </w:rPr>
        <w:t>jako standardní EIA</w:t>
      </w:r>
      <w:r w:rsidRPr="009C0B32">
        <w:rPr>
          <w:rFonts w:ascii="Garamond" w:hAnsi="Garamond"/>
        </w:rPr>
        <w:t>. Rozdílem je</w:t>
      </w:r>
      <w:r>
        <w:rPr>
          <w:rFonts w:ascii="Garamond" w:hAnsi="Garamond"/>
        </w:rPr>
        <w:t xml:space="preserve"> </w:t>
      </w:r>
      <w:r w:rsidRPr="0076698F">
        <w:rPr>
          <w:rFonts w:ascii="Garamond" w:hAnsi="Garamond"/>
        </w:rPr>
        <w:t xml:space="preserve">zapojení dotčeného státu i </w:t>
      </w:r>
      <w:r>
        <w:rPr>
          <w:rFonts w:ascii="Garamond" w:hAnsi="Garamond"/>
        </w:rPr>
        <w:t>dotčené veřejnosti z dotčeného státu</w:t>
      </w:r>
      <w:r w:rsidRPr="0076698F">
        <w:rPr>
          <w:rFonts w:ascii="Garamond" w:hAnsi="Garamond"/>
        </w:rPr>
        <w:t xml:space="preserve"> již</w:t>
      </w:r>
      <w:r>
        <w:rPr>
          <w:rFonts w:ascii="Garamond" w:hAnsi="Garamond"/>
        </w:rPr>
        <w:t> </w:t>
      </w:r>
      <w:r w:rsidRPr="0076698F">
        <w:rPr>
          <w:rFonts w:ascii="Garamond" w:hAnsi="Garamond"/>
        </w:rPr>
        <w:t>v samotném procesu EIA</w:t>
      </w:r>
      <w:bookmarkEnd w:id="6"/>
      <w:r w:rsidRPr="009D3317">
        <w:rPr>
          <w:rFonts w:ascii="Garamond" w:hAnsi="Garamond"/>
        </w:rPr>
        <w:t>. Zapojení</w:t>
      </w:r>
      <w:r>
        <w:rPr>
          <w:rFonts w:ascii="Garamond" w:hAnsi="Garamond"/>
        </w:rPr>
        <w:t xml:space="preserve"> </w:t>
      </w:r>
      <w:r w:rsidRPr="009966FB">
        <w:rPr>
          <w:rFonts w:ascii="Garamond" w:hAnsi="Garamond"/>
        </w:rPr>
        <w:t>v procesu přeshraniční EIA se</w:t>
      </w:r>
      <w:r>
        <w:rPr>
          <w:rFonts w:ascii="Garamond" w:hAnsi="Garamond"/>
        </w:rPr>
        <w:t> </w:t>
      </w:r>
      <w:r w:rsidRPr="009966FB">
        <w:rPr>
          <w:rFonts w:ascii="Garamond" w:hAnsi="Garamond"/>
        </w:rPr>
        <w:t>projevuje např. v povinnosti oznamovatele zajistit překlad oznámení záměru a překlad dokumentace záměru (§</w:t>
      </w:r>
      <w:r>
        <w:rPr>
          <w:rFonts w:ascii="Garamond" w:hAnsi="Garamond"/>
        </w:rPr>
        <w:t> </w:t>
      </w:r>
      <w:r w:rsidRPr="009966FB">
        <w:rPr>
          <w:rFonts w:ascii="Garamond" w:hAnsi="Garamond"/>
        </w:rPr>
        <w:t>13 odst. 1 a odst. 3 zákona o</w:t>
      </w:r>
      <w:r>
        <w:rPr>
          <w:rFonts w:ascii="Garamond" w:hAnsi="Garamond"/>
        </w:rPr>
        <w:t> </w:t>
      </w:r>
      <w:r w:rsidRPr="009966FB">
        <w:rPr>
          <w:rFonts w:ascii="Garamond" w:hAnsi="Garamond"/>
        </w:rPr>
        <w:t>posuzování vlivů). Správní orgán nesmí opomenout ani § 16 odst. 3</w:t>
      </w:r>
      <w:r>
        <w:rPr>
          <w:rFonts w:ascii="Garamond" w:hAnsi="Garamond"/>
        </w:rPr>
        <w:t xml:space="preserve"> správního řádu, který upravuje</w:t>
      </w:r>
      <w:r w:rsidRPr="009D3317">
        <w:rPr>
          <w:rFonts w:ascii="Garamond" w:hAnsi="Garamond"/>
        </w:rPr>
        <w:t xml:space="preserve"> právo na tlumočníka. </w:t>
      </w:r>
    </w:p>
    <w:p w14:paraId="46F6903A" w14:textId="77777777" w:rsidR="00C85187" w:rsidRPr="00BF0011" w:rsidRDefault="00C85187" w:rsidP="00C85187">
      <w:pPr>
        <w:pStyle w:val="Odstavecseseznamem"/>
        <w:numPr>
          <w:ilvl w:val="0"/>
          <w:numId w:val="16"/>
        </w:numPr>
        <w:spacing w:after="240"/>
        <w:ind w:left="0" w:firstLine="0"/>
        <w:contextualSpacing w:val="0"/>
        <w:jc w:val="both"/>
        <w:rPr>
          <w:rFonts w:ascii="Garamond" w:hAnsi="Garamond"/>
          <w:bCs/>
        </w:rPr>
      </w:pPr>
      <w:bookmarkStart w:id="7" w:name="_Hlk74860334"/>
      <w:r w:rsidRPr="00D37898">
        <w:rPr>
          <w:rFonts w:ascii="Garamond" w:hAnsi="Garamond"/>
        </w:rPr>
        <w:t xml:space="preserve">Proces přeshraniční EIA nelze nahradit neoficiálním účastenstvím v procesu </w:t>
      </w:r>
      <w:r w:rsidRPr="00E636DB">
        <w:rPr>
          <w:rFonts w:ascii="Garamond" w:hAnsi="Garamond"/>
        </w:rPr>
        <w:t>standardní</w:t>
      </w:r>
      <w:r w:rsidRPr="00D37898">
        <w:rPr>
          <w:rFonts w:ascii="Garamond" w:hAnsi="Garamond"/>
        </w:rPr>
        <w:t xml:space="preserve"> EIA. Zapojení veřejnosti z dotčeného státu </w:t>
      </w:r>
      <w:r w:rsidRPr="00E636DB">
        <w:rPr>
          <w:rFonts w:ascii="Garamond" w:hAnsi="Garamond"/>
        </w:rPr>
        <w:t>odpovídající</w:t>
      </w:r>
      <w:r w:rsidRPr="00D37898">
        <w:rPr>
          <w:rFonts w:ascii="Garamond" w:hAnsi="Garamond"/>
        </w:rPr>
        <w:t xml:space="preserve"> </w:t>
      </w:r>
      <w:r w:rsidRPr="00E636DB">
        <w:rPr>
          <w:rFonts w:ascii="Garamond" w:hAnsi="Garamond"/>
        </w:rPr>
        <w:t>přeshraniční</w:t>
      </w:r>
      <w:r w:rsidRPr="00D37898">
        <w:rPr>
          <w:rFonts w:ascii="Garamond" w:hAnsi="Garamond"/>
        </w:rPr>
        <w:t xml:space="preserve"> </w:t>
      </w:r>
      <w:r w:rsidRPr="00E636DB">
        <w:rPr>
          <w:rFonts w:ascii="Garamond" w:hAnsi="Garamond"/>
        </w:rPr>
        <w:t>EIA</w:t>
      </w:r>
      <w:r w:rsidRPr="00D37898">
        <w:rPr>
          <w:rFonts w:ascii="Garamond" w:hAnsi="Garamond"/>
        </w:rPr>
        <w:t xml:space="preserve"> pak nesmí být pouze formální. </w:t>
      </w:r>
      <w:r w:rsidRPr="00BF0011">
        <w:rPr>
          <w:rFonts w:ascii="Garamond" w:hAnsi="Garamond"/>
        </w:rPr>
        <w:t>Účast v procesu posouzení vlivů v případě záměru R52, na níž staví svou argumentaci stěžovatelé</w:t>
      </w:r>
      <w:r w:rsidRPr="00D37898">
        <w:rPr>
          <w:rFonts w:ascii="Garamond" w:hAnsi="Garamond"/>
        </w:rPr>
        <w:t xml:space="preserve">, neodpovídá </w:t>
      </w:r>
      <w:r>
        <w:rPr>
          <w:rFonts w:ascii="Garamond" w:hAnsi="Garamond"/>
        </w:rPr>
        <w:t>efektivnímu</w:t>
      </w:r>
      <w:r w:rsidRPr="00D37898">
        <w:rPr>
          <w:rFonts w:ascii="Garamond" w:hAnsi="Garamond"/>
        </w:rPr>
        <w:t xml:space="preserve"> zapojení dotčené veřejnosti z Rakouska. </w:t>
      </w:r>
      <w:bookmarkEnd w:id="7"/>
      <w:r w:rsidRPr="00D37898">
        <w:rPr>
          <w:rFonts w:ascii="Garamond" w:hAnsi="Garamond"/>
        </w:rPr>
        <w:t>Nejde přitom o žádný nadstandardní požadavek, nýbrž o dodržení závazků plynoucích z Úmluvy z Espoo (Úmluva o posuzování vlivů na životní prostředí přesahující hranice států, č. 40/2001 Sb. m. s., z roku 1991).</w:t>
      </w:r>
      <w:r w:rsidRPr="00D37898">
        <w:rPr>
          <w:rFonts w:ascii="Garamond" w:hAnsi="Garamond"/>
          <w:bCs/>
        </w:rPr>
        <w:t xml:space="preserve"> Pro posouzení, zda přeshraniční vliv záměru podléhá </w:t>
      </w:r>
      <w:r w:rsidR="00451C4B">
        <w:rPr>
          <w:rFonts w:ascii="Garamond" w:hAnsi="Garamond"/>
          <w:bCs/>
        </w:rPr>
        <w:t>Úmluvě z Espoo, není </w:t>
      </w:r>
      <w:r w:rsidRPr="00A14DBC">
        <w:rPr>
          <w:rFonts w:ascii="Garamond" w:hAnsi="Garamond"/>
          <w:bCs/>
        </w:rPr>
        <w:t>podstatný jeho význam, ale to, že se</w:t>
      </w:r>
      <w:r>
        <w:rPr>
          <w:rFonts w:ascii="Garamond" w:hAnsi="Garamond"/>
          <w:bCs/>
        </w:rPr>
        <w:t xml:space="preserve"> vliv</w:t>
      </w:r>
      <w:r w:rsidRPr="00A14DBC">
        <w:rPr>
          <w:rFonts w:ascii="Garamond" w:hAnsi="Garamond"/>
          <w:bCs/>
        </w:rPr>
        <w:t xml:space="preserve"> projevuje na územ</w:t>
      </w:r>
      <w:r w:rsidR="00451C4B">
        <w:rPr>
          <w:rFonts w:ascii="Garamond" w:hAnsi="Garamond"/>
          <w:bCs/>
        </w:rPr>
        <w:t>í jiného státu. V souladu s čl. </w:t>
      </w:r>
      <w:r w:rsidRPr="00A14DBC">
        <w:rPr>
          <w:rFonts w:ascii="Garamond" w:hAnsi="Garamond"/>
          <w:bCs/>
        </w:rPr>
        <w:t>3</w:t>
      </w:r>
      <w:r w:rsidR="00451C4B">
        <w:rPr>
          <w:rFonts w:ascii="Garamond" w:hAnsi="Garamond"/>
          <w:bCs/>
        </w:rPr>
        <w:t> </w:t>
      </w:r>
      <w:r w:rsidRPr="00A14DBC">
        <w:rPr>
          <w:rFonts w:ascii="Garamond" w:hAnsi="Garamond"/>
          <w:bCs/>
        </w:rPr>
        <w:t xml:space="preserve">této úmluvy je strana původu povinna informovat dotčené strany, i pokud existuje jen malá </w:t>
      </w:r>
      <w:r w:rsidRPr="00A66F3D">
        <w:rPr>
          <w:rFonts w:ascii="Garamond" w:hAnsi="Garamond"/>
          <w:bCs/>
        </w:rPr>
        <w:t>pravděpodobnost takového dopadu</w:t>
      </w:r>
      <w:r w:rsidRPr="00A66F3D">
        <w:rPr>
          <w:rFonts w:ascii="Garamond" w:hAnsi="Garamond"/>
        </w:rPr>
        <w:t>. Takový postup je v souladu s průvodními dokumenty k Úmluvě z Espoo (</w:t>
      </w:r>
      <w:r w:rsidRPr="00A66F3D">
        <w:rPr>
          <w:rFonts w:ascii="Garamond" w:hAnsi="Garamond"/>
          <w:i/>
        </w:rPr>
        <w:t>Guidance on the Practical Application of the Espoo Convention</w:t>
      </w:r>
      <w:r w:rsidRPr="00A66F3D">
        <w:rPr>
          <w:rFonts w:ascii="Garamond" w:hAnsi="Garamond"/>
        </w:rPr>
        <w:t xml:space="preserve">, 2004, odst. 28) i ke směrnici EIA (Evropská komise. </w:t>
      </w:r>
      <w:r w:rsidRPr="00A66F3D">
        <w:rPr>
          <w:rFonts w:ascii="Garamond" w:hAnsi="Garamond"/>
          <w:i/>
        </w:rPr>
        <w:t>Guidance on the Application of the Environmental Impact Assessment Procedure for Large-scale Transboundary Projects</w:t>
      </w:r>
      <w:r w:rsidRPr="00A66F3D">
        <w:rPr>
          <w:rFonts w:ascii="Garamond" w:hAnsi="Garamond"/>
        </w:rPr>
        <w:t>. 2013, str. 6).</w:t>
      </w:r>
    </w:p>
    <w:p w14:paraId="46F6903B" w14:textId="77777777" w:rsidR="00C85187" w:rsidRPr="006E404D" w:rsidRDefault="00C85187" w:rsidP="00C85187">
      <w:pPr>
        <w:pStyle w:val="Odstavecseseznamem"/>
        <w:numPr>
          <w:ilvl w:val="0"/>
          <w:numId w:val="16"/>
        </w:numPr>
        <w:spacing w:after="240"/>
        <w:ind w:left="0" w:firstLine="0"/>
        <w:contextualSpacing w:val="0"/>
        <w:jc w:val="both"/>
        <w:rPr>
          <w:rFonts w:ascii="Garamond" w:hAnsi="Garamond"/>
          <w:bCs/>
        </w:rPr>
      </w:pPr>
      <w:r>
        <w:rPr>
          <w:rFonts w:ascii="Garamond" w:hAnsi="Garamond"/>
        </w:rPr>
        <w:t>Zde posuzovaný z</w:t>
      </w:r>
      <w:r w:rsidRPr="009966FB">
        <w:rPr>
          <w:rFonts w:ascii="Garamond" w:hAnsi="Garamond"/>
        </w:rPr>
        <w:t xml:space="preserve">áměr R52 </w:t>
      </w:r>
      <w:r>
        <w:rPr>
          <w:rFonts w:ascii="Garamond" w:hAnsi="Garamond"/>
        </w:rPr>
        <w:t xml:space="preserve">patří mezi ty, u nichž se </w:t>
      </w:r>
      <w:r w:rsidRPr="009966FB">
        <w:rPr>
          <w:rFonts w:ascii="Garamond" w:hAnsi="Garamond"/>
        </w:rPr>
        <w:t>přeshraniční vliv</w:t>
      </w:r>
      <w:r>
        <w:rPr>
          <w:rFonts w:ascii="Garamond" w:hAnsi="Garamond"/>
        </w:rPr>
        <w:t xml:space="preserve"> přímo</w:t>
      </w:r>
      <w:r w:rsidRPr="009966FB">
        <w:rPr>
          <w:rFonts w:ascii="Garamond" w:hAnsi="Garamond"/>
        </w:rPr>
        <w:t xml:space="preserve"> předpokládá, neboť spadá mezi činnosti vymezené v příloze I bod</w:t>
      </w:r>
      <w:r>
        <w:rPr>
          <w:rFonts w:ascii="Garamond" w:hAnsi="Garamond"/>
        </w:rPr>
        <w:t>ě</w:t>
      </w:r>
      <w:r w:rsidR="00451C4B">
        <w:rPr>
          <w:rFonts w:ascii="Garamond" w:hAnsi="Garamond"/>
        </w:rPr>
        <w:t xml:space="preserve"> 8 (b) Úmluvy z Espoo (srov. </w:t>
      </w:r>
      <w:r w:rsidRPr="009966FB">
        <w:rPr>
          <w:rFonts w:ascii="Garamond" w:hAnsi="Garamond"/>
        </w:rPr>
        <w:t xml:space="preserve">Implementační pomůcka k provádění Úmluvy z Espoo </w:t>
      </w:r>
      <w:r w:rsidRPr="009966FB">
        <w:rPr>
          <w:rFonts w:ascii="Garamond" w:hAnsi="Garamond"/>
          <w:i/>
          <w:iCs/>
        </w:rPr>
        <w:t xml:space="preserve">Guidance </w:t>
      </w:r>
      <w:r w:rsidR="00451C4B">
        <w:rPr>
          <w:rFonts w:ascii="Garamond" w:hAnsi="Garamond"/>
          <w:i/>
          <w:iCs/>
        </w:rPr>
        <w:t>on the Practical Application of </w:t>
      </w:r>
      <w:r w:rsidRPr="009966FB">
        <w:rPr>
          <w:rFonts w:ascii="Garamond" w:hAnsi="Garamond"/>
          <w:i/>
          <w:iCs/>
        </w:rPr>
        <w:t xml:space="preserve">the Espoo Convention, 2006, </w:t>
      </w:r>
      <w:r w:rsidRPr="009966FB">
        <w:rPr>
          <w:rFonts w:ascii="Garamond" w:hAnsi="Garamond"/>
          <w:iCs/>
        </w:rPr>
        <w:t>str. 11</w:t>
      </w:r>
      <w:r>
        <w:rPr>
          <w:rFonts w:ascii="Garamond" w:hAnsi="Garamond"/>
          <w:iCs/>
        </w:rPr>
        <w:t>).</w:t>
      </w:r>
      <w:r w:rsidRPr="009966FB">
        <w:rPr>
          <w:rFonts w:ascii="Garamond" w:hAnsi="Garamond"/>
        </w:rPr>
        <w:t xml:space="preserve"> </w:t>
      </w:r>
    </w:p>
    <w:p w14:paraId="46F6903C" w14:textId="77777777" w:rsidR="00C85187" w:rsidRPr="006E66AD" w:rsidRDefault="00C85187" w:rsidP="00C85187">
      <w:pPr>
        <w:pStyle w:val="Odstavecseseznamem"/>
        <w:numPr>
          <w:ilvl w:val="0"/>
          <w:numId w:val="16"/>
        </w:numPr>
        <w:spacing w:after="240"/>
        <w:ind w:left="0" w:firstLine="0"/>
        <w:contextualSpacing w:val="0"/>
        <w:jc w:val="both"/>
        <w:rPr>
          <w:rFonts w:ascii="Garamond" w:hAnsi="Garamond"/>
          <w:bCs/>
        </w:rPr>
      </w:pPr>
      <w:r w:rsidRPr="009966FB">
        <w:rPr>
          <w:rFonts w:ascii="Garamond" w:hAnsi="Garamond"/>
        </w:rPr>
        <w:t>Krajský soud tedy správně nepřisvědčil argumentaci stěžovatel</w:t>
      </w:r>
      <w:r>
        <w:rPr>
          <w:rFonts w:ascii="Garamond" w:hAnsi="Garamond"/>
        </w:rPr>
        <w:t>e a)</w:t>
      </w:r>
      <w:r w:rsidRPr="009966FB">
        <w:rPr>
          <w:rFonts w:ascii="Garamond" w:hAnsi="Garamond"/>
        </w:rPr>
        <w:t xml:space="preserve">, </w:t>
      </w:r>
      <w:r>
        <w:rPr>
          <w:rFonts w:ascii="Garamond" w:hAnsi="Garamond"/>
        </w:rPr>
        <w:t xml:space="preserve">podle níž </w:t>
      </w:r>
      <w:r w:rsidRPr="009966FB">
        <w:rPr>
          <w:rFonts w:ascii="Garamond" w:hAnsi="Garamond"/>
        </w:rPr>
        <w:t>nelze automaticky předjímat, že pro dva samostatné záměry, které na sebe navazují (rakouský a český), musí být vedeno mezistátní posuzování</w:t>
      </w:r>
      <w:bookmarkStart w:id="8" w:name="_Hlk74860364"/>
      <w:r w:rsidRPr="009966FB">
        <w:rPr>
          <w:rFonts w:ascii="Garamond" w:hAnsi="Garamond"/>
        </w:rPr>
        <w:t xml:space="preserve">. </w:t>
      </w:r>
      <w:r>
        <w:rPr>
          <w:rFonts w:ascii="Garamond" w:hAnsi="Garamond"/>
        </w:rPr>
        <w:t>Naopak lze předpokládat, že spolu oba záměry neoddělitelně souvisí</w:t>
      </w:r>
      <w:r w:rsidRPr="009966FB">
        <w:rPr>
          <w:rFonts w:ascii="Garamond" w:hAnsi="Garamond"/>
        </w:rPr>
        <w:t>, neboť státní hranice nepředstavuje hranici pro účely definice záměru</w:t>
      </w:r>
      <w:r>
        <w:rPr>
          <w:rFonts w:ascii="Garamond" w:hAnsi="Garamond"/>
        </w:rPr>
        <w:t>, a je tak zjevné, že se jedná o přeshraniční záměr. K tomu lze odkázat na</w:t>
      </w:r>
      <w:r w:rsidRPr="009966FB">
        <w:rPr>
          <w:rFonts w:ascii="Garamond" w:hAnsi="Garamond"/>
        </w:rPr>
        <w:t xml:space="preserve"> </w:t>
      </w:r>
      <w:r>
        <w:rPr>
          <w:rFonts w:ascii="Garamond" w:hAnsi="Garamond"/>
        </w:rPr>
        <w:t xml:space="preserve">rozsudek Soudního dvora EU ze dne 10. 12. 2009, </w:t>
      </w:r>
      <w:r w:rsidRPr="009966FB">
        <w:rPr>
          <w:rFonts w:ascii="Garamond" w:hAnsi="Garamond"/>
        </w:rPr>
        <w:t xml:space="preserve">C-205/08, </w:t>
      </w:r>
      <w:r w:rsidRPr="00BB773C">
        <w:rPr>
          <w:rFonts w:ascii="Garamond" w:hAnsi="Garamond"/>
          <w:i/>
        </w:rPr>
        <w:t>Umweltanwalt von Kärnten</w:t>
      </w:r>
      <w:r w:rsidRPr="009966FB">
        <w:rPr>
          <w:rFonts w:ascii="Garamond" w:hAnsi="Garamond"/>
        </w:rPr>
        <w:t xml:space="preserve">, </w:t>
      </w:r>
      <w:r>
        <w:rPr>
          <w:rFonts w:ascii="Garamond" w:hAnsi="Garamond"/>
        </w:rPr>
        <w:t>jenž v bodě 51 uvádí:</w:t>
      </w:r>
      <w:r w:rsidRPr="00F4597B">
        <w:rPr>
          <w:rFonts w:ascii="Garamond" w:hAnsi="Garamond"/>
        </w:rPr>
        <w:t xml:space="preserve"> </w:t>
      </w:r>
      <w:r>
        <w:rPr>
          <w:rFonts w:ascii="Garamond" w:hAnsi="Garamond"/>
        </w:rPr>
        <w:t>„</w:t>
      </w:r>
      <w:r w:rsidRPr="00F4597B">
        <w:rPr>
          <w:rFonts w:ascii="Garamond" w:hAnsi="Garamond" w:cs="Tahoma"/>
          <w:i/>
          <w:iCs/>
          <w:color w:val="0A0A0A"/>
          <w:shd w:val="clear" w:color="auto" w:fill="FFFFFF"/>
        </w:rPr>
        <w:t xml:space="preserve">Je třeba rovněž zdůraznit, že směrnice 85/337 se zaměřuje na </w:t>
      </w:r>
      <w:r w:rsidRPr="00BF0011">
        <w:rPr>
          <w:rFonts w:ascii="Garamond" w:hAnsi="Garamond" w:cs="Tahoma"/>
          <w:i/>
          <w:iCs/>
          <w:color w:val="0A0A0A"/>
          <w:shd w:val="clear" w:color="auto" w:fill="FFFFFF"/>
        </w:rPr>
        <w:t>celkové posouzení vlivů záměrů na životní prostředí</w:t>
      </w:r>
      <w:r w:rsidRPr="00790080">
        <w:rPr>
          <w:rFonts w:ascii="Garamond" w:hAnsi="Garamond" w:cs="Tahoma"/>
          <w:i/>
          <w:iCs/>
          <w:color w:val="0A0A0A"/>
          <w:shd w:val="clear" w:color="auto" w:fill="FFFFFF"/>
        </w:rPr>
        <w:t xml:space="preserve"> </w:t>
      </w:r>
      <w:r w:rsidRPr="00070E9F">
        <w:rPr>
          <w:rFonts w:ascii="Garamond" w:hAnsi="Garamond" w:cs="Tahoma"/>
          <w:color w:val="0A0A0A"/>
          <w:shd w:val="clear" w:color="auto" w:fill="FFFFFF"/>
        </w:rPr>
        <w:t xml:space="preserve">(…) </w:t>
      </w:r>
      <w:r w:rsidRPr="00BF0011">
        <w:rPr>
          <w:rFonts w:ascii="Garamond" w:hAnsi="Garamond" w:cs="Tahoma"/>
          <w:i/>
          <w:iCs/>
          <w:color w:val="0A0A0A"/>
          <w:shd w:val="clear" w:color="auto" w:fill="FFFFFF"/>
        </w:rPr>
        <w:t>bez ohledu na skutečnost, že se případně jedná o přeshraniční záměr</w:t>
      </w:r>
      <w:r>
        <w:rPr>
          <w:rFonts w:ascii="Garamond" w:hAnsi="Garamond" w:cs="Tahoma"/>
          <w:i/>
          <w:iCs/>
          <w:color w:val="0A0A0A"/>
          <w:shd w:val="clear" w:color="auto" w:fill="FFFFFF"/>
        </w:rPr>
        <w:t>.</w:t>
      </w:r>
      <w:r w:rsidRPr="006E404D">
        <w:rPr>
          <w:rFonts w:ascii="Garamond" w:hAnsi="Garamond" w:cs="Tahoma"/>
          <w:i/>
          <w:iCs/>
          <w:color w:val="0A0A0A"/>
          <w:shd w:val="clear" w:color="auto" w:fill="FFFFFF"/>
        </w:rPr>
        <w:t>“</w:t>
      </w:r>
      <w:r w:rsidRPr="009966FB">
        <w:rPr>
          <w:rFonts w:ascii="Garamond" w:hAnsi="Garamond"/>
        </w:rPr>
        <w:t xml:space="preserve"> </w:t>
      </w:r>
      <w:r>
        <w:rPr>
          <w:rFonts w:ascii="Garamond" w:hAnsi="Garamond"/>
        </w:rPr>
        <w:t xml:space="preserve">Generální </w:t>
      </w:r>
      <w:r w:rsidRPr="009966FB">
        <w:rPr>
          <w:rFonts w:ascii="Garamond" w:hAnsi="Garamond"/>
        </w:rPr>
        <w:t xml:space="preserve">advokát </w:t>
      </w:r>
      <w:r w:rsidRPr="00606DC3">
        <w:rPr>
          <w:rFonts w:ascii="Garamond" w:hAnsi="Garamond"/>
        </w:rPr>
        <w:t>Dámaso Ruiz-</w:t>
      </w:r>
      <w:r w:rsidRPr="00606DC3">
        <w:t>​</w:t>
      </w:r>
      <w:r w:rsidRPr="00606DC3">
        <w:rPr>
          <w:rFonts w:ascii="Garamond" w:hAnsi="Garamond"/>
        </w:rPr>
        <w:t xml:space="preserve">Jarabo Colomer </w:t>
      </w:r>
      <w:r>
        <w:rPr>
          <w:rFonts w:ascii="Garamond" w:hAnsi="Garamond"/>
        </w:rPr>
        <w:t xml:space="preserve">v bodě 83 stanoviska k téže věci uvedl: </w:t>
      </w:r>
      <w:r w:rsidRPr="009966FB">
        <w:rPr>
          <w:rFonts w:ascii="Garamond" w:hAnsi="Garamond" w:cs="Tahoma"/>
          <w:i/>
          <w:iCs/>
          <w:color w:val="0A0A0A"/>
          <w:shd w:val="clear" w:color="auto" w:fill="FFFFFF"/>
        </w:rPr>
        <w:t>„</w:t>
      </w:r>
      <w:r>
        <w:rPr>
          <w:rFonts w:ascii="Garamond" w:hAnsi="Garamond" w:cs="Tahoma"/>
          <w:i/>
          <w:iCs/>
          <w:color w:val="0A0A0A"/>
          <w:shd w:val="clear" w:color="auto" w:fill="FFFFFF"/>
        </w:rPr>
        <w:t>J</w:t>
      </w:r>
      <w:r w:rsidRPr="009966FB">
        <w:rPr>
          <w:rFonts w:ascii="Garamond" w:hAnsi="Garamond" w:cs="Tahoma"/>
          <w:i/>
          <w:iCs/>
          <w:color w:val="0A0A0A"/>
          <w:shd w:val="clear" w:color="auto" w:fill="FFFFFF"/>
        </w:rPr>
        <w:t>estliže se osoby, zboží, služby a kapitál pohybují v</w:t>
      </w:r>
      <w:r>
        <w:rPr>
          <w:rFonts w:ascii="Garamond" w:hAnsi="Garamond" w:cs="Tahoma"/>
          <w:i/>
          <w:iCs/>
          <w:color w:val="0A0A0A"/>
          <w:shd w:val="clear" w:color="auto" w:fill="FFFFFF"/>
        </w:rPr>
        <w:t> </w:t>
      </w:r>
      <w:r w:rsidRPr="009966FB">
        <w:rPr>
          <w:rFonts w:ascii="Garamond" w:hAnsi="Garamond" w:cs="Tahoma"/>
          <w:i/>
          <w:iCs/>
          <w:color w:val="0A0A0A"/>
          <w:shd w:val="clear" w:color="auto" w:fill="FFFFFF"/>
        </w:rPr>
        <w:t>evropském prostoru bez překážek, bylo by paradoxní obnovovat tyto bariéry z důvodu určitého fenoménu, který díky své povaze nezná ani státy ani kontinenty: znečištění. Jestliže tedy politika Společenství v</w:t>
      </w:r>
      <w:r>
        <w:rPr>
          <w:rFonts w:ascii="Garamond" w:hAnsi="Garamond" w:cs="Tahoma"/>
          <w:i/>
          <w:iCs/>
          <w:color w:val="0A0A0A"/>
          <w:shd w:val="clear" w:color="auto" w:fill="FFFFFF"/>
        </w:rPr>
        <w:t> </w:t>
      </w:r>
      <w:r w:rsidRPr="009966FB">
        <w:rPr>
          <w:rFonts w:ascii="Garamond" w:hAnsi="Garamond" w:cs="Tahoma"/>
          <w:i/>
          <w:iCs/>
          <w:color w:val="0A0A0A"/>
          <w:shd w:val="clear" w:color="auto" w:fill="FFFFFF"/>
        </w:rPr>
        <w:t>oblasti životního prostředí zahrnuje boj proti znečištění mezi různými členským</w:t>
      </w:r>
      <w:r w:rsidR="00451C4B">
        <w:rPr>
          <w:rFonts w:ascii="Garamond" w:hAnsi="Garamond" w:cs="Tahoma"/>
          <w:i/>
          <w:iCs/>
          <w:color w:val="0A0A0A"/>
          <w:shd w:val="clear" w:color="auto" w:fill="FFFFFF"/>
        </w:rPr>
        <w:t>i státy s vědomím, že tento boj </w:t>
      </w:r>
      <w:r w:rsidRPr="009966FB">
        <w:rPr>
          <w:rFonts w:ascii="Garamond" w:hAnsi="Garamond" w:cs="Tahoma"/>
          <w:i/>
          <w:iCs/>
          <w:color w:val="0A0A0A"/>
          <w:shd w:val="clear" w:color="auto" w:fill="FFFFFF"/>
        </w:rPr>
        <w:t>se</w:t>
      </w:r>
      <w:r>
        <w:rPr>
          <w:rFonts w:ascii="Garamond" w:hAnsi="Garamond" w:cs="Tahoma"/>
          <w:i/>
          <w:iCs/>
          <w:color w:val="0A0A0A"/>
          <w:shd w:val="clear" w:color="auto" w:fill="FFFFFF"/>
        </w:rPr>
        <w:t> </w:t>
      </w:r>
      <w:r w:rsidRPr="009966FB">
        <w:rPr>
          <w:rFonts w:ascii="Garamond" w:hAnsi="Garamond" w:cs="Tahoma"/>
          <w:i/>
          <w:iCs/>
          <w:color w:val="0A0A0A"/>
          <w:shd w:val="clear" w:color="auto" w:fill="FFFFFF"/>
        </w:rPr>
        <w:t>nevyhraje pouze z</w:t>
      </w:r>
      <w:r>
        <w:rPr>
          <w:rFonts w:ascii="Garamond" w:hAnsi="Garamond" w:cs="Tahoma"/>
          <w:i/>
          <w:iCs/>
          <w:color w:val="0A0A0A"/>
          <w:shd w:val="clear" w:color="auto" w:fill="FFFFFF"/>
        </w:rPr>
        <w:t> </w:t>
      </w:r>
      <w:r w:rsidRPr="009966FB">
        <w:rPr>
          <w:rFonts w:ascii="Garamond" w:hAnsi="Garamond" w:cs="Tahoma"/>
          <w:i/>
          <w:iCs/>
          <w:color w:val="0A0A0A"/>
          <w:shd w:val="clear" w:color="auto" w:fill="FFFFFF"/>
        </w:rPr>
        <w:t xml:space="preserve">jednoho místa, bylo by neúčelné dělit záměry podléhající povinnosti provést PVŽP </w:t>
      </w:r>
      <w:r>
        <w:rPr>
          <w:rFonts w:ascii="Garamond" w:hAnsi="Garamond" w:cs="Tahoma"/>
          <w:iCs/>
          <w:color w:val="0A0A0A"/>
          <w:shd w:val="clear" w:color="auto" w:fill="FFFFFF"/>
        </w:rPr>
        <w:t>[</w:t>
      </w:r>
      <w:r w:rsidRPr="00793DF1">
        <w:rPr>
          <w:rFonts w:ascii="Garamond" w:hAnsi="Garamond" w:cs="Tahoma"/>
          <w:iCs/>
          <w:color w:val="0A0A0A"/>
          <w:shd w:val="clear" w:color="auto" w:fill="FFFFFF"/>
        </w:rPr>
        <w:t>posouzení vlivů na životní prostředí – pozn. NSS</w:t>
      </w:r>
      <w:r>
        <w:rPr>
          <w:rFonts w:ascii="Garamond" w:hAnsi="Garamond" w:cs="Tahoma"/>
          <w:iCs/>
          <w:color w:val="0A0A0A"/>
          <w:shd w:val="clear" w:color="auto" w:fill="FFFFFF"/>
        </w:rPr>
        <w:t>]</w:t>
      </w:r>
      <w:r>
        <w:rPr>
          <w:rFonts w:ascii="Garamond" w:hAnsi="Garamond" w:cs="Tahoma"/>
          <w:i/>
          <w:iCs/>
          <w:color w:val="0A0A0A"/>
          <w:shd w:val="clear" w:color="auto" w:fill="FFFFFF"/>
        </w:rPr>
        <w:t xml:space="preserve"> </w:t>
      </w:r>
      <w:r w:rsidRPr="009966FB">
        <w:rPr>
          <w:rFonts w:ascii="Garamond" w:hAnsi="Garamond" w:cs="Tahoma"/>
          <w:i/>
          <w:iCs/>
          <w:color w:val="0A0A0A"/>
          <w:shd w:val="clear" w:color="auto" w:fill="FFFFFF"/>
        </w:rPr>
        <w:t>v závislosti na území, kterého se týká.“</w:t>
      </w:r>
    </w:p>
    <w:bookmarkEnd w:id="8"/>
    <w:p w14:paraId="46F6903D" w14:textId="77777777" w:rsidR="00C85187" w:rsidRPr="009966FB" w:rsidRDefault="00C85187" w:rsidP="00C85187">
      <w:pPr>
        <w:pStyle w:val="Odstavecseseznamem"/>
        <w:numPr>
          <w:ilvl w:val="0"/>
          <w:numId w:val="16"/>
        </w:numPr>
        <w:spacing w:after="240"/>
        <w:ind w:left="0" w:firstLine="0"/>
        <w:contextualSpacing w:val="0"/>
        <w:jc w:val="both"/>
        <w:rPr>
          <w:rFonts w:ascii="Garamond" w:hAnsi="Garamond"/>
        </w:rPr>
      </w:pPr>
      <w:r w:rsidRPr="009966FB">
        <w:rPr>
          <w:rFonts w:ascii="Garamond" w:hAnsi="Garamond"/>
        </w:rPr>
        <w:t xml:space="preserve">Na rozsudek Soudního dvora EU C-205/08 odkázal i NSS přímo ve vztahu k záměru R52 </w:t>
      </w:r>
      <w:r w:rsidRPr="009966FB">
        <w:rPr>
          <w:rFonts w:ascii="Garamond" w:hAnsi="Garamond" w:cs="Tahoma"/>
          <w:color w:val="0A0A0A"/>
          <w:shd w:val="clear" w:color="auto" w:fill="FFFFFF"/>
        </w:rPr>
        <w:t>v rozsudku ze dne 16. 11. 2018, čj. 2 As 354/2018-20, bod 15</w:t>
      </w:r>
      <w:r>
        <w:rPr>
          <w:rFonts w:ascii="Garamond" w:hAnsi="Garamond" w:cs="Tahoma"/>
          <w:color w:val="0A0A0A"/>
          <w:shd w:val="clear" w:color="auto" w:fill="FFFFFF"/>
        </w:rPr>
        <w:t>, takto</w:t>
      </w:r>
      <w:r w:rsidRPr="009966FB">
        <w:rPr>
          <w:rFonts w:ascii="Garamond" w:hAnsi="Garamond" w:cs="Tahoma"/>
          <w:color w:val="0A0A0A"/>
          <w:shd w:val="clear" w:color="auto" w:fill="FFFFFF"/>
        </w:rPr>
        <w:t xml:space="preserve">: </w:t>
      </w:r>
      <w:r>
        <w:rPr>
          <w:rFonts w:ascii="Garamond" w:hAnsi="Garamond" w:cs="Tahoma"/>
          <w:color w:val="0A0A0A"/>
          <w:shd w:val="clear" w:color="auto" w:fill="FFFFFF"/>
        </w:rPr>
        <w:t>„</w:t>
      </w:r>
      <w:r>
        <w:rPr>
          <w:rFonts w:ascii="Garamond" w:hAnsi="Garamond"/>
          <w:i/>
          <w:iCs/>
        </w:rPr>
        <w:t>V</w:t>
      </w:r>
      <w:r w:rsidRPr="009966FB">
        <w:rPr>
          <w:rFonts w:ascii="Garamond" w:hAnsi="Garamond"/>
          <w:i/>
          <w:iCs/>
        </w:rPr>
        <w:t xml:space="preserve"> zásadě není vyloučeno jeho </w:t>
      </w:r>
      <w:r w:rsidRPr="009966FB">
        <w:rPr>
          <w:rFonts w:ascii="Garamond" w:hAnsi="Garamond"/>
          <w:iCs/>
        </w:rPr>
        <w:t>[</w:t>
      </w:r>
      <w:r>
        <w:rPr>
          <w:rFonts w:ascii="Garamond" w:hAnsi="Garamond"/>
          <w:iCs/>
        </w:rPr>
        <w:t xml:space="preserve">tamního </w:t>
      </w:r>
      <w:r w:rsidRPr="009966FB">
        <w:rPr>
          <w:rFonts w:ascii="Garamond" w:hAnsi="Garamond"/>
          <w:iCs/>
        </w:rPr>
        <w:t>stěžovatele</w:t>
      </w:r>
      <w:r>
        <w:rPr>
          <w:rFonts w:ascii="Garamond" w:hAnsi="Garamond"/>
          <w:iCs/>
        </w:rPr>
        <w:t xml:space="preserve"> – pozn. NSS</w:t>
      </w:r>
      <w:r w:rsidRPr="009966FB">
        <w:rPr>
          <w:rFonts w:ascii="Garamond" w:hAnsi="Garamond"/>
          <w:iCs/>
        </w:rPr>
        <w:t>]</w:t>
      </w:r>
      <w:r w:rsidRPr="009966FB">
        <w:rPr>
          <w:rFonts w:ascii="Garamond" w:hAnsi="Garamond"/>
          <w:i/>
          <w:iCs/>
        </w:rPr>
        <w:t xml:space="preserve"> dotčení územní regulací jenom proto, že žije na území Rakouska, pokud ZÚR JMK </w:t>
      </w:r>
      <w:r w:rsidRPr="00793DF1">
        <w:rPr>
          <w:rFonts w:ascii="Garamond" w:hAnsi="Garamond"/>
          <w:iCs/>
        </w:rPr>
        <w:t>[Zásady územního rozvoje Jihomoravského kraje – pozn. NSS]</w:t>
      </w:r>
      <w:r>
        <w:rPr>
          <w:rFonts w:ascii="Garamond" w:hAnsi="Garamond"/>
          <w:i/>
          <w:iCs/>
        </w:rPr>
        <w:t xml:space="preserve"> </w:t>
      </w:r>
      <w:r w:rsidRPr="009966FB">
        <w:rPr>
          <w:rFonts w:ascii="Garamond" w:hAnsi="Garamond"/>
          <w:i/>
          <w:iCs/>
        </w:rPr>
        <w:t>počítají se stavbou, která může mít výrazné přeshraniční vlivy zasahující jeho nemovitosti. Stejně tak je namístě přihlédnout k tomu, že silnice R52 je součástí mezinárodního komunikačního propojení, a</w:t>
      </w:r>
      <w:r>
        <w:rPr>
          <w:rFonts w:ascii="Garamond" w:hAnsi="Garamond"/>
          <w:i/>
          <w:iCs/>
        </w:rPr>
        <w:t> </w:t>
      </w:r>
      <w:r w:rsidRPr="009966FB">
        <w:rPr>
          <w:rFonts w:ascii="Garamond" w:hAnsi="Garamond"/>
          <w:i/>
          <w:iCs/>
        </w:rPr>
        <w:t>už tím, že</w:t>
      </w:r>
      <w:r>
        <w:rPr>
          <w:rFonts w:ascii="Garamond" w:hAnsi="Garamond"/>
          <w:i/>
          <w:iCs/>
        </w:rPr>
        <w:t> </w:t>
      </w:r>
      <w:r w:rsidR="00451C4B">
        <w:rPr>
          <w:rFonts w:ascii="Garamond" w:hAnsi="Garamond"/>
          <w:i/>
          <w:iCs/>
        </w:rPr>
        <w:t>předpokládá určitou návaznost v </w:t>
      </w:r>
      <w:r w:rsidRPr="009966FB">
        <w:rPr>
          <w:rFonts w:ascii="Garamond" w:hAnsi="Garamond"/>
          <w:i/>
          <w:iCs/>
        </w:rPr>
        <w:t>další zemi, je třeba zabývat se jejími případnými dopady. Zde lze vážit např. i význam rozsudku SDEU ve věci C-205/08 (Umweltanwalt von Kärtnen). Nic z toho ovšem krajský soud zatím n</w:t>
      </w:r>
      <w:r w:rsidR="00451C4B">
        <w:rPr>
          <w:rFonts w:ascii="Garamond" w:hAnsi="Garamond"/>
          <w:i/>
          <w:iCs/>
        </w:rPr>
        <w:t>ehodnotil. Z toho, že návrh byl </w:t>
      </w:r>
      <w:r w:rsidRPr="009966FB">
        <w:rPr>
          <w:rFonts w:ascii="Garamond" w:hAnsi="Garamond"/>
          <w:i/>
          <w:iCs/>
        </w:rPr>
        <w:t>soudem odmítnut, pak plyne, že ve vztahu ke stěžovateli ani nemohl posuzovat věcné ani procesní výtky vůči ZÚR JMK; to totiž přichází v úvahu jedině v případě, že krajský soud ve</w:t>
      </w:r>
      <w:r>
        <w:rPr>
          <w:rFonts w:ascii="Garamond" w:hAnsi="Garamond"/>
          <w:i/>
          <w:iCs/>
        </w:rPr>
        <w:t> </w:t>
      </w:r>
      <w:r w:rsidRPr="009966FB">
        <w:rPr>
          <w:rFonts w:ascii="Garamond" w:hAnsi="Garamond"/>
          <w:i/>
          <w:iCs/>
        </w:rPr>
        <w:t>vztahu k nyní uplatněným důvodům aktivní legitimace tuto posoudí opačně.“</w:t>
      </w:r>
      <w:r w:rsidRPr="009966FB">
        <w:rPr>
          <w:rFonts w:ascii="Garamond" w:hAnsi="Garamond"/>
          <w:iCs/>
        </w:rPr>
        <w:t xml:space="preserve"> </w:t>
      </w:r>
      <w:r>
        <w:rPr>
          <w:rFonts w:ascii="Garamond" w:hAnsi="Garamond"/>
          <w:iCs/>
        </w:rPr>
        <w:t xml:space="preserve">NSS neshledal důvod se od této judikatury </w:t>
      </w:r>
      <w:r w:rsidRPr="00E636DB">
        <w:rPr>
          <w:rFonts w:ascii="Garamond" w:hAnsi="Garamond"/>
          <w:iCs/>
        </w:rPr>
        <w:t>odchýlit</w:t>
      </w:r>
      <w:r>
        <w:rPr>
          <w:rFonts w:ascii="Garamond" w:hAnsi="Garamond"/>
          <w:iCs/>
        </w:rPr>
        <w:t xml:space="preserve">. </w:t>
      </w:r>
    </w:p>
    <w:p w14:paraId="46F6903E" w14:textId="77777777" w:rsidR="00C85187" w:rsidRPr="00BF0011" w:rsidRDefault="00C85187" w:rsidP="00C85187">
      <w:pPr>
        <w:pStyle w:val="Odstavecseseznamem"/>
        <w:numPr>
          <w:ilvl w:val="0"/>
          <w:numId w:val="16"/>
        </w:numPr>
        <w:spacing w:after="240"/>
        <w:ind w:left="0" w:firstLine="0"/>
        <w:contextualSpacing w:val="0"/>
        <w:jc w:val="both"/>
        <w:rPr>
          <w:rFonts w:ascii="Garamond" w:hAnsi="Garamond"/>
        </w:rPr>
      </w:pPr>
      <w:bookmarkStart w:id="9" w:name="_Hlk74860400"/>
      <w:r w:rsidRPr="0076698F">
        <w:rPr>
          <w:rFonts w:ascii="Garamond" w:hAnsi="Garamond"/>
        </w:rPr>
        <w:t xml:space="preserve">Z výše uvedeného vyplývá, </w:t>
      </w:r>
      <w:r>
        <w:rPr>
          <w:rFonts w:ascii="Garamond" w:hAnsi="Garamond"/>
        </w:rPr>
        <w:t>že u</w:t>
      </w:r>
      <w:r w:rsidRPr="0076698F">
        <w:rPr>
          <w:rFonts w:ascii="Garamond" w:hAnsi="Garamond"/>
        </w:rPr>
        <w:t xml:space="preserve"> záměru R52 bylo </w:t>
      </w:r>
      <w:r>
        <w:rPr>
          <w:rFonts w:ascii="Garamond" w:hAnsi="Garamond"/>
        </w:rPr>
        <w:t>nutné</w:t>
      </w:r>
      <w:r w:rsidRPr="0076698F">
        <w:rPr>
          <w:rFonts w:ascii="Garamond" w:hAnsi="Garamond"/>
        </w:rPr>
        <w:t xml:space="preserve"> předpokládat přeshraniční vliv. </w:t>
      </w:r>
      <w:r>
        <w:rPr>
          <w:rFonts w:ascii="Garamond" w:hAnsi="Garamond"/>
        </w:rPr>
        <w:t xml:space="preserve">V těchto případech musí příslušný správní orgán provést přeshraniční EIA, ledaže existují důvody, pro které konkrétní záměr fakticky nemá vliv na životní prostředí přesahující hranice. Nepostačí však pouhé obecné konstatování, že </w:t>
      </w:r>
      <w:r w:rsidRPr="009966FB">
        <w:rPr>
          <w:rFonts w:ascii="Garamond" w:hAnsi="Garamond"/>
        </w:rPr>
        <w:t xml:space="preserve">vnitrostátní negativní vlivy </w:t>
      </w:r>
      <w:r>
        <w:rPr>
          <w:rFonts w:ascii="Garamond" w:hAnsi="Garamond"/>
        </w:rPr>
        <w:t xml:space="preserve">záměru </w:t>
      </w:r>
      <w:r w:rsidRPr="009966FB">
        <w:rPr>
          <w:rFonts w:ascii="Garamond" w:hAnsi="Garamond"/>
        </w:rPr>
        <w:t xml:space="preserve">jsou </w:t>
      </w:r>
      <w:r>
        <w:rPr>
          <w:rFonts w:ascii="Garamond" w:hAnsi="Garamond"/>
        </w:rPr>
        <w:t>řešeny</w:t>
      </w:r>
      <w:r w:rsidRPr="009966FB">
        <w:rPr>
          <w:rFonts w:ascii="Garamond" w:hAnsi="Garamond"/>
        </w:rPr>
        <w:t xml:space="preserve"> tak, aby </w:t>
      </w:r>
      <w:r>
        <w:rPr>
          <w:rFonts w:ascii="Garamond" w:hAnsi="Garamond"/>
        </w:rPr>
        <w:t>nebyly</w:t>
      </w:r>
      <w:r w:rsidRPr="009966FB">
        <w:rPr>
          <w:rFonts w:ascii="Garamond" w:hAnsi="Garamond"/>
        </w:rPr>
        <w:t> překračován</w:t>
      </w:r>
      <w:r>
        <w:rPr>
          <w:rFonts w:ascii="Garamond" w:hAnsi="Garamond"/>
        </w:rPr>
        <w:t>y</w:t>
      </w:r>
      <w:r w:rsidRPr="009966FB">
        <w:rPr>
          <w:rFonts w:ascii="Garamond" w:hAnsi="Garamond"/>
        </w:rPr>
        <w:t xml:space="preserve"> limit</w:t>
      </w:r>
      <w:r>
        <w:rPr>
          <w:rFonts w:ascii="Garamond" w:hAnsi="Garamond"/>
        </w:rPr>
        <w:t>y</w:t>
      </w:r>
      <w:r w:rsidRPr="009966FB">
        <w:rPr>
          <w:rFonts w:ascii="Garamond" w:hAnsi="Garamond"/>
        </w:rPr>
        <w:t xml:space="preserve"> znečištění životního prostředí</w:t>
      </w:r>
      <w:r>
        <w:rPr>
          <w:rFonts w:ascii="Garamond" w:hAnsi="Garamond"/>
        </w:rPr>
        <w:t xml:space="preserve">. </w:t>
      </w:r>
      <w:r w:rsidR="00451C4B">
        <w:rPr>
          <w:rFonts w:ascii="Garamond" w:hAnsi="Garamond"/>
        </w:rPr>
        <w:t>NSS zdůrazňuje, že záměr je </w:t>
      </w:r>
      <w:r w:rsidRPr="001B6C3C">
        <w:rPr>
          <w:rFonts w:ascii="Garamond" w:hAnsi="Garamond"/>
        </w:rPr>
        <w:t xml:space="preserve">nutné posuzovat vždy </w:t>
      </w:r>
      <w:r w:rsidRPr="00BF0011">
        <w:rPr>
          <w:rFonts w:ascii="Garamond" w:hAnsi="Garamond"/>
        </w:rPr>
        <w:t>jako celek</w:t>
      </w:r>
      <w:r w:rsidRPr="001B6C3C">
        <w:rPr>
          <w:rFonts w:ascii="Garamond" w:hAnsi="Garamond"/>
        </w:rPr>
        <w:t xml:space="preserve"> (srov. rozsudek Soudního dvora </w:t>
      </w:r>
      <w:r>
        <w:rPr>
          <w:rFonts w:ascii="Garamond" w:hAnsi="Garamond"/>
        </w:rPr>
        <w:t>EU</w:t>
      </w:r>
      <w:r w:rsidRPr="001B6C3C">
        <w:rPr>
          <w:rFonts w:ascii="Garamond" w:hAnsi="Garamond"/>
        </w:rPr>
        <w:t xml:space="preserve"> ze dne 25. 7. 2008</w:t>
      </w:r>
      <w:r>
        <w:rPr>
          <w:rFonts w:ascii="Garamond" w:hAnsi="Garamond"/>
        </w:rPr>
        <w:t>,</w:t>
      </w:r>
      <w:r w:rsidRPr="001B6C3C">
        <w:rPr>
          <w:rFonts w:ascii="Garamond" w:hAnsi="Garamond"/>
        </w:rPr>
        <w:t xml:space="preserve"> C</w:t>
      </w:r>
      <w:r w:rsidRPr="001B6C3C">
        <w:rPr>
          <w:rFonts w:ascii="Garamond" w:hAnsi="Garamond"/>
        </w:rPr>
        <w:noBreakHyphen/>
        <w:t xml:space="preserve">142/07, </w:t>
      </w:r>
      <w:r w:rsidRPr="0076698F">
        <w:rPr>
          <w:rFonts w:ascii="Garamond" w:hAnsi="Garamond"/>
          <w:i/>
        </w:rPr>
        <w:t>Ecologistas en Acción-CODA</w:t>
      </w:r>
      <w:r w:rsidRPr="0076698F">
        <w:rPr>
          <w:rFonts w:ascii="Garamond" w:hAnsi="Garamond"/>
        </w:rPr>
        <w:t>).</w:t>
      </w:r>
      <w:r w:rsidRPr="004B19C0">
        <w:rPr>
          <w:rFonts w:ascii="Garamond" w:hAnsi="Garamond"/>
        </w:rPr>
        <w:t xml:space="preserve"> V každém případě je stavební úřad povinen </w:t>
      </w:r>
      <w:r w:rsidRPr="00BF0011">
        <w:rPr>
          <w:rFonts w:ascii="Garamond" w:hAnsi="Garamond"/>
        </w:rPr>
        <w:t xml:space="preserve">naplnit (zajistit účinnost) čl. 6 odst. 4 směrnice EIA a umožnit dotčené veřejnosti účastnit se navazujícího řízení. </w:t>
      </w:r>
    </w:p>
    <w:bookmarkEnd w:id="9"/>
    <w:p w14:paraId="46F6903F" w14:textId="77777777" w:rsidR="00C85187" w:rsidRPr="00F44B54" w:rsidRDefault="00C85187" w:rsidP="00C85187">
      <w:pPr>
        <w:pStyle w:val="Odstavecseseznamem"/>
        <w:spacing w:after="240"/>
        <w:ind w:left="0"/>
        <w:contextualSpacing w:val="0"/>
        <w:jc w:val="center"/>
        <w:rPr>
          <w:rFonts w:ascii="Garamond" w:hAnsi="Garamond"/>
          <w:i/>
          <w:iCs/>
        </w:rPr>
      </w:pPr>
      <w:r w:rsidRPr="00F44B54">
        <w:rPr>
          <w:rFonts w:ascii="Garamond" w:hAnsi="Garamond"/>
          <w:i/>
          <w:iCs/>
        </w:rPr>
        <w:t>III. A</w:t>
      </w:r>
      <w:r w:rsidRPr="00BF0011">
        <w:rPr>
          <w:rFonts w:ascii="Garamond" w:hAnsi="Garamond"/>
          <w:i/>
          <w:iCs/>
        </w:rPr>
        <w:t xml:space="preserve">. </w:t>
      </w:r>
      <w:r w:rsidRPr="00E636DB">
        <w:rPr>
          <w:rFonts w:ascii="Garamond" w:hAnsi="Garamond"/>
          <w:i/>
          <w:iCs/>
        </w:rPr>
        <w:t>1</w:t>
      </w:r>
      <w:r w:rsidRPr="00BF0011">
        <w:rPr>
          <w:rFonts w:ascii="Garamond" w:hAnsi="Garamond"/>
          <w:i/>
          <w:iCs/>
        </w:rPr>
        <w:t>. Informační</w:t>
      </w:r>
      <w:r w:rsidRPr="00F44B54">
        <w:rPr>
          <w:rFonts w:ascii="Garamond" w:hAnsi="Garamond"/>
          <w:i/>
          <w:iCs/>
        </w:rPr>
        <w:t xml:space="preserve"> povinnost v řízení navazujícím na přeshraniční EIA</w:t>
      </w:r>
    </w:p>
    <w:p w14:paraId="46F69040" w14:textId="77777777" w:rsidR="00C85187" w:rsidRPr="00F44B54" w:rsidRDefault="00C85187" w:rsidP="00C85187">
      <w:pPr>
        <w:pStyle w:val="Odstavecseseznamem"/>
        <w:numPr>
          <w:ilvl w:val="0"/>
          <w:numId w:val="16"/>
        </w:numPr>
        <w:spacing w:after="240"/>
        <w:ind w:left="0" w:firstLine="0"/>
        <w:contextualSpacing w:val="0"/>
        <w:jc w:val="both"/>
      </w:pPr>
      <w:r w:rsidRPr="009966FB">
        <w:rPr>
          <w:rFonts w:ascii="Garamond" w:hAnsi="Garamond"/>
        </w:rPr>
        <w:t>Správní orgány jsou v navazujícím řízení povinny zveřejňovat větší množství údajů: informac</w:t>
      </w:r>
      <w:r>
        <w:rPr>
          <w:rFonts w:ascii="Garamond" w:hAnsi="Garamond"/>
        </w:rPr>
        <w:t>i</w:t>
      </w:r>
      <w:r w:rsidRPr="009966FB">
        <w:rPr>
          <w:rFonts w:ascii="Garamond" w:hAnsi="Garamond"/>
        </w:rPr>
        <w:t xml:space="preserve">, že </w:t>
      </w:r>
      <w:r w:rsidRPr="0092370B">
        <w:rPr>
          <w:rFonts w:ascii="Garamond" w:hAnsi="Garamond"/>
        </w:rPr>
        <w:t>u záměru byla provedena EIA, případně pře</w:t>
      </w:r>
      <w:r w:rsidR="00451C4B">
        <w:rPr>
          <w:rFonts w:ascii="Garamond" w:hAnsi="Garamond"/>
        </w:rPr>
        <w:t>shraniční EIA, včetně odkazu na </w:t>
      </w:r>
      <w:r w:rsidRPr="0092370B">
        <w:rPr>
          <w:rFonts w:ascii="Garamond" w:hAnsi="Garamond"/>
        </w:rPr>
        <w:t xml:space="preserve">zdroj informací; informace o příslušném orgánu; údaje o lhůtách; informace o povaze rozhodnutí; podmínky účasti veřejnosti. Široký přístup veřejnosti k informacím je v souladu s judikaturou Soudního dvora EU (srov. jeho rozsudek ze dne 15. 1. 2013, </w:t>
      </w:r>
      <w:hyperlink r:id="rId12" w:history="1">
        <w:r w:rsidRPr="0092370B">
          <w:rPr>
            <w:rFonts w:ascii="Garamond" w:hAnsi="Garamond"/>
          </w:rPr>
          <w:t>C-416/10</w:t>
        </w:r>
      </w:hyperlink>
      <w:r w:rsidRPr="0092370B">
        <w:rPr>
          <w:rFonts w:ascii="Garamond" w:hAnsi="Garamond"/>
        </w:rPr>
        <w:t xml:space="preserve">, </w:t>
      </w:r>
      <w:r>
        <w:rPr>
          <w:rFonts w:ascii="Garamond" w:hAnsi="Garamond"/>
          <w:i/>
        </w:rPr>
        <w:t>Križan a </w:t>
      </w:r>
      <w:r w:rsidRPr="0092370B">
        <w:rPr>
          <w:rFonts w:ascii="Garamond" w:hAnsi="Garamond"/>
          <w:i/>
        </w:rPr>
        <w:t>další</w:t>
      </w:r>
      <w:r w:rsidRPr="0092370B">
        <w:rPr>
          <w:rFonts w:ascii="Garamond" w:hAnsi="Garamond"/>
        </w:rPr>
        <w:t>). Přístup k informacím je</w:t>
      </w:r>
      <w:r w:rsidRPr="009966FB">
        <w:rPr>
          <w:rFonts w:ascii="Garamond" w:hAnsi="Garamond"/>
        </w:rPr>
        <w:t xml:space="preserve"> předpokladem účinného up</w:t>
      </w:r>
      <w:r>
        <w:rPr>
          <w:rFonts w:ascii="Garamond" w:hAnsi="Garamond"/>
        </w:rPr>
        <w:t>latnění opravných prostředků ve </w:t>
      </w:r>
      <w:r w:rsidRPr="009966FB">
        <w:rPr>
          <w:rFonts w:ascii="Garamond" w:hAnsi="Garamond"/>
        </w:rPr>
        <w:t>správním řízení a přístupu k soudní ochraně. Pokud právní předpis stanoví povinnost poskytnout veřejnosti praktické informace o přístupu k postupům správního a soudního přezk</w:t>
      </w:r>
      <w:r>
        <w:rPr>
          <w:rFonts w:ascii="Garamond" w:hAnsi="Garamond"/>
        </w:rPr>
        <w:t>umu</w:t>
      </w:r>
      <w:r w:rsidRPr="009966FB">
        <w:rPr>
          <w:rFonts w:ascii="Garamond" w:hAnsi="Garamond"/>
        </w:rPr>
        <w:t>, je nutné takovou povinnost vykládat široce (srov.</w:t>
      </w:r>
      <w:r>
        <w:rPr>
          <w:rFonts w:ascii="Garamond" w:hAnsi="Garamond"/>
        </w:rPr>
        <w:t xml:space="preserve"> rozsudek Soudního dvora EU ze dne 15. 1. 2013,</w:t>
      </w:r>
      <w:r w:rsidRPr="009966FB">
        <w:rPr>
          <w:rFonts w:ascii="Garamond" w:hAnsi="Garamond"/>
        </w:rPr>
        <w:t xml:space="preserve"> </w:t>
      </w:r>
      <w:hyperlink r:id="rId13" w:history="1">
        <w:r w:rsidRPr="009966FB">
          <w:rPr>
            <w:rFonts w:ascii="Garamond" w:hAnsi="Garamond"/>
          </w:rPr>
          <w:t>C-427/07</w:t>
        </w:r>
      </w:hyperlink>
      <w:r w:rsidRPr="009966FB">
        <w:rPr>
          <w:rFonts w:ascii="Garamond" w:hAnsi="Garamond"/>
          <w:i/>
        </w:rPr>
        <w:t>, Komise proti Irsku</w:t>
      </w:r>
      <w:r w:rsidRPr="009966FB">
        <w:rPr>
          <w:rFonts w:ascii="Garamond" w:hAnsi="Garamond"/>
        </w:rPr>
        <w:t>).</w:t>
      </w:r>
      <w:r>
        <w:rPr>
          <w:rFonts w:ascii="Garamond" w:hAnsi="Garamond"/>
        </w:rPr>
        <w:t xml:space="preserve"> </w:t>
      </w:r>
      <w:r w:rsidRPr="009966FB">
        <w:rPr>
          <w:rFonts w:ascii="Garamond" w:hAnsi="Garamond"/>
        </w:rPr>
        <w:t>Informačn</w:t>
      </w:r>
      <w:r>
        <w:rPr>
          <w:rFonts w:ascii="Garamond" w:hAnsi="Garamond"/>
        </w:rPr>
        <w:t>í povinnost správního orgánu se </w:t>
      </w:r>
      <w:r w:rsidRPr="009966FB">
        <w:rPr>
          <w:rFonts w:ascii="Garamond" w:hAnsi="Garamond"/>
        </w:rPr>
        <w:t>v případě správního řízení, které je navazujícím řízením</w:t>
      </w:r>
      <w:r>
        <w:rPr>
          <w:rFonts w:ascii="Garamond" w:hAnsi="Garamond"/>
        </w:rPr>
        <w:t>,</w:t>
      </w:r>
      <w:r w:rsidRPr="009966FB">
        <w:rPr>
          <w:rFonts w:ascii="Garamond" w:hAnsi="Garamond"/>
        </w:rPr>
        <w:t xml:space="preserve"> zjevně liší od informační povinnost</w:t>
      </w:r>
      <w:r>
        <w:rPr>
          <w:rFonts w:ascii="Garamond" w:hAnsi="Garamond"/>
        </w:rPr>
        <w:t>i</w:t>
      </w:r>
      <w:r w:rsidRPr="009966FB">
        <w:rPr>
          <w:rFonts w:ascii="Garamond" w:hAnsi="Garamond"/>
        </w:rPr>
        <w:t xml:space="preserve"> ve správním řízení, </w:t>
      </w:r>
      <w:r>
        <w:rPr>
          <w:rFonts w:ascii="Garamond" w:hAnsi="Garamond"/>
        </w:rPr>
        <w:t>jemuž</w:t>
      </w:r>
      <w:r w:rsidRPr="009966FB">
        <w:rPr>
          <w:rFonts w:ascii="Garamond" w:hAnsi="Garamond"/>
        </w:rPr>
        <w:t xml:space="preserve"> posuzování vlivů na životní prostře</w:t>
      </w:r>
      <w:r>
        <w:rPr>
          <w:rFonts w:ascii="Garamond" w:hAnsi="Garamond"/>
        </w:rPr>
        <w:t>dí nepředchází. Ustanovení § 9b </w:t>
      </w:r>
      <w:r w:rsidRPr="009966FB">
        <w:rPr>
          <w:rFonts w:ascii="Garamond" w:hAnsi="Garamond"/>
        </w:rPr>
        <w:t>zákona o posuzování vlivů je speciálním</w:t>
      </w:r>
      <w:r>
        <w:rPr>
          <w:rFonts w:ascii="Garamond" w:hAnsi="Garamond"/>
        </w:rPr>
        <w:t xml:space="preserve"> ustanovením</w:t>
      </w:r>
      <w:r w:rsidRPr="009966FB">
        <w:rPr>
          <w:rFonts w:ascii="Garamond" w:hAnsi="Garamond"/>
        </w:rPr>
        <w:t xml:space="preserve"> k</w:t>
      </w:r>
      <w:r>
        <w:rPr>
          <w:rFonts w:ascii="Garamond" w:hAnsi="Garamond"/>
        </w:rPr>
        <w:t> </w:t>
      </w:r>
      <w:r w:rsidRPr="009966FB">
        <w:rPr>
          <w:rFonts w:ascii="Garamond" w:hAnsi="Garamond"/>
        </w:rPr>
        <w:t>zákonům</w:t>
      </w:r>
      <w:r>
        <w:rPr>
          <w:rFonts w:ascii="Garamond" w:hAnsi="Garamond"/>
        </w:rPr>
        <w:t>, které upravují</w:t>
      </w:r>
      <w:r w:rsidRPr="009966FB">
        <w:rPr>
          <w:rFonts w:ascii="Garamond" w:hAnsi="Garamond"/>
        </w:rPr>
        <w:t xml:space="preserve"> informační povinnost v konkrétních správních řízeních</w:t>
      </w:r>
      <w:r>
        <w:rPr>
          <w:rFonts w:ascii="Garamond" w:hAnsi="Garamond"/>
        </w:rPr>
        <w:t xml:space="preserve"> (v projednávané věci k § 87 stavebního </w:t>
      </w:r>
      <w:r w:rsidRPr="00E148D6">
        <w:rPr>
          <w:rFonts w:ascii="Garamond" w:hAnsi="Garamond"/>
        </w:rPr>
        <w:t>zákona).</w:t>
      </w:r>
      <w:r w:rsidRPr="00E148D6">
        <w:t xml:space="preserve"> </w:t>
      </w:r>
      <w:r>
        <w:rPr>
          <w:rFonts w:ascii="Garamond" w:hAnsi="Garamond"/>
          <w:bCs/>
        </w:rPr>
        <w:t>Řádné</w:t>
      </w:r>
      <w:r w:rsidRPr="0076698F">
        <w:rPr>
          <w:rFonts w:ascii="Garamond" w:hAnsi="Garamond"/>
          <w:bCs/>
        </w:rPr>
        <w:t xml:space="preserve"> pos</w:t>
      </w:r>
      <w:r>
        <w:rPr>
          <w:rFonts w:ascii="Garamond" w:hAnsi="Garamond"/>
          <w:bCs/>
        </w:rPr>
        <w:t>o</w:t>
      </w:r>
      <w:r w:rsidRPr="0076698F">
        <w:rPr>
          <w:rFonts w:ascii="Garamond" w:hAnsi="Garamond"/>
          <w:bCs/>
        </w:rPr>
        <w:t>uz</w:t>
      </w:r>
      <w:r>
        <w:rPr>
          <w:rFonts w:ascii="Garamond" w:hAnsi="Garamond"/>
          <w:bCs/>
        </w:rPr>
        <w:t>e</w:t>
      </w:r>
      <w:r w:rsidRPr="0076698F">
        <w:rPr>
          <w:rFonts w:ascii="Garamond" w:hAnsi="Garamond"/>
          <w:bCs/>
        </w:rPr>
        <w:t>ní vlivů na životní prostředí tedy má vliv na procesní otázky účastenství v navazujícím řízení (mezi něž spadá otázka informační povinnosti)</w:t>
      </w:r>
      <w:r w:rsidRPr="00E148D6">
        <w:rPr>
          <w:rFonts w:ascii="Garamond" w:hAnsi="Garamond"/>
        </w:rPr>
        <w:t>.</w:t>
      </w:r>
      <w:r w:rsidRPr="00F44B54">
        <w:rPr>
          <w:rFonts w:ascii="Garamond" w:hAnsi="Garamond"/>
        </w:rPr>
        <w:t xml:space="preserve"> </w:t>
      </w:r>
    </w:p>
    <w:p w14:paraId="46F69041" w14:textId="77777777" w:rsidR="00C85187" w:rsidRPr="00B345F6" w:rsidRDefault="00C85187" w:rsidP="00C85187">
      <w:pPr>
        <w:pStyle w:val="Odstavecseseznamem"/>
        <w:numPr>
          <w:ilvl w:val="0"/>
          <w:numId w:val="16"/>
        </w:numPr>
        <w:spacing w:after="240"/>
        <w:ind w:left="0" w:firstLine="0"/>
        <w:contextualSpacing w:val="0"/>
        <w:jc w:val="both"/>
        <w:rPr>
          <w:rFonts w:ascii="Garamond" w:hAnsi="Garamond"/>
          <w:bCs/>
        </w:rPr>
      </w:pPr>
      <w:r>
        <w:rPr>
          <w:rFonts w:ascii="Garamond" w:hAnsi="Garamond"/>
        </w:rPr>
        <w:t xml:space="preserve">Z výše uvedeného vyplývá, že v projednávaném případě měl být předpokládán přeshraniční vliv záměru R52. </w:t>
      </w:r>
      <w:r w:rsidRPr="00100319">
        <w:rPr>
          <w:rFonts w:ascii="Garamond" w:hAnsi="Garamond"/>
        </w:rPr>
        <w:t xml:space="preserve">NSS se </w:t>
      </w:r>
      <w:r>
        <w:rPr>
          <w:rFonts w:ascii="Garamond" w:hAnsi="Garamond"/>
        </w:rPr>
        <w:t xml:space="preserve">proto </w:t>
      </w:r>
      <w:r w:rsidRPr="00100319">
        <w:rPr>
          <w:rFonts w:ascii="Garamond" w:hAnsi="Garamond"/>
        </w:rPr>
        <w:t xml:space="preserve">dále zabýval tím, </w:t>
      </w:r>
      <w:r w:rsidRPr="0076698F">
        <w:rPr>
          <w:rFonts w:ascii="Garamond" w:hAnsi="Garamond"/>
          <w:bCs/>
        </w:rPr>
        <w:t xml:space="preserve">zda se informační povinnost v navazujícím řízení liší v případě, </w:t>
      </w:r>
      <w:r>
        <w:rPr>
          <w:rFonts w:ascii="Garamond" w:hAnsi="Garamond"/>
          <w:bCs/>
        </w:rPr>
        <w:t>že</w:t>
      </w:r>
      <w:r w:rsidRPr="0076698F">
        <w:rPr>
          <w:rFonts w:ascii="Garamond" w:hAnsi="Garamond"/>
          <w:bCs/>
        </w:rPr>
        <w:t xml:space="preserve"> mu předchází </w:t>
      </w:r>
      <w:r w:rsidRPr="00C412C6">
        <w:rPr>
          <w:rFonts w:ascii="Garamond" w:hAnsi="Garamond"/>
          <w:bCs/>
        </w:rPr>
        <w:t>standardní</w:t>
      </w:r>
      <w:r w:rsidRPr="0076698F">
        <w:rPr>
          <w:rFonts w:ascii="Garamond" w:hAnsi="Garamond"/>
          <w:bCs/>
        </w:rPr>
        <w:t xml:space="preserve"> EIA</w:t>
      </w:r>
      <w:r>
        <w:rPr>
          <w:rFonts w:ascii="Garamond" w:hAnsi="Garamond"/>
          <w:bCs/>
        </w:rPr>
        <w:t>,</w:t>
      </w:r>
      <w:r w:rsidRPr="0076698F">
        <w:rPr>
          <w:rFonts w:ascii="Garamond" w:hAnsi="Garamond"/>
          <w:bCs/>
        </w:rPr>
        <w:t xml:space="preserve"> </w:t>
      </w:r>
      <w:r>
        <w:rPr>
          <w:rFonts w:ascii="Garamond" w:hAnsi="Garamond"/>
          <w:bCs/>
        </w:rPr>
        <w:t xml:space="preserve">od situace, kdy mu předchází </w:t>
      </w:r>
      <w:r w:rsidRPr="0076698F">
        <w:rPr>
          <w:rFonts w:ascii="Garamond" w:hAnsi="Garamond"/>
          <w:bCs/>
        </w:rPr>
        <w:t>přeshraniční EIA</w:t>
      </w:r>
      <w:r>
        <w:rPr>
          <w:rFonts w:ascii="Garamond" w:hAnsi="Garamond"/>
          <w:bCs/>
        </w:rPr>
        <w:t>. Proces</w:t>
      </w:r>
      <w:r>
        <w:rPr>
          <w:rFonts w:ascii="Garamond" w:hAnsi="Garamond"/>
        </w:rPr>
        <w:t xml:space="preserve"> </w:t>
      </w:r>
      <w:r w:rsidRPr="00100319">
        <w:rPr>
          <w:rFonts w:ascii="Garamond" w:hAnsi="Garamond"/>
        </w:rPr>
        <w:t>přeshraniční EIA</w:t>
      </w:r>
      <w:r>
        <w:rPr>
          <w:rFonts w:ascii="Garamond" w:hAnsi="Garamond"/>
        </w:rPr>
        <w:t xml:space="preserve"> je obdobný</w:t>
      </w:r>
      <w:r w:rsidRPr="00100319">
        <w:rPr>
          <w:rFonts w:ascii="Garamond" w:hAnsi="Garamond"/>
        </w:rPr>
        <w:t xml:space="preserve"> </w:t>
      </w:r>
      <w:r w:rsidRPr="00493F2F">
        <w:rPr>
          <w:rFonts w:ascii="Garamond" w:hAnsi="Garamond"/>
        </w:rPr>
        <w:t xml:space="preserve">jako </w:t>
      </w:r>
      <w:r w:rsidRPr="00C412C6">
        <w:rPr>
          <w:rFonts w:ascii="Garamond" w:hAnsi="Garamond"/>
        </w:rPr>
        <w:t>standardní</w:t>
      </w:r>
      <w:r w:rsidRPr="00493F2F">
        <w:rPr>
          <w:rFonts w:ascii="Garamond" w:hAnsi="Garamond"/>
        </w:rPr>
        <w:t xml:space="preserve"> EIA</w:t>
      </w:r>
      <w:r>
        <w:rPr>
          <w:rFonts w:ascii="Garamond" w:hAnsi="Garamond"/>
        </w:rPr>
        <w:t xml:space="preserve">; </w:t>
      </w:r>
      <w:r w:rsidRPr="003340D9">
        <w:rPr>
          <w:rFonts w:ascii="Garamond" w:hAnsi="Garamond"/>
        </w:rPr>
        <w:t>rozdíl spočívá v zapojení dotčeného státu a také v zapojení dotčené veřejnosti z dotčeného státu již v samotném procesu EIA. Zapojení</w:t>
      </w:r>
      <w:r w:rsidRPr="00493F2F">
        <w:rPr>
          <w:rFonts w:ascii="Garamond" w:hAnsi="Garamond"/>
        </w:rPr>
        <w:t xml:space="preserve"> v procesu přeshraniční EIA se projevuje konkrétně např. v povinnosti oznamovatele zajistit překlad oznámení záměru a</w:t>
      </w:r>
      <w:r>
        <w:rPr>
          <w:rFonts w:ascii="Garamond" w:hAnsi="Garamond"/>
        </w:rPr>
        <w:t> </w:t>
      </w:r>
      <w:r w:rsidRPr="00493F2F">
        <w:rPr>
          <w:rFonts w:ascii="Garamond" w:hAnsi="Garamond"/>
        </w:rPr>
        <w:t>překlad dokum</w:t>
      </w:r>
      <w:r w:rsidRPr="00E148D6">
        <w:rPr>
          <w:rFonts w:ascii="Garamond" w:hAnsi="Garamond"/>
        </w:rPr>
        <w:t>entace záměru (§</w:t>
      </w:r>
      <w:r w:rsidR="00451C4B">
        <w:rPr>
          <w:rFonts w:ascii="Garamond" w:hAnsi="Garamond"/>
        </w:rPr>
        <w:t> 13 odst. </w:t>
      </w:r>
      <w:r>
        <w:rPr>
          <w:rFonts w:ascii="Garamond" w:hAnsi="Garamond"/>
        </w:rPr>
        <w:t>1 a </w:t>
      </w:r>
      <w:r w:rsidRPr="00E148D6">
        <w:rPr>
          <w:rFonts w:ascii="Garamond" w:hAnsi="Garamond"/>
        </w:rPr>
        <w:t xml:space="preserve">odst. 3 zákona o posuzování vlivů). Ustanovení zákona o posuzování vlivů upravující navazující řízení oproti tomu </w:t>
      </w:r>
      <w:r w:rsidRPr="0076698F">
        <w:rPr>
          <w:rFonts w:ascii="Garamond" w:hAnsi="Garamond"/>
          <w:bCs/>
        </w:rPr>
        <w:t xml:space="preserve">nestanoví žádnou povinnost žadatele ani správního orgánu zajistit překlad žádosti či oznámení o zahájení </w:t>
      </w:r>
      <w:r w:rsidRPr="00BF0011">
        <w:rPr>
          <w:rFonts w:ascii="Garamond" w:hAnsi="Garamond"/>
          <w:bCs/>
        </w:rPr>
        <w:t>řízení</w:t>
      </w:r>
      <w:r>
        <w:rPr>
          <w:rFonts w:ascii="Garamond" w:hAnsi="Garamond"/>
          <w:bCs/>
        </w:rPr>
        <w:t xml:space="preserve"> ani dokumentace záměru</w:t>
      </w:r>
      <w:r w:rsidRPr="00BF0011">
        <w:rPr>
          <w:rFonts w:ascii="Garamond" w:hAnsi="Garamond"/>
        </w:rPr>
        <w:t xml:space="preserve">. </w:t>
      </w:r>
      <w:r w:rsidRPr="00BF0011">
        <w:rPr>
          <w:rFonts w:ascii="Garamond" w:hAnsi="Garamond"/>
          <w:bCs/>
        </w:rPr>
        <w:t xml:space="preserve">Český zákonodárce </w:t>
      </w:r>
      <w:r>
        <w:rPr>
          <w:rFonts w:ascii="Garamond" w:hAnsi="Garamond"/>
          <w:bCs/>
        </w:rPr>
        <w:t>tak </w:t>
      </w:r>
      <w:r w:rsidRPr="00BF0011">
        <w:rPr>
          <w:rFonts w:ascii="Garamond" w:hAnsi="Garamond"/>
          <w:bCs/>
        </w:rPr>
        <w:t xml:space="preserve">snižuje standard informační </w:t>
      </w:r>
      <w:r w:rsidRPr="00B345F6">
        <w:rPr>
          <w:rFonts w:ascii="Garamond" w:hAnsi="Garamond"/>
          <w:bCs/>
        </w:rPr>
        <w:t>povinnosti i přesto, že význam mož</w:t>
      </w:r>
      <w:r>
        <w:rPr>
          <w:rFonts w:ascii="Garamond" w:hAnsi="Garamond"/>
          <w:bCs/>
        </w:rPr>
        <w:t>né účasti dotčené veřejnosti se u </w:t>
      </w:r>
      <w:r w:rsidRPr="00B345F6">
        <w:rPr>
          <w:rFonts w:ascii="Garamond" w:hAnsi="Garamond"/>
          <w:bCs/>
        </w:rPr>
        <w:t>navazujícího řízení zvyšuje.</w:t>
      </w:r>
      <w:r w:rsidRPr="00B345F6">
        <w:rPr>
          <w:rFonts w:ascii="Garamond" w:hAnsi="Garamond"/>
        </w:rPr>
        <w:t xml:space="preserve"> Tato disproporce však nemůže </w:t>
      </w:r>
      <w:r>
        <w:rPr>
          <w:rFonts w:ascii="Garamond" w:hAnsi="Garamond"/>
        </w:rPr>
        <w:t>omezovat</w:t>
      </w:r>
      <w:r w:rsidRPr="00B345F6">
        <w:rPr>
          <w:rFonts w:ascii="Garamond" w:hAnsi="Garamond"/>
        </w:rPr>
        <w:t xml:space="preserve"> zapojení veřejnosti v navazujícím řízení. </w:t>
      </w:r>
    </w:p>
    <w:p w14:paraId="46F69042" w14:textId="77777777" w:rsidR="00C85187" w:rsidRDefault="00C85187" w:rsidP="00C85187">
      <w:pPr>
        <w:pStyle w:val="Odstavecseseznamem"/>
        <w:numPr>
          <w:ilvl w:val="0"/>
          <w:numId w:val="16"/>
        </w:numPr>
        <w:spacing w:after="240"/>
        <w:ind w:left="0" w:firstLine="0"/>
        <w:contextualSpacing w:val="0"/>
        <w:jc w:val="both"/>
        <w:rPr>
          <w:rFonts w:ascii="Garamond" w:hAnsi="Garamond"/>
          <w:bCs/>
        </w:rPr>
      </w:pPr>
      <w:r>
        <w:rPr>
          <w:rFonts w:ascii="Garamond" w:hAnsi="Garamond"/>
        </w:rPr>
        <w:t xml:space="preserve">Stávající vnitrostátní právní úprava snižuje standard informační povinnosti v navazujícím řízení oproti procesu EIA. Klade také nedůvodně vyšší nároky na zahraniční subjekty, pokud jde o jejich nutnou aktivitu pro získání informací o navazujícím řízení. České subjekty se o navazujícím řízení mohou dozvědět bez dalšího ze zveřejnění informací podle § 9b odst. 1 zákona o posuzování vlivů. Zahraniční subjekty nemají jinou možnost </w:t>
      </w:r>
      <w:r w:rsidRPr="00790080">
        <w:rPr>
          <w:rFonts w:ascii="Garamond" w:hAnsi="Garamond"/>
        </w:rPr>
        <w:t>dozvědět se o zahájení navazujícího řízení</w:t>
      </w:r>
      <w:r w:rsidRPr="00070E9F">
        <w:rPr>
          <w:rFonts w:ascii="Garamond" w:hAnsi="Garamond"/>
        </w:rPr>
        <w:t xml:space="preserve"> než </w:t>
      </w:r>
      <w:r w:rsidRPr="00793DF1">
        <w:rPr>
          <w:rFonts w:ascii="Garamond" w:hAnsi="Garamond"/>
        </w:rPr>
        <w:t>ze zahraniční úřední desky v jazyce, který je pro ně cizí</w:t>
      </w:r>
      <w:r w:rsidRPr="00BF0011">
        <w:rPr>
          <w:rFonts w:ascii="Garamond" w:hAnsi="Garamond"/>
        </w:rPr>
        <w:t xml:space="preserve">. </w:t>
      </w:r>
      <w:r w:rsidRPr="00E04E7E">
        <w:rPr>
          <w:rFonts w:ascii="Garamond" w:hAnsi="Garamond"/>
        </w:rPr>
        <w:t>I směrnice EIA (čl. 6 odst. 2) vychází z</w:t>
      </w:r>
      <w:r>
        <w:rPr>
          <w:rFonts w:ascii="Garamond" w:hAnsi="Garamond"/>
        </w:rPr>
        <w:t> </w:t>
      </w:r>
      <w:r w:rsidRPr="00E04E7E">
        <w:rPr>
          <w:rFonts w:ascii="Garamond" w:hAnsi="Garamond"/>
        </w:rPr>
        <w:t>toho, že je vhodné zveřejňovat informace vhodnými prostředky</w:t>
      </w:r>
      <w:r>
        <w:rPr>
          <w:rFonts w:ascii="Garamond" w:hAnsi="Garamond"/>
        </w:rPr>
        <w:t>,</w:t>
      </w:r>
      <w:r w:rsidR="00451C4B">
        <w:rPr>
          <w:rFonts w:ascii="Garamond" w:hAnsi="Garamond"/>
        </w:rPr>
        <w:t xml:space="preserve"> jako </w:t>
      </w:r>
      <w:r w:rsidRPr="00E04E7E">
        <w:rPr>
          <w:rFonts w:ascii="Garamond" w:hAnsi="Garamond"/>
        </w:rPr>
        <w:t>například elektronickými médii</w:t>
      </w:r>
      <w:r w:rsidRPr="00790080">
        <w:rPr>
          <w:rFonts w:ascii="Garamond" w:hAnsi="Garamond"/>
        </w:rPr>
        <w:t>.</w:t>
      </w:r>
      <w:r w:rsidRPr="00070E9F" w:rsidDel="00EB49AF">
        <w:rPr>
          <w:rFonts w:ascii="Garamond" w:hAnsi="Garamond"/>
        </w:rPr>
        <w:t xml:space="preserve"> </w:t>
      </w:r>
      <w:r w:rsidRPr="00BF0011">
        <w:rPr>
          <w:rFonts w:ascii="Garamond" w:hAnsi="Garamond"/>
        </w:rPr>
        <w:t>Nelze také opomíjet, že uvedené nedostatky v implementaci směrnice EIA nedopadají jen</w:t>
      </w:r>
      <w:r>
        <w:rPr>
          <w:rFonts w:ascii="Garamond" w:hAnsi="Garamond"/>
        </w:rPr>
        <w:t> </w:t>
      </w:r>
      <w:r w:rsidRPr="00070E9F">
        <w:rPr>
          <w:rFonts w:ascii="Garamond" w:hAnsi="Garamond"/>
        </w:rPr>
        <w:t>na územní řízení, ale na všechna</w:t>
      </w:r>
      <w:r w:rsidRPr="001B6D22">
        <w:rPr>
          <w:rFonts w:ascii="Garamond" w:hAnsi="Garamond"/>
        </w:rPr>
        <w:t xml:space="preserve"> navazující</w:t>
      </w:r>
      <w:r w:rsidRPr="00537113">
        <w:rPr>
          <w:rFonts w:ascii="Garamond" w:hAnsi="Garamond"/>
        </w:rPr>
        <w:t xml:space="preserve"> řízení podle zákona o</w:t>
      </w:r>
      <w:r>
        <w:rPr>
          <w:rFonts w:ascii="Garamond" w:hAnsi="Garamond"/>
        </w:rPr>
        <w:t> </w:t>
      </w:r>
      <w:r w:rsidRPr="00537113">
        <w:rPr>
          <w:rFonts w:ascii="Garamond" w:hAnsi="Garamond"/>
        </w:rPr>
        <w:t>posuzování vlivů.</w:t>
      </w:r>
    </w:p>
    <w:p w14:paraId="46F69043" w14:textId="77777777" w:rsidR="00C85187" w:rsidRPr="007668E0" w:rsidRDefault="00C85187" w:rsidP="00C85187">
      <w:pPr>
        <w:pStyle w:val="Odstavecseseznamem"/>
        <w:numPr>
          <w:ilvl w:val="0"/>
          <w:numId w:val="16"/>
        </w:numPr>
        <w:spacing w:after="240"/>
        <w:ind w:left="0" w:firstLine="0"/>
        <w:contextualSpacing w:val="0"/>
        <w:jc w:val="both"/>
        <w:rPr>
          <w:rFonts w:ascii="Garamond" w:hAnsi="Garamond"/>
          <w:bCs/>
        </w:rPr>
      </w:pPr>
      <w:bookmarkStart w:id="10" w:name="_Hlk74860539"/>
      <w:r w:rsidRPr="00970391">
        <w:rPr>
          <w:rFonts w:ascii="Garamond" w:hAnsi="Garamond"/>
        </w:rPr>
        <w:t xml:space="preserve">Vzhledem k výše zmíněným nedostatkům implementace směrnice EIA (srov. bod </w:t>
      </w:r>
      <w:r w:rsidRPr="002D08BE">
        <w:rPr>
          <w:rFonts w:ascii="Garamond" w:hAnsi="Garamond"/>
        </w:rPr>
        <w:t>24</w:t>
      </w:r>
      <w:r w:rsidRPr="00970391">
        <w:rPr>
          <w:rFonts w:ascii="Garamond" w:hAnsi="Garamond"/>
        </w:rPr>
        <w:t>) je</w:t>
      </w:r>
      <w:r>
        <w:rPr>
          <w:rFonts w:ascii="Garamond" w:hAnsi="Garamond"/>
        </w:rPr>
        <w:t> </w:t>
      </w:r>
      <w:r w:rsidRPr="00970391">
        <w:rPr>
          <w:rFonts w:ascii="Garamond" w:hAnsi="Garamond"/>
        </w:rPr>
        <w:t xml:space="preserve">nutno posoudit, zda se nejedná o situaci, která je v rozporu s požadavky směrnice EIA. V takovém případě by se </w:t>
      </w:r>
      <w:r>
        <w:rPr>
          <w:rFonts w:ascii="Garamond" w:hAnsi="Garamond"/>
        </w:rPr>
        <w:t xml:space="preserve">dotčená veřejnost, která se </w:t>
      </w:r>
      <w:r w:rsidRPr="00970391">
        <w:rPr>
          <w:rFonts w:ascii="Garamond" w:hAnsi="Garamond"/>
        </w:rPr>
        <w:t>přihlašuj</w:t>
      </w:r>
      <w:r>
        <w:rPr>
          <w:rFonts w:ascii="Garamond" w:hAnsi="Garamond"/>
        </w:rPr>
        <w:t>e</w:t>
      </w:r>
      <w:r w:rsidRPr="00970391">
        <w:rPr>
          <w:rFonts w:ascii="Garamond" w:hAnsi="Garamond"/>
        </w:rPr>
        <w:t xml:space="preserve"> do navazujícího řízení</w:t>
      </w:r>
      <w:r>
        <w:rPr>
          <w:rFonts w:ascii="Garamond" w:hAnsi="Garamond"/>
        </w:rPr>
        <w:t>,</w:t>
      </w:r>
      <w:r w:rsidRPr="00970391">
        <w:rPr>
          <w:rFonts w:ascii="Garamond" w:hAnsi="Garamond"/>
        </w:rPr>
        <w:t xml:space="preserve"> mohl</w:t>
      </w:r>
      <w:r>
        <w:rPr>
          <w:rFonts w:ascii="Garamond" w:hAnsi="Garamond"/>
        </w:rPr>
        <w:t>a</w:t>
      </w:r>
      <w:r w:rsidRPr="00970391">
        <w:rPr>
          <w:rFonts w:ascii="Garamond" w:hAnsi="Garamond"/>
        </w:rPr>
        <w:t xml:space="preserve"> </w:t>
      </w:r>
      <w:r w:rsidRPr="00E038EA">
        <w:rPr>
          <w:rFonts w:ascii="Garamond" w:hAnsi="Garamond"/>
        </w:rPr>
        <w:t>domáhat přímého účinku této směrnice.</w:t>
      </w:r>
    </w:p>
    <w:p w14:paraId="46F69044" w14:textId="77777777" w:rsidR="00C85187" w:rsidRPr="00970391" w:rsidRDefault="00C85187" w:rsidP="00C85187">
      <w:pPr>
        <w:pStyle w:val="Odstavecseseznamem"/>
        <w:numPr>
          <w:ilvl w:val="0"/>
          <w:numId w:val="16"/>
        </w:numPr>
        <w:spacing w:after="240"/>
        <w:ind w:left="0" w:firstLine="0"/>
        <w:contextualSpacing w:val="0"/>
        <w:jc w:val="both"/>
        <w:rPr>
          <w:rFonts w:ascii="Garamond" w:hAnsi="Garamond"/>
          <w:bCs/>
        </w:rPr>
      </w:pPr>
      <w:r w:rsidRPr="00970391">
        <w:rPr>
          <w:rFonts w:ascii="Garamond" w:hAnsi="Garamond"/>
        </w:rPr>
        <w:t xml:space="preserve">Účast v navazujícím řízení totiž zajišťuje </w:t>
      </w:r>
      <w:r>
        <w:rPr>
          <w:rFonts w:ascii="Garamond" w:hAnsi="Garamond"/>
        </w:rPr>
        <w:t xml:space="preserve">účinné naplnění </w:t>
      </w:r>
      <w:r w:rsidRPr="00970391">
        <w:rPr>
          <w:rFonts w:ascii="Garamond" w:hAnsi="Garamond"/>
        </w:rPr>
        <w:t>čl. 6 odst. 4 směrnice EIA a</w:t>
      </w:r>
      <w:r>
        <w:rPr>
          <w:rFonts w:ascii="Garamond" w:hAnsi="Garamond"/>
        </w:rPr>
        <w:t> </w:t>
      </w:r>
      <w:r w:rsidRPr="00970391">
        <w:rPr>
          <w:rFonts w:ascii="Garamond" w:hAnsi="Garamond"/>
        </w:rPr>
        <w:t>čl. 6 odst. 4 Aarhuské úmluvy</w:t>
      </w:r>
      <w:r>
        <w:rPr>
          <w:rFonts w:ascii="Garamond" w:hAnsi="Garamond"/>
        </w:rPr>
        <w:t>.</w:t>
      </w:r>
      <w:r w:rsidRPr="00970391">
        <w:rPr>
          <w:rFonts w:ascii="Garamond" w:hAnsi="Garamond"/>
        </w:rPr>
        <w:t xml:space="preserve"> </w:t>
      </w:r>
      <w:r>
        <w:rPr>
          <w:rFonts w:ascii="Garamond" w:hAnsi="Garamond"/>
        </w:rPr>
        <w:t>P</w:t>
      </w:r>
      <w:r w:rsidRPr="00970391">
        <w:rPr>
          <w:rFonts w:ascii="Garamond" w:hAnsi="Garamond"/>
        </w:rPr>
        <w:t xml:space="preserve">odle </w:t>
      </w:r>
      <w:r>
        <w:rPr>
          <w:rFonts w:ascii="Garamond" w:hAnsi="Garamond"/>
        </w:rPr>
        <w:t>nich</w:t>
      </w:r>
      <w:r w:rsidRPr="00970391">
        <w:rPr>
          <w:rFonts w:ascii="Garamond" w:hAnsi="Garamond"/>
        </w:rPr>
        <w:t xml:space="preserve"> </w:t>
      </w:r>
      <w:r w:rsidRPr="00970391">
        <w:rPr>
          <w:rFonts w:ascii="Garamond" w:hAnsi="Garamond"/>
          <w:bCs/>
        </w:rPr>
        <w:t xml:space="preserve">musí dotčená veřejnost dostat včasnou a účinnou možnost účastnit se rozhodovacích řízení a vyjádřit své připomínky a stanoviska v době, </w:t>
      </w:r>
      <w:r w:rsidR="00451C4B">
        <w:rPr>
          <w:rFonts w:ascii="Garamond" w:hAnsi="Garamond"/>
        </w:rPr>
        <w:t>kdy </w:t>
      </w:r>
      <w:r w:rsidRPr="00A02D1C">
        <w:rPr>
          <w:rFonts w:ascii="Garamond" w:hAnsi="Garamond"/>
        </w:rPr>
        <w:t>jsou</w:t>
      </w:r>
      <w:r w:rsidR="00451C4B">
        <w:rPr>
          <w:rFonts w:ascii="Garamond" w:hAnsi="Garamond"/>
        </w:rPr>
        <w:t> </w:t>
      </w:r>
      <w:r w:rsidRPr="00A02D1C">
        <w:rPr>
          <w:rFonts w:ascii="Garamond" w:hAnsi="Garamond"/>
        </w:rPr>
        <w:t>všechny</w:t>
      </w:r>
      <w:r>
        <w:rPr>
          <w:rFonts w:ascii="Garamond" w:hAnsi="Garamond"/>
        </w:rPr>
        <w:t xml:space="preserve"> varianty ještě otevřené,</w:t>
      </w:r>
      <w:r w:rsidRPr="00970391">
        <w:rPr>
          <w:rFonts w:ascii="Garamond" w:hAnsi="Garamond"/>
          <w:bCs/>
        </w:rPr>
        <w:t xml:space="preserve"> tedy před rozhodnutím o žádosti o povolení.</w:t>
      </w:r>
      <w:r w:rsidRPr="00970391">
        <w:rPr>
          <w:rFonts w:ascii="Garamond" w:hAnsi="Garamond"/>
        </w:rPr>
        <w:t xml:space="preserve"> Skutečnost, že navazujícímu řízení předcházel </w:t>
      </w:r>
      <w:r>
        <w:rPr>
          <w:rFonts w:ascii="Garamond" w:hAnsi="Garamond"/>
        </w:rPr>
        <w:t>proces EIA</w:t>
      </w:r>
      <w:r w:rsidRPr="00970391">
        <w:rPr>
          <w:rFonts w:ascii="Garamond" w:hAnsi="Garamond"/>
        </w:rPr>
        <w:t xml:space="preserve"> (ať už přeshraniční nebo </w:t>
      </w:r>
      <w:r>
        <w:rPr>
          <w:rFonts w:ascii="Garamond" w:hAnsi="Garamond"/>
        </w:rPr>
        <w:t>standardní</w:t>
      </w:r>
      <w:r w:rsidRPr="00970391">
        <w:rPr>
          <w:rFonts w:ascii="Garamond" w:hAnsi="Garamond"/>
        </w:rPr>
        <w:t>), s sebou nese povinnost účinného zapojení dotčené veřejnosti v navazujícím řízení</w:t>
      </w:r>
      <w:r w:rsidRPr="00970391">
        <w:rPr>
          <w:rFonts w:ascii="Garamond" w:hAnsi="Garamond"/>
          <w:bCs/>
        </w:rPr>
        <w:t>.</w:t>
      </w:r>
    </w:p>
    <w:p w14:paraId="46F69045" w14:textId="77777777" w:rsidR="00C85187" w:rsidRDefault="00C85187" w:rsidP="00C85187">
      <w:pPr>
        <w:pStyle w:val="Odstavecseseznamem"/>
        <w:numPr>
          <w:ilvl w:val="0"/>
          <w:numId w:val="16"/>
        </w:numPr>
        <w:spacing w:after="240"/>
        <w:ind w:left="0" w:firstLine="0"/>
        <w:contextualSpacing w:val="0"/>
        <w:jc w:val="both"/>
        <w:rPr>
          <w:rFonts w:ascii="Garamond" w:hAnsi="Garamond"/>
          <w:bCs/>
        </w:rPr>
      </w:pPr>
      <w:bookmarkStart w:id="11" w:name="_Hlk74860578"/>
      <w:bookmarkEnd w:id="10"/>
      <w:r>
        <w:rPr>
          <w:rFonts w:ascii="Garamond" w:hAnsi="Garamond"/>
          <w:bCs/>
        </w:rPr>
        <w:t xml:space="preserve">NSS dospěl k závěru, </w:t>
      </w:r>
      <w:r w:rsidRPr="008D07AE">
        <w:rPr>
          <w:rFonts w:ascii="Garamond" w:hAnsi="Garamond"/>
          <w:bCs/>
        </w:rPr>
        <w:t xml:space="preserve">že </w:t>
      </w:r>
      <w:r>
        <w:rPr>
          <w:rFonts w:ascii="Garamond" w:hAnsi="Garamond"/>
          <w:bCs/>
        </w:rPr>
        <w:t>zveřejnění informací</w:t>
      </w:r>
      <w:r w:rsidRPr="0076698F">
        <w:rPr>
          <w:rFonts w:ascii="Garamond" w:hAnsi="Garamond"/>
          <w:bCs/>
        </w:rPr>
        <w:t xml:space="preserve"> správní</w:t>
      </w:r>
      <w:r>
        <w:rPr>
          <w:rFonts w:ascii="Garamond" w:hAnsi="Garamond"/>
          <w:bCs/>
        </w:rPr>
        <w:t>mi</w:t>
      </w:r>
      <w:r w:rsidRPr="0076698F">
        <w:rPr>
          <w:rFonts w:ascii="Garamond" w:hAnsi="Garamond"/>
          <w:bCs/>
        </w:rPr>
        <w:t xml:space="preserve"> orgán</w:t>
      </w:r>
      <w:r>
        <w:rPr>
          <w:rFonts w:ascii="Garamond" w:hAnsi="Garamond"/>
          <w:bCs/>
        </w:rPr>
        <w:t>y</w:t>
      </w:r>
      <w:r w:rsidRPr="0076698F">
        <w:rPr>
          <w:rFonts w:ascii="Garamond" w:hAnsi="Garamond"/>
          <w:bCs/>
        </w:rPr>
        <w:t xml:space="preserve"> v navazujícím řízení </w:t>
      </w:r>
      <w:r>
        <w:rPr>
          <w:rFonts w:ascii="Garamond" w:hAnsi="Garamond"/>
          <w:bCs/>
        </w:rPr>
        <w:t>má </w:t>
      </w:r>
      <w:r w:rsidRPr="0076698F">
        <w:rPr>
          <w:rFonts w:ascii="Garamond" w:hAnsi="Garamond"/>
          <w:bCs/>
        </w:rPr>
        <w:t xml:space="preserve">odpovídat kvalitě </w:t>
      </w:r>
      <w:r>
        <w:rPr>
          <w:rFonts w:ascii="Garamond" w:hAnsi="Garamond"/>
          <w:bCs/>
        </w:rPr>
        <w:t>jejich poskytnutí</w:t>
      </w:r>
      <w:r w:rsidRPr="0076698F">
        <w:rPr>
          <w:rFonts w:ascii="Garamond" w:hAnsi="Garamond"/>
          <w:bCs/>
        </w:rPr>
        <w:t xml:space="preserve"> v předch</w:t>
      </w:r>
      <w:r>
        <w:rPr>
          <w:rFonts w:ascii="Garamond" w:hAnsi="Garamond"/>
          <w:bCs/>
        </w:rPr>
        <w:t>ozí</w:t>
      </w:r>
      <w:r w:rsidRPr="0076698F">
        <w:rPr>
          <w:rFonts w:ascii="Garamond" w:hAnsi="Garamond"/>
          <w:bCs/>
        </w:rPr>
        <w:t xml:space="preserve">m procesu EIA. </w:t>
      </w:r>
      <w:r>
        <w:rPr>
          <w:rFonts w:ascii="Garamond" w:hAnsi="Garamond"/>
          <w:bCs/>
        </w:rPr>
        <w:t>Pokud </w:t>
      </w:r>
      <w:r w:rsidRPr="0076698F">
        <w:rPr>
          <w:rFonts w:ascii="Garamond" w:hAnsi="Garamond"/>
          <w:bCs/>
        </w:rPr>
        <w:t xml:space="preserve">je </w:t>
      </w:r>
      <w:r>
        <w:rPr>
          <w:rFonts w:ascii="Garamond" w:hAnsi="Garamond"/>
          <w:bCs/>
        </w:rPr>
        <w:t>nutné</w:t>
      </w:r>
      <w:r w:rsidRPr="0076698F">
        <w:rPr>
          <w:rFonts w:ascii="Garamond" w:hAnsi="Garamond"/>
          <w:bCs/>
        </w:rPr>
        <w:t xml:space="preserve"> provést přeshraniční </w:t>
      </w:r>
      <w:r>
        <w:rPr>
          <w:rFonts w:ascii="Garamond" w:hAnsi="Garamond"/>
          <w:bCs/>
        </w:rPr>
        <w:t xml:space="preserve">proces </w:t>
      </w:r>
      <w:r w:rsidRPr="0076698F">
        <w:rPr>
          <w:rFonts w:ascii="Garamond" w:hAnsi="Garamond"/>
          <w:bCs/>
        </w:rPr>
        <w:t xml:space="preserve">EIA, měla by informační povinnost v navazujícím řízení odpovídat </w:t>
      </w:r>
      <w:r>
        <w:rPr>
          <w:rFonts w:ascii="Garamond" w:hAnsi="Garamond"/>
          <w:bCs/>
        </w:rPr>
        <w:t xml:space="preserve">alespoň </w:t>
      </w:r>
      <w:r w:rsidRPr="0076698F">
        <w:rPr>
          <w:rFonts w:ascii="Garamond" w:hAnsi="Garamond"/>
          <w:bCs/>
        </w:rPr>
        <w:t>informační povinnost</w:t>
      </w:r>
      <w:r>
        <w:rPr>
          <w:rFonts w:ascii="Garamond" w:hAnsi="Garamond"/>
          <w:bCs/>
        </w:rPr>
        <w:t>i</w:t>
      </w:r>
      <w:r w:rsidRPr="0076698F">
        <w:rPr>
          <w:rFonts w:ascii="Garamond" w:hAnsi="Garamond"/>
          <w:bCs/>
        </w:rPr>
        <w:t xml:space="preserve"> v předchozím přeshraničním posouzení EIA. </w:t>
      </w:r>
      <w:r>
        <w:rPr>
          <w:rFonts w:ascii="Garamond" w:hAnsi="Garamond"/>
          <w:bCs/>
        </w:rPr>
        <w:t xml:space="preserve">Tak by se včas a účinně </w:t>
      </w:r>
      <w:r w:rsidRPr="0076698F">
        <w:rPr>
          <w:rFonts w:ascii="Garamond" w:hAnsi="Garamond"/>
          <w:bCs/>
        </w:rPr>
        <w:t>umožn</w:t>
      </w:r>
      <w:r>
        <w:rPr>
          <w:rFonts w:ascii="Garamond" w:hAnsi="Garamond"/>
          <w:bCs/>
        </w:rPr>
        <w:t>ila</w:t>
      </w:r>
      <w:r w:rsidRPr="0076698F">
        <w:rPr>
          <w:rFonts w:ascii="Garamond" w:hAnsi="Garamond"/>
          <w:bCs/>
        </w:rPr>
        <w:t xml:space="preserve"> účast dotčené veřejnosti z dotčeného státu</w:t>
      </w:r>
      <w:r>
        <w:rPr>
          <w:rFonts w:ascii="Garamond" w:hAnsi="Garamond"/>
          <w:bCs/>
        </w:rPr>
        <w:t xml:space="preserve"> v navazujícím řízení</w:t>
      </w:r>
      <w:r w:rsidRPr="0076698F">
        <w:rPr>
          <w:rFonts w:ascii="Garamond" w:hAnsi="Garamond"/>
          <w:bCs/>
        </w:rPr>
        <w:t xml:space="preserve">. </w:t>
      </w:r>
      <w:r>
        <w:rPr>
          <w:rFonts w:ascii="Garamond" w:hAnsi="Garamond"/>
          <w:bCs/>
        </w:rPr>
        <w:t>V</w:t>
      </w:r>
      <w:r w:rsidRPr="0076698F">
        <w:rPr>
          <w:rFonts w:ascii="Garamond" w:hAnsi="Garamond"/>
          <w:bCs/>
        </w:rPr>
        <w:t xml:space="preserve"> zákoně o posuzování vlivů </w:t>
      </w:r>
      <w:r>
        <w:rPr>
          <w:rFonts w:ascii="Garamond" w:hAnsi="Garamond"/>
          <w:bCs/>
        </w:rPr>
        <w:t xml:space="preserve">však </w:t>
      </w:r>
      <w:r w:rsidRPr="0076698F">
        <w:rPr>
          <w:rFonts w:ascii="Garamond" w:hAnsi="Garamond"/>
          <w:bCs/>
        </w:rPr>
        <w:t>chybí zákonné zmocnění</w:t>
      </w:r>
      <w:r>
        <w:rPr>
          <w:rFonts w:ascii="Garamond" w:hAnsi="Garamond"/>
          <w:bCs/>
        </w:rPr>
        <w:t xml:space="preserve"> k</w:t>
      </w:r>
      <w:r w:rsidRPr="0076698F">
        <w:rPr>
          <w:rFonts w:ascii="Garamond" w:hAnsi="Garamond"/>
          <w:bCs/>
        </w:rPr>
        <w:t xml:space="preserve"> takovému </w:t>
      </w:r>
      <w:r>
        <w:rPr>
          <w:rFonts w:ascii="Garamond" w:hAnsi="Garamond"/>
          <w:bCs/>
        </w:rPr>
        <w:t>postupu</w:t>
      </w:r>
      <w:r w:rsidRPr="0076698F">
        <w:rPr>
          <w:rFonts w:ascii="Garamond" w:hAnsi="Garamond"/>
          <w:bCs/>
        </w:rPr>
        <w:t xml:space="preserve">. </w:t>
      </w:r>
      <w:r w:rsidRPr="00B91F38">
        <w:rPr>
          <w:rFonts w:ascii="Garamond" w:hAnsi="Garamond"/>
          <w:bCs/>
        </w:rPr>
        <w:t xml:space="preserve">I přes uvedené nedostatky vnitrostátní právní úpravy je správní orgán povinen počínat si tak, aby s ohledem na přímý účinek směrnice EIA (srov. bod </w:t>
      </w:r>
      <w:r w:rsidRPr="002D08BE">
        <w:rPr>
          <w:rFonts w:ascii="Garamond" w:hAnsi="Garamond"/>
          <w:bCs/>
        </w:rPr>
        <w:t>22</w:t>
      </w:r>
      <w:r w:rsidRPr="00B91F38">
        <w:rPr>
          <w:rFonts w:ascii="Garamond" w:hAnsi="Garamond"/>
          <w:bCs/>
        </w:rPr>
        <w:t>) zajistil plnou účinnost čl. 6 odst. 4 směrnice EIA. A tedy umožnit efektivní účast dotčené veřejnosti z dotčeného státu v řízení navazujícím na přeshraniční EIA.</w:t>
      </w:r>
    </w:p>
    <w:p w14:paraId="46F69046" w14:textId="77777777" w:rsidR="00C85187" w:rsidRPr="0092370B" w:rsidRDefault="00C85187" w:rsidP="00C85187">
      <w:pPr>
        <w:pStyle w:val="Odstavecseseznamem"/>
        <w:numPr>
          <w:ilvl w:val="0"/>
          <w:numId w:val="16"/>
        </w:numPr>
        <w:spacing w:after="240"/>
        <w:ind w:left="0" w:firstLine="0"/>
        <w:contextualSpacing w:val="0"/>
        <w:jc w:val="both"/>
        <w:rPr>
          <w:rFonts w:ascii="Garamond" w:hAnsi="Garamond"/>
          <w:bCs/>
        </w:rPr>
      </w:pPr>
      <w:r w:rsidRPr="0092370B">
        <w:rPr>
          <w:rFonts w:ascii="Garamond" w:hAnsi="Garamond"/>
          <w:bCs/>
        </w:rPr>
        <w:t>Vstřícný a transparentní přístup správních orgánů, který umožní efektivní účast dotčené veřejnosti, může zabránit v přenosu procesní zátěže na odvo</w:t>
      </w:r>
      <w:r>
        <w:rPr>
          <w:rFonts w:ascii="Garamond" w:hAnsi="Garamond"/>
          <w:bCs/>
        </w:rPr>
        <w:t>lací správní orgány, potažmo na </w:t>
      </w:r>
      <w:r w:rsidRPr="0092370B">
        <w:rPr>
          <w:rFonts w:ascii="Garamond" w:hAnsi="Garamond"/>
          <w:bCs/>
        </w:rPr>
        <w:t>správní soudy. Důvodem je zejména to, že podání odvol</w:t>
      </w:r>
      <w:r>
        <w:rPr>
          <w:rFonts w:ascii="Garamond" w:hAnsi="Garamond"/>
          <w:bCs/>
        </w:rPr>
        <w:t>ání podle § 9c odst. 4 zákona o </w:t>
      </w:r>
      <w:r w:rsidRPr="0092370B">
        <w:rPr>
          <w:rFonts w:ascii="Garamond" w:hAnsi="Garamond"/>
          <w:bCs/>
        </w:rPr>
        <w:t xml:space="preserve">posuzování vlivů ani podání správní žaloby proti rozhodnutí vydanému v navazujícím řízení není podmíněno předchozí účastí v tomto řízení. Vyřešení otázky účastenství dotčené veřejnosti již v prvním stupni navazujícího řízení (popřípadě i rozhodnutí o jejích námitkách) usnadňuje pozici odvolacímu orgánu a pravděpodobně povede i k urychlení řízení. Nedůvodná ignorace snah dotčené veřejnosti zapojit se v navazujícím řízení může naopak výrazně prodloužit dobu nutnou pro uskutečnění záměru namísto žádoucího zkrácení </w:t>
      </w:r>
      <w:bookmarkEnd w:id="11"/>
      <w:r w:rsidRPr="0092370B">
        <w:rPr>
          <w:rFonts w:ascii="Garamond" w:hAnsi="Garamond"/>
          <w:bCs/>
        </w:rPr>
        <w:t xml:space="preserve">(ač odkazovaná argumentace nemá normativní význam, pro inspiraci srov. odlišné stanovisko Kateřiny Šimáčkové, Ludvíka Davida, Jana Filipa, Jaromíra Jirsy, Vojtěcha Šimíčka, Davida Uhlíře a Jiřího Zemánka k výroku I nálezu Ústavního soudu ze dne 26. 1. 2021, sp. zn. Pl. ÚS 22/17, nebo VOMÁČKA, Vojtěch, ŽIDEK, Dominik. </w:t>
      </w:r>
      <w:r w:rsidRPr="0092370B">
        <w:rPr>
          <w:rFonts w:ascii="Garamond" w:hAnsi="Garamond"/>
          <w:bCs/>
          <w:i/>
          <w:iCs/>
        </w:rPr>
        <w:t>Omezení účastenství ekologických spolků: Pyrrhovo vítězství stavební lobby. České právo životního prostředí</w:t>
      </w:r>
      <w:r w:rsidRPr="0092370B">
        <w:rPr>
          <w:rFonts w:ascii="Garamond" w:hAnsi="Garamond"/>
          <w:bCs/>
        </w:rPr>
        <w:t>, 2017, č. 45, s. 36).</w:t>
      </w:r>
    </w:p>
    <w:p w14:paraId="46F69047" w14:textId="77777777" w:rsidR="00C85187" w:rsidRPr="00B345F6" w:rsidRDefault="00C85187" w:rsidP="00C85187">
      <w:pPr>
        <w:pStyle w:val="Odstavecseseznamem"/>
        <w:numPr>
          <w:ilvl w:val="0"/>
          <w:numId w:val="16"/>
        </w:numPr>
        <w:spacing w:after="240"/>
        <w:ind w:left="0" w:firstLine="0"/>
        <w:contextualSpacing w:val="0"/>
        <w:jc w:val="both"/>
        <w:rPr>
          <w:rFonts w:ascii="Garamond" w:hAnsi="Garamond"/>
          <w:bCs/>
        </w:rPr>
      </w:pPr>
      <w:r w:rsidRPr="00B345F6">
        <w:rPr>
          <w:rFonts w:ascii="Garamond" w:hAnsi="Garamond"/>
          <w:bCs/>
        </w:rPr>
        <w:t xml:space="preserve">NSS podotýká, že i při tomto postupu mohou správní orgány reagovat na možné zneužití účastenských práv, aniž by však předem bránily účasti dotčené veřejnosti. </w:t>
      </w:r>
      <w:r>
        <w:rPr>
          <w:rFonts w:ascii="Garamond" w:hAnsi="Garamond"/>
          <w:bCs/>
        </w:rPr>
        <w:t xml:space="preserve">Tomu, aby byla účastenská práva zneužívána, </w:t>
      </w:r>
      <w:r w:rsidRPr="00B345F6">
        <w:rPr>
          <w:rFonts w:ascii="Garamond" w:hAnsi="Garamond"/>
          <w:bCs/>
        </w:rPr>
        <w:t xml:space="preserve">brání zejména povinnost splnit podmínky </w:t>
      </w:r>
      <w:r>
        <w:rPr>
          <w:rFonts w:ascii="Garamond" w:hAnsi="Garamond"/>
          <w:bCs/>
        </w:rPr>
        <w:t>dotčené veřejnosti v § 3 </w:t>
      </w:r>
      <w:r w:rsidRPr="00B345F6">
        <w:rPr>
          <w:rFonts w:ascii="Garamond" w:hAnsi="Garamond"/>
          <w:bCs/>
        </w:rPr>
        <w:t xml:space="preserve">písm. i) bodu 2 zákona o posuzování vlivů. </w:t>
      </w:r>
    </w:p>
    <w:p w14:paraId="46F69048" w14:textId="77777777" w:rsidR="00C85187" w:rsidRPr="005B3B89" w:rsidRDefault="00C85187" w:rsidP="00C85187">
      <w:pPr>
        <w:spacing w:after="240"/>
        <w:jc w:val="center"/>
        <w:rPr>
          <w:rFonts w:ascii="Garamond" w:hAnsi="Garamond"/>
          <w:i/>
          <w:iCs/>
        </w:rPr>
      </w:pPr>
      <w:r w:rsidRPr="005B3B89">
        <w:rPr>
          <w:rFonts w:ascii="Garamond" w:hAnsi="Garamond"/>
          <w:i/>
          <w:iCs/>
        </w:rPr>
        <w:t>III</w:t>
      </w:r>
      <w:r w:rsidRPr="003A726D">
        <w:rPr>
          <w:rFonts w:ascii="Garamond" w:hAnsi="Garamond"/>
          <w:i/>
          <w:iCs/>
        </w:rPr>
        <w:t>. A. 2.</w:t>
      </w:r>
      <w:r w:rsidRPr="005B3B89">
        <w:rPr>
          <w:rFonts w:ascii="Garamond" w:hAnsi="Garamond"/>
          <w:i/>
          <w:iCs/>
        </w:rPr>
        <w:t xml:space="preserve"> </w:t>
      </w:r>
      <w:r>
        <w:rPr>
          <w:rFonts w:ascii="Garamond" w:hAnsi="Garamond"/>
          <w:i/>
          <w:iCs/>
        </w:rPr>
        <w:t>Aplikace obecných závěrů na projednávaný případ</w:t>
      </w:r>
    </w:p>
    <w:p w14:paraId="46F69049" w14:textId="77777777" w:rsidR="00C85187" w:rsidRPr="005B3B89" w:rsidRDefault="00C85187" w:rsidP="00C85187">
      <w:pPr>
        <w:pStyle w:val="Odstavecseseznamem"/>
        <w:numPr>
          <w:ilvl w:val="0"/>
          <w:numId w:val="16"/>
        </w:numPr>
        <w:spacing w:after="240"/>
        <w:ind w:left="0" w:firstLine="0"/>
        <w:contextualSpacing w:val="0"/>
        <w:jc w:val="both"/>
        <w:rPr>
          <w:rFonts w:ascii="Garamond" w:hAnsi="Garamond"/>
          <w:bCs/>
        </w:rPr>
      </w:pPr>
      <w:bookmarkStart w:id="12" w:name="_Hlk74860603"/>
      <w:r w:rsidRPr="009966FB">
        <w:rPr>
          <w:rFonts w:ascii="Garamond" w:hAnsi="Garamond"/>
        </w:rPr>
        <w:t>Podle NSS je z podání žalobce ze dne 7. 8. 2017 zřejmé, že se snažil do řízení přihlásit jako dotčená veřejnost tak, jak tento pojem chápe Aarhuská úmluva, směrnice EIA i zákon o</w:t>
      </w:r>
      <w:r>
        <w:rPr>
          <w:rFonts w:ascii="Garamond" w:hAnsi="Garamond"/>
        </w:rPr>
        <w:t> </w:t>
      </w:r>
      <w:r w:rsidRPr="009966FB">
        <w:rPr>
          <w:rFonts w:ascii="Garamond" w:hAnsi="Garamond"/>
        </w:rPr>
        <w:t>posuzování vlivů.</w:t>
      </w:r>
      <w:r>
        <w:rPr>
          <w:rFonts w:ascii="Garamond" w:hAnsi="Garamond"/>
        </w:rPr>
        <w:t xml:space="preserve"> Konkrétně žalobce uvedl, že </w:t>
      </w:r>
      <w:r w:rsidRPr="0076698F">
        <w:rPr>
          <w:rFonts w:ascii="Garamond" w:hAnsi="Garamond"/>
          <w:i/>
        </w:rPr>
        <w:t xml:space="preserve">„v souladu s těmito mezinárodními úmluvami </w:t>
      </w:r>
      <w:r w:rsidRPr="00100319">
        <w:rPr>
          <w:rFonts w:ascii="Garamond" w:hAnsi="Garamond"/>
        </w:rPr>
        <w:t>[v</w:t>
      </w:r>
      <w:r>
        <w:rPr>
          <w:rFonts w:ascii="Garamond" w:hAnsi="Garamond"/>
        </w:rPr>
        <w:t> </w:t>
      </w:r>
      <w:r w:rsidRPr="0076698F">
        <w:rPr>
          <w:rFonts w:ascii="Garamond" w:hAnsi="Garamond"/>
        </w:rPr>
        <w:t>předchozím textu odkaz</w:t>
      </w:r>
      <w:r>
        <w:rPr>
          <w:rFonts w:ascii="Garamond" w:hAnsi="Garamond"/>
        </w:rPr>
        <w:t>oval</w:t>
      </w:r>
      <w:r w:rsidRPr="0076698F">
        <w:rPr>
          <w:rFonts w:ascii="Garamond" w:hAnsi="Garamond"/>
        </w:rPr>
        <w:t xml:space="preserve"> na Aarhuskou úmluvu a Úmluvu z</w:t>
      </w:r>
      <w:r>
        <w:rPr>
          <w:rFonts w:ascii="Garamond" w:hAnsi="Garamond"/>
        </w:rPr>
        <w:t> </w:t>
      </w:r>
      <w:r w:rsidRPr="0076698F">
        <w:rPr>
          <w:rFonts w:ascii="Garamond" w:hAnsi="Garamond"/>
        </w:rPr>
        <w:t>Espoo</w:t>
      </w:r>
      <w:r>
        <w:rPr>
          <w:rFonts w:ascii="Garamond" w:hAnsi="Garamond"/>
        </w:rPr>
        <w:t xml:space="preserve"> – pozn. NSS</w:t>
      </w:r>
      <w:r w:rsidRPr="0076698F">
        <w:rPr>
          <w:rFonts w:ascii="Garamond" w:hAnsi="Garamond"/>
        </w:rPr>
        <w:t>]</w:t>
      </w:r>
      <w:r w:rsidRPr="0076698F">
        <w:rPr>
          <w:rFonts w:ascii="Garamond" w:hAnsi="Garamond"/>
          <w:i/>
        </w:rPr>
        <w:t xml:space="preserve"> a</w:t>
      </w:r>
      <w:r>
        <w:rPr>
          <w:rFonts w:ascii="Garamond" w:hAnsi="Garamond"/>
          <w:i/>
        </w:rPr>
        <w:t> </w:t>
      </w:r>
      <w:r w:rsidRPr="0076698F">
        <w:rPr>
          <w:rFonts w:ascii="Garamond" w:hAnsi="Garamond"/>
          <w:i/>
        </w:rPr>
        <w:t>nezpochybnitelným principem rovnosti občanů EU si nárokujeme statu</w:t>
      </w:r>
      <w:r>
        <w:rPr>
          <w:rFonts w:ascii="Garamond" w:hAnsi="Garamond"/>
          <w:i/>
        </w:rPr>
        <w:t>s</w:t>
      </w:r>
      <w:r w:rsidRPr="0076698F">
        <w:rPr>
          <w:rFonts w:ascii="Garamond" w:hAnsi="Garamond"/>
          <w:i/>
        </w:rPr>
        <w:t xml:space="preserve"> účastníka předmětného územního řízení</w:t>
      </w:r>
      <w:r>
        <w:rPr>
          <w:rFonts w:ascii="Garamond" w:hAnsi="Garamond"/>
          <w:i/>
        </w:rPr>
        <w:t>“.</w:t>
      </w:r>
      <w:r w:rsidRPr="009966FB">
        <w:rPr>
          <w:rFonts w:ascii="Garamond" w:hAnsi="Garamond"/>
        </w:rPr>
        <w:t xml:space="preserve"> Správní orgán </w:t>
      </w:r>
      <w:r>
        <w:rPr>
          <w:rFonts w:ascii="Garamond" w:hAnsi="Garamond"/>
        </w:rPr>
        <w:t>je </w:t>
      </w:r>
      <w:r w:rsidRPr="009966FB">
        <w:rPr>
          <w:rFonts w:ascii="Garamond" w:hAnsi="Garamond"/>
        </w:rPr>
        <w:t>v souladu s § 37 odst. 1 správního řádu</w:t>
      </w:r>
      <w:r>
        <w:rPr>
          <w:rFonts w:ascii="Garamond" w:hAnsi="Garamond"/>
        </w:rPr>
        <w:t xml:space="preserve"> povinen</w:t>
      </w:r>
      <w:r w:rsidRPr="009966FB">
        <w:rPr>
          <w:rFonts w:ascii="Garamond" w:hAnsi="Garamond"/>
        </w:rPr>
        <w:t xml:space="preserve"> posuzovat podání podle skutečného obsahu a</w:t>
      </w:r>
      <w:r>
        <w:rPr>
          <w:rFonts w:ascii="Garamond" w:hAnsi="Garamond"/>
        </w:rPr>
        <w:t> </w:t>
      </w:r>
      <w:r w:rsidRPr="009966FB">
        <w:rPr>
          <w:rFonts w:ascii="Garamond" w:hAnsi="Garamond"/>
        </w:rPr>
        <w:t>bez ohledu na označení.</w:t>
      </w:r>
      <w:r w:rsidRPr="009966FB">
        <w:rPr>
          <w:rFonts w:ascii="Garamond" w:hAnsi="Garamond"/>
          <w:bCs/>
        </w:rPr>
        <w:t xml:space="preserve"> </w:t>
      </w:r>
      <w:r w:rsidRPr="0040441C">
        <w:rPr>
          <w:rFonts w:ascii="Garamond" w:hAnsi="Garamond"/>
          <w:bCs/>
        </w:rPr>
        <w:t>Stavební úřad měl za to, že oznámení o účasti postrádá obecné i</w:t>
      </w:r>
      <w:r>
        <w:rPr>
          <w:rFonts w:ascii="Garamond" w:hAnsi="Garamond"/>
          <w:bCs/>
        </w:rPr>
        <w:t> </w:t>
      </w:r>
      <w:r w:rsidRPr="0040441C">
        <w:rPr>
          <w:rFonts w:ascii="Garamond" w:hAnsi="Garamond"/>
          <w:bCs/>
        </w:rPr>
        <w:t xml:space="preserve">zvláštní zákonné náležitosti podání. </w:t>
      </w:r>
      <w:r>
        <w:rPr>
          <w:rFonts w:ascii="Garamond" w:hAnsi="Garamond"/>
          <w:bCs/>
        </w:rPr>
        <w:t>V takovém případě byl</w:t>
      </w:r>
      <w:r w:rsidRPr="0040441C">
        <w:rPr>
          <w:rFonts w:ascii="Garamond" w:hAnsi="Garamond"/>
          <w:bCs/>
        </w:rPr>
        <w:t xml:space="preserve"> povinen </w:t>
      </w:r>
      <w:r>
        <w:rPr>
          <w:rFonts w:ascii="Garamond" w:hAnsi="Garamond"/>
          <w:bCs/>
        </w:rPr>
        <w:t xml:space="preserve">žalobci </w:t>
      </w:r>
      <w:r w:rsidRPr="0040441C">
        <w:rPr>
          <w:rFonts w:ascii="Garamond" w:hAnsi="Garamond"/>
          <w:bCs/>
        </w:rPr>
        <w:t>postup</w:t>
      </w:r>
      <w:r>
        <w:rPr>
          <w:rFonts w:ascii="Garamond" w:hAnsi="Garamond"/>
          <w:bCs/>
        </w:rPr>
        <w:t>em</w:t>
      </w:r>
      <w:r w:rsidRPr="0040441C">
        <w:rPr>
          <w:rFonts w:ascii="Garamond" w:hAnsi="Garamond"/>
          <w:bCs/>
        </w:rPr>
        <w:t xml:space="preserve"> podle § 37 odst. 3 správního řádu buď pomoci s o</w:t>
      </w:r>
      <w:r w:rsidR="00451C4B">
        <w:rPr>
          <w:rFonts w:ascii="Garamond" w:hAnsi="Garamond"/>
          <w:bCs/>
        </w:rPr>
        <w:t>dstraněním nedostatků, nebo jej </w:t>
      </w:r>
      <w:r w:rsidRPr="0040441C">
        <w:rPr>
          <w:rFonts w:ascii="Garamond" w:hAnsi="Garamond"/>
          <w:bCs/>
        </w:rPr>
        <w:t>vyzvat ke</w:t>
      </w:r>
      <w:r>
        <w:rPr>
          <w:rFonts w:ascii="Garamond" w:hAnsi="Garamond"/>
          <w:bCs/>
        </w:rPr>
        <w:t> z</w:t>
      </w:r>
      <w:r w:rsidRPr="0040441C">
        <w:rPr>
          <w:rFonts w:ascii="Garamond" w:hAnsi="Garamond"/>
          <w:bCs/>
        </w:rPr>
        <w:t xml:space="preserve">jednání nápravy. Takový </w:t>
      </w:r>
      <w:r>
        <w:rPr>
          <w:rFonts w:ascii="Garamond" w:hAnsi="Garamond"/>
          <w:bCs/>
        </w:rPr>
        <w:t>pří</w:t>
      </w:r>
      <w:r w:rsidRPr="0040441C">
        <w:rPr>
          <w:rFonts w:ascii="Garamond" w:hAnsi="Garamond"/>
          <w:bCs/>
        </w:rPr>
        <w:t xml:space="preserve">stup </w:t>
      </w:r>
      <w:r>
        <w:rPr>
          <w:rFonts w:ascii="Garamond" w:hAnsi="Garamond"/>
          <w:bCs/>
        </w:rPr>
        <w:t xml:space="preserve">by byl </w:t>
      </w:r>
      <w:r w:rsidRPr="0040441C">
        <w:rPr>
          <w:rFonts w:ascii="Garamond" w:hAnsi="Garamond"/>
          <w:bCs/>
        </w:rPr>
        <w:t xml:space="preserve">v </w:t>
      </w:r>
      <w:r>
        <w:rPr>
          <w:rFonts w:ascii="Garamond" w:hAnsi="Garamond"/>
          <w:bCs/>
        </w:rPr>
        <w:t>souladu</w:t>
      </w:r>
      <w:r w:rsidRPr="0040441C">
        <w:rPr>
          <w:rFonts w:ascii="Garamond" w:hAnsi="Garamond"/>
          <w:bCs/>
        </w:rPr>
        <w:t xml:space="preserve"> s pojetím veřejné správy jako služby veřejnosti </w:t>
      </w:r>
      <w:r>
        <w:rPr>
          <w:rFonts w:ascii="Garamond" w:hAnsi="Garamond"/>
          <w:bCs/>
        </w:rPr>
        <w:t xml:space="preserve">ve smyslu </w:t>
      </w:r>
      <w:r w:rsidRPr="0040441C">
        <w:rPr>
          <w:rFonts w:ascii="Garamond" w:hAnsi="Garamond"/>
          <w:bCs/>
        </w:rPr>
        <w:t>§</w:t>
      </w:r>
      <w:r>
        <w:rPr>
          <w:rFonts w:ascii="Garamond" w:hAnsi="Garamond"/>
          <w:bCs/>
        </w:rPr>
        <w:t> </w:t>
      </w:r>
      <w:r w:rsidRPr="0040441C">
        <w:rPr>
          <w:rFonts w:ascii="Garamond" w:hAnsi="Garamond"/>
          <w:bCs/>
        </w:rPr>
        <w:t xml:space="preserve">4 odst. 1 správního řádu. </w:t>
      </w:r>
      <w:r>
        <w:rPr>
          <w:rFonts w:ascii="Garamond" w:hAnsi="Garamond"/>
          <w:bCs/>
        </w:rPr>
        <w:t>Poté, co by žalobce na výzvu stavebního úřadu odstranil vady svého podání, mu měl stavební úřad buď umožnit účast v řízení, nebo podle § 28 odst. 1 správního řádu rozhodnout o tom, že žalobce účastníkem územního řízení není.</w:t>
      </w:r>
    </w:p>
    <w:p w14:paraId="46F6904A" w14:textId="77777777" w:rsidR="00C85187" w:rsidRPr="005B3B89" w:rsidRDefault="00C85187" w:rsidP="00C85187">
      <w:pPr>
        <w:pStyle w:val="Odstavecseseznamem"/>
        <w:numPr>
          <w:ilvl w:val="0"/>
          <w:numId w:val="16"/>
        </w:numPr>
        <w:spacing w:after="240"/>
        <w:ind w:left="0" w:firstLine="0"/>
        <w:contextualSpacing w:val="0"/>
        <w:jc w:val="both"/>
        <w:rPr>
          <w:rFonts w:ascii="Garamond" w:hAnsi="Garamond"/>
          <w:bCs/>
        </w:rPr>
      </w:pPr>
      <w:r>
        <w:rPr>
          <w:rFonts w:ascii="Garamond" w:hAnsi="Garamond"/>
          <w:bCs/>
        </w:rPr>
        <w:t xml:space="preserve">Pro </w:t>
      </w:r>
      <w:r w:rsidRPr="0076698F">
        <w:rPr>
          <w:rFonts w:ascii="Garamond" w:hAnsi="Garamond"/>
          <w:bCs/>
        </w:rPr>
        <w:t>napln</w:t>
      </w:r>
      <w:r>
        <w:rPr>
          <w:rFonts w:ascii="Garamond" w:hAnsi="Garamond"/>
          <w:bCs/>
        </w:rPr>
        <w:t>ění</w:t>
      </w:r>
      <w:r w:rsidRPr="0076698F">
        <w:rPr>
          <w:rFonts w:ascii="Garamond" w:hAnsi="Garamond"/>
          <w:bCs/>
        </w:rPr>
        <w:t xml:space="preserve"> požadavk</w:t>
      </w:r>
      <w:r>
        <w:rPr>
          <w:rFonts w:ascii="Garamond" w:hAnsi="Garamond"/>
          <w:bCs/>
        </w:rPr>
        <w:t>ů</w:t>
      </w:r>
      <w:r w:rsidRPr="0076698F">
        <w:rPr>
          <w:rFonts w:ascii="Garamond" w:hAnsi="Garamond"/>
          <w:bCs/>
        </w:rPr>
        <w:t xml:space="preserve"> čl. 6 odst. 4 směrnice EIA a zákazu</w:t>
      </w:r>
      <w:r w:rsidR="00451C4B">
        <w:rPr>
          <w:rFonts w:ascii="Garamond" w:hAnsi="Garamond"/>
          <w:bCs/>
        </w:rPr>
        <w:t xml:space="preserve"> diskriminace podle čl. 3 odst. </w:t>
      </w:r>
      <w:r w:rsidRPr="0076698F">
        <w:rPr>
          <w:rFonts w:ascii="Garamond" w:hAnsi="Garamond"/>
          <w:bCs/>
        </w:rPr>
        <w:t xml:space="preserve">9 Aarhuské úmluvy byl stavební úřad povinen zabývat se přihláškou </w:t>
      </w:r>
      <w:r>
        <w:rPr>
          <w:rFonts w:ascii="Garamond" w:hAnsi="Garamond"/>
          <w:bCs/>
        </w:rPr>
        <w:t xml:space="preserve">žalobce </w:t>
      </w:r>
      <w:r w:rsidRPr="0076698F">
        <w:rPr>
          <w:rFonts w:ascii="Garamond" w:hAnsi="Garamond"/>
          <w:bCs/>
        </w:rPr>
        <w:t>do</w:t>
      </w:r>
      <w:r>
        <w:rPr>
          <w:rFonts w:ascii="Garamond" w:hAnsi="Garamond"/>
          <w:bCs/>
        </w:rPr>
        <w:t> </w:t>
      </w:r>
      <w:r w:rsidRPr="0076698F">
        <w:rPr>
          <w:rFonts w:ascii="Garamond" w:hAnsi="Garamond"/>
          <w:bCs/>
        </w:rPr>
        <w:t>navazujícího řízení podle § 9c odst. 3 zákona o posuzování vlivů,</w:t>
      </w:r>
      <w:r>
        <w:rPr>
          <w:rFonts w:ascii="Garamond" w:hAnsi="Garamond"/>
          <w:bCs/>
        </w:rPr>
        <w:t xml:space="preserve"> </w:t>
      </w:r>
      <w:r w:rsidRPr="00E038EA">
        <w:rPr>
          <w:rFonts w:ascii="Garamond" w:hAnsi="Garamond"/>
          <w:bCs/>
        </w:rPr>
        <w:t>i když byla podána opožděně, pokud</w:t>
      </w:r>
      <w:r w:rsidRPr="0076698F">
        <w:rPr>
          <w:rFonts w:ascii="Garamond" w:hAnsi="Garamond"/>
          <w:bCs/>
        </w:rPr>
        <w:t xml:space="preserve"> tato přihláška nebyla zároveň zjevně obstrukční.</w:t>
      </w:r>
      <w:r w:rsidRPr="009966FB">
        <w:rPr>
          <w:rFonts w:ascii="Garamond" w:hAnsi="Garamond"/>
        </w:rPr>
        <w:t xml:space="preserve"> </w:t>
      </w:r>
      <w:r>
        <w:rPr>
          <w:rFonts w:ascii="Garamond" w:hAnsi="Garamond"/>
        </w:rPr>
        <w:t xml:space="preserve">Stavební úřad totiž nenaplnil požadavky, které klade směrnice EIA ve vztahu k účinnému zveřejnění informací o navazujícím řízení, tak, aby se o nich mohl včas dozvědět i zahraniční subjekt. Proto měl stavební úřad projevit vstřícnost při posuzování podání žalobce ze dne 7. 8. 2017. Přihláška do řízení zároveň nebyla zjevně obstrukční, neboť ji žalobce podal pouze několik dní po uplynutí lhůty </w:t>
      </w:r>
      <w:r w:rsidR="00451C4B">
        <w:rPr>
          <w:rFonts w:ascii="Garamond" w:hAnsi="Garamond"/>
        </w:rPr>
        <w:t>pro její </w:t>
      </w:r>
      <w:r>
        <w:rPr>
          <w:rFonts w:ascii="Garamond" w:hAnsi="Garamond"/>
        </w:rPr>
        <w:t>podání. Územní rozhodnutí bylo přitom vydáno až dne 11. 9. 2018. Navíc stavební úřad veřejnou vyhláškou ze dne 31. 1. 2018 oznámil nové projednání územního řízení a zveřejnil pozvánku k veřejnému ústnímu jednání. Žalobci tak běžela nová lhůta k po</w:t>
      </w:r>
      <w:r w:rsidR="00451C4B">
        <w:rPr>
          <w:rFonts w:ascii="Garamond" w:hAnsi="Garamond"/>
        </w:rPr>
        <w:t>dání přihlášky do </w:t>
      </w:r>
      <w:r>
        <w:rPr>
          <w:rFonts w:ascii="Garamond" w:hAnsi="Garamond"/>
        </w:rPr>
        <w:t xml:space="preserve">navazujícího řízení. Nelze mu však vyčítat, že se znovu </w:t>
      </w:r>
      <w:r w:rsidR="00451C4B">
        <w:rPr>
          <w:rFonts w:ascii="Garamond" w:hAnsi="Garamond"/>
        </w:rPr>
        <w:t>do řízení nepřihlásil, pokud ho </w:t>
      </w:r>
      <w:r>
        <w:rPr>
          <w:rFonts w:ascii="Garamond" w:hAnsi="Garamond"/>
        </w:rPr>
        <w:t>stavební úřad nijak nevyrozuměl o tom, jak naložil s jeho podáním ze dne 7. 8. 2017. V tomto případě nemohla být skutečnost, že žalobce zaslal přihlášku do řízení po uplynutí lhůty pro její podání, důvodem jeho neúčasti v navazujícím řízení.</w:t>
      </w:r>
      <w:r w:rsidR="00451C4B">
        <w:rPr>
          <w:rFonts w:ascii="Garamond" w:hAnsi="Garamond"/>
        </w:rPr>
        <w:t xml:space="preserve"> Posouzení přihlášky žalobce do </w:t>
      </w:r>
      <w:r>
        <w:rPr>
          <w:rFonts w:ascii="Garamond" w:hAnsi="Garamond"/>
        </w:rPr>
        <w:t>řízení navíc může přispět i k </w:t>
      </w:r>
      <w:r w:rsidRPr="009966FB">
        <w:rPr>
          <w:rFonts w:ascii="Garamond" w:hAnsi="Garamond"/>
        </w:rPr>
        <w:t>hospodárnosti řízení, neboť dotčená veřejnost má právo podat odvolání proti rozhodnutí vydaném</w:t>
      </w:r>
      <w:r>
        <w:rPr>
          <w:rFonts w:ascii="Garamond" w:hAnsi="Garamond"/>
        </w:rPr>
        <w:t>u</w:t>
      </w:r>
      <w:r w:rsidRPr="009966FB">
        <w:rPr>
          <w:rFonts w:ascii="Garamond" w:hAnsi="Garamond"/>
        </w:rPr>
        <w:t xml:space="preserve"> v navazujícím řízení bez ohledu na to, zda se účastnila navazujícího řízení v prvním stupni.</w:t>
      </w:r>
      <w:r>
        <w:rPr>
          <w:rFonts w:ascii="Garamond" w:hAnsi="Garamond"/>
        </w:rPr>
        <w:t xml:space="preserve"> Zároveň není předchozí účastí podmíněna ani žalobní legitimace proti rozhodnutí vydanému v navazujícím řízení.</w:t>
      </w:r>
      <w:r w:rsidRPr="009966FB">
        <w:rPr>
          <w:rFonts w:ascii="Garamond" w:hAnsi="Garamond"/>
        </w:rPr>
        <w:t xml:space="preserve"> </w:t>
      </w:r>
    </w:p>
    <w:bookmarkEnd w:id="12"/>
    <w:p w14:paraId="46F6904B" w14:textId="77777777" w:rsidR="00C85187" w:rsidRPr="009C1064" w:rsidRDefault="00C85187" w:rsidP="00C85187">
      <w:pPr>
        <w:pStyle w:val="Odstavecseseznamem"/>
        <w:numPr>
          <w:ilvl w:val="0"/>
          <w:numId w:val="16"/>
        </w:numPr>
        <w:spacing w:after="240"/>
        <w:ind w:left="0" w:firstLine="0"/>
        <w:contextualSpacing w:val="0"/>
        <w:jc w:val="both"/>
        <w:rPr>
          <w:rFonts w:ascii="Garamond" w:hAnsi="Garamond"/>
        </w:rPr>
      </w:pPr>
      <w:r w:rsidRPr="009C1064">
        <w:rPr>
          <w:rFonts w:ascii="Garamond" w:hAnsi="Garamond"/>
        </w:rPr>
        <w:t xml:space="preserve">NSS tedy </w:t>
      </w:r>
      <w:r>
        <w:rPr>
          <w:rFonts w:ascii="Garamond" w:hAnsi="Garamond"/>
        </w:rPr>
        <w:t xml:space="preserve">svými závěry </w:t>
      </w:r>
      <w:r w:rsidRPr="009C1064">
        <w:rPr>
          <w:rFonts w:ascii="Garamond" w:hAnsi="Garamond"/>
        </w:rPr>
        <w:t xml:space="preserve">částečně korigoval odůvodnění </w:t>
      </w:r>
      <w:r>
        <w:rPr>
          <w:rFonts w:ascii="Garamond" w:hAnsi="Garamond"/>
        </w:rPr>
        <w:t>rozsudku</w:t>
      </w:r>
      <w:r w:rsidRPr="009C1064">
        <w:rPr>
          <w:rFonts w:ascii="Garamond" w:hAnsi="Garamond"/>
        </w:rPr>
        <w:t xml:space="preserve"> krajského soudu v tom, že proces EIA má vliv na procesní otázky účastenství v navazujícím řízení. Rozhodnutí NSS v tomto ohledu není překvapivé, neboť se k této právní otázce účastníci řízení vyjádřili</w:t>
      </w:r>
      <w:r>
        <w:rPr>
          <w:rFonts w:ascii="Garamond" w:hAnsi="Garamond"/>
        </w:rPr>
        <w:t>,</w:t>
      </w:r>
      <w:r w:rsidRPr="009C1064">
        <w:rPr>
          <w:rFonts w:ascii="Garamond" w:hAnsi="Garamond"/>
        </w:rPr>
        <w:t xml:space="preserve"> a </w:t>
      </w:r>
      <w:r>
        <w:rPr>
          <w:rFonts w:ascii="Garamond" w:hAnsi="Garamond"/>
        </w:rPr>
        <w:t>navíc</w:t>
      </w:r>
      <w:r w:rsidRPr="009C1064">
        <w:rPr>
          <w:rFonts w:ascii="Garamond" w:hAnsi="Garamond"/>
        </w:rPr>
        <w:t xml:space="preserve"> </w:t>
      </w:r>
      <w:r w:rsidRPr="00A66F3D">
        <w:rPr>
          <w:rFonts w:ascii="Garamond" w:hAnsi="Garamond"/>
        </w:rPr>
        <w:t>plyne z judikatury Soudního dvora EU i </w:t>
      </w:r>
      <w:r w:rsidRPr="0092370B">
        <w:rPr>
          <w:rFonts w:ascii="Garamond" w:hAnsi="Garamond"/>
        </w:rPr>
        <w:t>NSS.</w:t>
      </w:r>
      <w:r w:rsidRPr="00A66F3D">
        <w:rPr>
          <w:rFonts w:ascii="Garamond" w:hAnsi="Garamond"/>
        </w:rPr>
        <w:t xml:space="preserve"> Tento postup je také v souladu se zásadou hospodárnosti soudního řízení. Důvody, pro něž krajský soud zrušil rozhodnutí stěžovatele a), totiž obstojí v podstatné</w:t>
      </w:r>
      <w:r w:rsidRPr="009C1064">
        <w:rPr>
          <w:rFonts w:ascii="Garamond" w:hAnsi="Garamond"/>
        </w:rPr>
        <w:t xml:space="preserve"> míře</w:t>
      </w:r>
      <w:r>
        <w:rPr>
          <w:rFonts w:ascii="Garamond" w:hAnsi="Garamond"/>
        </w:rPr>
        <w:t>, a proto není namístě rozsudek krajského soudu zrušit</w:t>
      </w:r>
      <w:r w:rsidRPr="009C1064">
        <w:rPr>
          <w:rFonts w:ascii="Garamond" w:hAnsi="Garamond"/>
        </w:rPr>
        <w:t xml:space="preserve">. Nepřesnost úvah </w:t>
      </w:r>
      <w:r>
        <w:rPr>
          <w:rFonts w:ascii="Garamond" w:hAnsi="Garamond"/>
        </w:rPr>
        <w:t xml:space="preserve">krajského soudu </w:t>
      </w:r>
      <w:r w:rsidRPr="009C1064">
        <w:rPr>
          <w:rFonts w:ascii="Garamond" w:hAnsi="Garamond"/>
        </w:rPr>
        <w:t xml:space="preserve">nemá vliv na zákonnost jeho závěru ve věci samé, neboť </w:t>
      </w:r>
      <w:r>
        <w:rPr>
          <w:rFonts w:ascii="Garamond" w:hAnsi="Garamond"/>
        </w:rPr>
        <w:t>nadále</w:t>
      </w:r>
      <w:r w:rsidRPr="009C1064">
        <w:rPr>
          <w:rFonts w:ascii="Garamond" w:hAnsi="Garamond"/>
        </w:rPr>
        <w:t xml:space="preserve"> platí, že</w:t>
      </w:r>
      <w:r>
        <w:rPr>
          <w:rFonts w:ascii="Garamond" w:hAnsi="Garamond"/>
        </w:rPr>
        <w:t> </w:t>
      </w:r>
      <w:r w:rsidRPr="009C1064">
        <w:rPr>
          <w:rFonts w:ascii="Garamond" w:hAnsi="Garamond"/>
        </w:rPr>
        <w:t>došlo k</w:t>
      </w:r>
      <w:r>
        <w:rPr>
          <w:rFonts w:ascii="Garamond" w:hAnsi="Garamond"/>
        </w:rPr>
        <w:t> </w:t>
      </w:r>
      <w:r w:rsidRPr="009C1064">
        <w:rPr>
          <w:rFonts w:ascii="Garamond" w:hAnsi="Garamond"/>
        </w:rPr>
        <w:t>podstatnému porušení ustanovení o řízení před stavebním úřadem, které mohlo mít</w:t>
      </w:r>
      <w:r w:rsidR="00451C4B">
        <w:rPr>
          <w:rFonts w:ascii="Garamond" w:hAnsi="Garamond"/>
        </w:rPr>
        <w:t> </w:t>
      </w:r>
      <w:r w:rsidRPr="009C1064">
        <w:rPr>
          <w:rFonts w:ascii="Garamond" w:hAnsi="Garamond"/>
        </w:rPr>
        <w:t>za</w:t>
      </w:r>
      <w:r>
        <w:rPr>
          <w:rFonts w:ascii="Garamond" w:hAnsi="Garamond"/>
        </w:rPr>
        <w:t> </w:t>
      </w:r>
      <w:r w:rsidRPr="009C1064">
        <w:rPr>
          <w:rFonts w:ascii="Garamond" w:hAnsi="Garamond"/>
        </w:rPr>
        <w:t>následek nezákonné rozhodnutí o věci samé (srov. usnesení rozšířeného senátu ze</w:t>
      </w:r>
      <w:r>
        <w:rPr>
          <w:rFonts w:ascii="Garamond" w:hAnsi="Garamond"/>
        </w:rPr>
        <w:t> </w:t>
      </w:r>
      <w:r w:rsidRPr="009C1064">
        <w:rPr>
          <w:rFonts w:ascii="Garamond" w:hAnsi="Garamond"/>
        </w:rPr>
        <w:t>dne</w:t>
      </w:r>
      <w:r>
        <w:rPr>
          <w:rFonts w:ascii="Garamond" w:hAnsi="Garamond"/>
        </w:rPr>
        <w:t> </w:t>
      </w:r>
      <w:r w:rsidRPr="009C1064">
        <w:rPr>
          <w:rFonts w:ascii="Garamond" w:hAnsi="Garamond"/>
        </w:rPr>
        <w:t>14. 4. 2009, čj. </w:t>
      </w:r>
      <w:hyperlink r:id="rId14" w:history="1">
        <w:r w:rsidRPr="009C1064">
          <w:rPr>
            <w:rFonts w:ascii="Garamond" w:hAnsi="Garamond"/>
          </w:rPr>
          <w:t>8 Afs 15/2007-75</w:t>
        </w:r>
      </w:hyperlink>
      <w:r w:rsidRPr="009C1064">
        <w:rPr>
          <w:rFonts w:ascii="Garamond" w:hAnsi="Garamond"/>
        </w:rPr>
        <w:t>. č. </w:t>
      </w:r>
      <w:hyperlink r:id="rId15" w:history="1">
        <w:r w:rsidRPr="009C1064">
          <w:rPr>
            <w:rFonts w:ascii="Garamond" w:hAnsi="Garamond"/>
          </w:rPr>
          <w:t>1865/2009 Sb. NSS</w:t>
        </w:r>
      </w:hyperlink>
      <w:r w:rsidRPr="009C1064">
        <w:rPr>
          <w:rFonts w:ascii="Garamond" w:hAnsi="Garamond"/>
        </w:rPr>
        <w:t>).</w:t>
      </w:r>
    </w:p>
    <w:p w14:paraId="46F6904C" w14:textId="77777777" w:rsidR="00C85187" w:rsidRPr="00E736D4" w:rsidRDefault="00C85187" w:rsidP="00C85187">
      <w:pPr>
        <w:pStyle w:val="Odstavecseseznamem"/>
        <w:spacing w:after="240"/>
        <w:ind w:left="0"/>
        <w:contextualSpacing w:val="0"/>
        <w:jc w:val="center"/>
        <w:rPr>
          <w:rFonts w:ascii="Garamond" w:hAnsi="Garamond"/>
          <w:bCs/>
          <w:i/>
          <w:iCs/>
        </w:rPr>
      </w:pPr>
      <w:r w:rsidRPr="00C2332C">
        <w:rPr>
          <w:rFonts w:ascii="Garamond" w:hAnsi="Garamond"/>
          <w:bCs/>
          <w:i/>
          <w:iCs/>
        </w:rPr>
        <w:t>III. B. Účastenství v odvolacím řízení podle § 9c odst. 4 zákona o posuzování vlivů</w:t>
      </w:r>
    </w:p>
    <w:p w14:paraId="46F6904D" w14:textId="77777777" w:rsidR="00C85187" w:rsidRDefault="00C85187" w:rsidP="00C85187">
      <w:pPr>
        <w:pStyle w:val="Odstavecseseznamem"/>
        <w:numPr>
          <w:ilvl w:val="0"/>
          <w:numId w:val="16"/>
        </w:numPr>
        <w:spacing w:after="240"/>
        <w:ind w:left="0" w:firstLine="0"/>
        <w:contextualSpacing w:val="0"/>
        <w:jc w:val="both"/>
        <w:rPr>
          <w:rFonts w:ascii="Garamond" w:hAnsi="Garamond"/>
          <w:bCs/>
        </w:rPr>
      </w:pPr>
      <w:bookmarkStart w:id="13" w:name="_Hlk74860625"/>
      <w:r>
        <w:rPr>
          <w:rFonts w:ascii="Garamond" w:hAnsi="Garamond"/>
          <w:bCs/>
        </w:rPr>
        <w:t xml:space="preserve">Podle § 9c odst. 4 zákona o posuzování vlivů </w:t>
      </w:r>
      <w:r w:rsidRPr="0076698F">
        <w:rPr>
          <w:rFonts w:ascii="Garamond" w:hAnsi="Garamond"/>
          <w:bCs/>
          <w:i/>
        </w:rPr>
        <w:t>odvolání proti rozhodnutí vydanému v navazujícím řízení může podat také dotčená veřejnost uvedená v § 3 písm. i) bodě 2, a to i v případě, že nebyla účastníkem řízení v prvním stupni</w:t>
      </w:r>
      <w:r w:rsidRPr="00D00FB2">
        <w:rPr>
          <w:rFonts w:ascii="Garamond" w:hAnsi="Garamond"/>
          <w:bCs/>
        </w:rPr>
        <w:t>.</w:t>
      </w:r>
      <w:r>
        <w:rPr>
          <w:rFonts w:ascii="Garamond" w:hAnsi="Garamond"/>
          <w:bCs/>
        </w:rPr>
        <w:t xml:space="preserve"> Podle krajského soudu byl</w:t>
      </w:r>
      <w:r w:rsidRPr="009966FB">
        <w:rPr>
          <w:rFonts w:ascii="Garamond" w:hAnsi="Garamond"/>
          <w:bCs/>
        </w:rPr>
        <w:t xml:space="preserve"> stěžovatel a) povinen pomoci žalobci </w:t>
      </w:r>
      <w:r>
        <w:rPr>
          <w:rFonts w:ascii="Garamond" w:hAnsi="Garamond"/>
          <w:bCs/>
        </w:rPr>
        <w:t>v souladu s </w:t>
      </w:r>
      <w:r w:rsidRPr="009966FB">
        <w:rPr>
          <w:rFonts w:ascii="Garamond" w:hAnsi="Garamond"/>
          <w:bCs/>
        </w:rPr>
        <w:t>§ 37 odst. 3 správního řádu odstranit vady jeho odvolání podaného podle § 9c odst. 4 zákona o</w:t>
      </w:r>
      <w:r>
        <w:rPr>
          <w:rFonts w:ascii="Garamond" w:hAnsi="Garamond"/>
          <w:bCs/>
        </w:rPr>
        <w:t> </w:t>
      </w:r>
      <w:r w:rsidRPr="009966FB">
        <w:rPr>
          <w:rFonts w:ascii="Garamond" w:hAnsi="Garamond"/>
          <w:bCs/>
        </w:rPr>
        <w:t xml:space="preserve">posuzování vlivů tak, aby </w:t>
      </w:r>
      <w:r>
        <w:rPr>
          <w:rFonts w:ascii="Garamond" w:hAnsi="Garamond"/>
          <w:bCs/>
        </w:rPr>
        <w:t xml:space="preserve">žalobce </w:t>
      </w:r>
      <w:r w:rsidRPr="009966FB">
        <w:rPr>
          <w:rFonts w:ascii="Garamond" w:hAnsi="Garamond"/>
          <w:bCs/>
        </w:rPr>
        <w:t xml:space="preserve">mohl doložit splnění podmínek pro odvolání podané dotčenou veřejností. </w:t>
      </w:r>
      <w:r>
        <w:rPr>
          <w:rFonts w:ascii="Garamond" w:hAnsi="Garamond"/>
          <w:bCs/>
        </w:rPr>
        <w:t>S tímto z</w:t>
      </w:r>
      <w:r w:rsidRPr="009966FB">
        <w:rPr>
          <w:rFonts w:ascii="Garamond" w:hAnsi="Garamond"/>
          <w:bCs/>
        </w:rPr>
        <w:t>ávěr</w:t>
      </w:r>
      <w:r>
        <w:rPr>
          <w:rFonts w:ascii="Garamond" w:hAnsi="Garamond"/>
          <w:bCs/>
        </w:rPr>
        <w:t>em</w:t>
      </w:r>
      <w:r w:rsidRPr="009966FB">
        <w:rPr>
          <w:rFonts w:ascii="Garamond" w:hAnsi="Garamond"/>
          <w:bCs/>
        </w:rPr>
        <w:t xml:space="preserve"> krajského soudu </w:t>
      </w:r>
      <w:r>
        <w:rPr>
          <w:rFonts w:ascii="Garamond" w:hAnsi="Garamond"/>
          <w:bCs/>
        </w:rPr>
        <w:t>se NSS ztotožnil</w:t>
      </w:r>
      <w:r w:rsidRPr="009966FB">
        <w:rPr>
          <w:rFonts w:ascii="Garamond" w:hAnsi="Garamond"/>
          <w:bCs/>
        </w:rPr>
        <w:t>.</w:t>
      </w:r>
    </w:p>
    <w:p w14:paraId="46F6904E" w14:textId="77777777" w:rsidR="00C85187" w:rsidRPr="0092370B" w:rsidRDefault="00C85187" w:rsidP="00C85187">
      <w:pPr>
        <w:pStyle w:val="Odstavecseseznamem"/>
        <w:numPr>
          <w:ilvl w:val="0"/>
          <w:numId w:val="16"/>
        </w:numPr>
        <w:spacing w:after="240"/>
        <w:ind w:left="0" w:firstLine="0"/>
        <w:contextualSpacing w:val="0"/>
        <w:jc w:val="both"/>
        <w:rPr>
          <w:rFonts w:ascii="Garamond" w:hAnsi="Garamond"/>
        </w:rPr>
      </w:pPr>
      <w:r w:rsidRPr="0033627B">
        <w:rPr>
          <w:rFonts w:ascii="Garamond" w:hAnsi="Garamond"/>
          <w:bCs/>
        </w:rPr>
        <w:t xml:space="preserve"> Možnost podat odvolání proti rozhodnutí vydanému v navazujícím řízení bez předchozí účasti v tomto řízení je velmi specifická, neboť nevyžaduje ani zapojení v procesu EIA. V odvolání nemohou environmentální spolky namítat nevypořádání námitek, které neuplatnily v předchozím řízení, ani poukazovat na nezákonný postup správního orgánu vůči ostatním účastníkům. Na odvolání se hledí jako na odvolání účastníků </w:t>
      </w:r>
      <w:r w:rsidR="00451C4B">
        <w:rPr>
          <w:rFonts w:ascii="Garamond" w:hAnsi="Garamond"/>
          <w:bCs/>
        </w:rPr>
        <w:t>prvostupňového řízení, kteří </w:t>
      </w:r>
      <w:r>
        <w:rPr>
          <w:rFonts w:ascii="Garamond" w:hAnsi="Garamond"/>
          <w:bCs/>
        </w:rPr>
        <w:t>se </w:t>
      </w:r>
      <w:r w:rsidRPr="0033627B">
        <w:rPr>
          <w:rFonts w:ascii="Garamond" w:hAnsi="Garamond"/>
          <w:bCs/>
        </w:rPr>
        <w:t xml:space="preserve">mohli seznámit se všemi podklady řízení, vyjádřit se k nim a navrhnout jejich doplnění. Část procesní zátěže je přenesena na odvolací správní orgány, které nemohou předvídat počet odvolatelů ani obsah jejich </w:t>
      </w:r>
      <w:r w:rsidRPr="0092370B">
        <w:rPr>
          <w:rFonts w:ascii="Garamond" w:hAnsi="Garamond"/>
          <w:bCs/>
        </w:rPr>
        <w:t xml:space="preserve">námitek. Povaha řízení, které se prvostupňovému správnímu orgánu jeví jako bezproblémové, se tak v odvolacím řízení může zcela změnit </w:t>
      </w:r>
      <w:bookmarkEnd w:id="13"/>
      <w:r w:rsidRPr="0092370B">
        <w:rPr>
          <w:rFonts w:ascii="Garamond" w:hAnsi="Garamond"/>
          <w:bCs/>
        </w:rPr>
        <w:t xml:space="preserve">(srov. VOMÁČKA, Vojtěch. Komentář k § 9c, in: BAHÝĽOVÁ, Lenka a kol. </w:t>
      </w:r>
      <w:r w:rsidRPr="0092370B">
        <w:rPr>
          <w:rFonts w:ascii="Garamond" w:hAnsi="Garamond"/>
          <w:bCs/>
          <w:i/>
        </w:rPr>
        <w:t>Zákon o posuzování vlivů na životní prostředí: komentář</w:t>
      </w:r>
      <w:r w:rsidRPr="0092370B">
        <w:rPr>
          <w:rFonts w:ascii="Garamond" w:hAnsi="Garamond"/>
          <w:bCs/>
        </w:rPr>
        <w:t xml:space="preserve">. 1. vydání. Praha: C. H. Beck, 2015, s. 100). </w:t>
      </w:r>
      <w:r w:rsidRPr="0092370B">
        <w:rPr>
          <w:rFonts w:ascii="Garamond" w:hAnsi="Garamond"/>
        </w:rPr>
        <w:t>NS</w:t>
      </w:r>
      <w:r>
        <w:rPr>
          <w:rFonts w:ascii="Garamond" w:hAnsi="Garamond"/>
        </w:rPr>
        <w:t>S shrnuje, že postup podle § 9c </w:t>
      </w:r>
      <w:r w:rsidRPr="0092370B">
        <w:rPr>
          <w:rFonts w:ascii="Garamond" w:hAnsi="Garamond"/>
        </w:rPr>
        <w:t xml:space="preserve">odst. 4 zákona o posuzování vlivů má sloužit k zabezpečení účasti dotčeného subjektu alespoň ve fázi odvolacího řízení, nemá však plnohodnotně nahrazovat jeho účastenství v řízení od prvního stupně. Odvolání podané dotčenou veřejností, která se neúčastnila navazujícího řízení v prvním stupni, nemusí automaticky vést ke zrušení prvostupňového rozhodnutí. Odvolací orgán se však musí vypořádat s námitkami, které tyto subjekty uplatní poprvé až v odvolacím řízení. Za vhodnější, rychlejší i hospodárnější lze přitom považovat, pokud je dotčená veřejnost přítomna a její námitky vypořádány již v prvostupňovém navazujícím řízení. </w:t>
      </w:r>
    </w:p>
    <w:p w14:paraId="46F6904F" w14:textId="77777777" w:rsidR="00C85187" w:rsidRPr="00E736D4" w:rsidRDefault="00C85187" w:rsidP="00C85187">
      <w:pPr>
        <w:pStyle w:val="Odstavecseseznamem"/>
        <w:spacing w:after="240"/>
        <w:ind w:left="0"/>
        <w:contextualSpacing w:val="0"/>
        <w:jc w:val="center"/>
        <w:rPr>
          <w:rFonts w:ascii="Garamond" w:hAnsi="Garamond"/>
          <w:bCs/>
          <w:i/>
          <w:iCs/>
        </w:rPr>
      </w:pPr>
      <w:r w:rsidRPr="00E736D4">
        <w:rPr>
          <w:rFonts w:ascii="Garamond" w:hAnsi="Garamond"/>
          <w:bCs/>
          <w:i/>
          <w:iCs/>
        </w:rPr>
        <w:t>III. C. Další kasační námitky stěžovatelů</w:t>
      </w:r>
    </w:p>
    <w:p w14:paraId="46F69050" w14:textId="77777777" w:rsidR="00C85187" w:rsidRPr="00E038EA" w:rsidRDefault="00C85187" w:rsidP="00C85187">
      <w:pPr>
        <w:pStyle w:val="Odstavecseseznamem"/>
        <w:numPr>
          <w:ilvl w:val="0"/>
          <w:numId w:val="16"/>
        </w:numPr>
        <w:spacing w:after="240"/>
        <w:ind w:left="0" w:firstLine="0"/>
        <w:contextualSpacing w:val="0"/>
        <w:jc w:val="both"/>
        <w:rPr>
          <w:rFonts w:ascii="Garamond" w:hAnsi="Garamond"/>
          <w:bCs/>
        </w:rPr>
      </w:pPr>
      <w:r w:rsidRPr="009966FB">
        <w:rPr>
          <w:rFonts w:ascii="Garamond" w:hAnsi="Garamond"/>
          <w:bCs/>
        </w:rPr>
        <w:t>NSS se ztotožňuje s výkladem, který krajsk</w:t>
      </w:r>
      <w:r>
        <w:rPr>
          <w:rFonts w:ascii="Garamond" w:hAnsi="Garamond"/>
          <w:bCs/>
        </w:rPr>
        <w:t>ý</w:t>
      </w:r>
      <w:r w:rsidRPr="009966FB">
        <w:rPr>
          <w:rFonts w:ascii="Garamond" w:hAnsi="Garamond"/>
          <w:bCs/>
        </w:rPr>
        <w:t xml:space="preserve"> soud zaujal ohledně § 2 odst. 4 liniového zákona</w:t>
      </w:r>
      <w:r>
        <w:rPr>
          <w:rFonts w:ascii="Garamond" w:hAnsi="Garamond"/>
          <w:bCs/>
        </w:rPr>
        <w:t xml:space="preserve">. Uvedené ustanovení ukládá správnímu soudu rozhodnout vždy o všech žalobních bodech. </w:t>
      </w:r>
      <w:r w:rsidRPr="009966FB">
        <w:rPr>
          <w:rFonts w:ascii="Garamond" w:hAnsi="Garamond"/>
          <w:bCs/>
        </w:rPr>
        <w:t xml:space="preserve">I </w:t>
      </w:r>
      <w:r>
        <w:rPr>
          <w:rFonts w:ascii="Garamond" w:hAnsi="Garamond"/>
          <w:bCs/>
        </w:rPr>
        <w:t xml:space="preserve">v řízeních </w:t>
      </w:r>
      <w:r w:rsidRPr="002E2524">
        <w:rPr>
          <w:rFonts w:ascii="Garamond" w:hAnsi="Garamond"/>
          <w:bCs/>
        </w:rPr>
        <w:t>o žalobách proti rozhodnutím</w:t>
      </w:r>
      <w:r>
        <w:rPr>
          <w:rFonts w:ascii="Garamond" w:hAnsi="Garamond"/>
          <w:bCs/>
        </w:rPr>
        <w:t>, která</w:t>
      </w:r>
      <w:r w:rsidRPr="002E2524">
        <w:rPr>
          <w:rFonts w:ascii="Garamond" w:hAnsi="Garamond"/>
          <w:bCs/>
        </w:rPr>
        <w:t xml:space="preserve"> spadají pod liniový zákon</w:t>
      </w:r>
      <w:r>
        <w:rPr>
          <w:rFonts w:ascii="Garamond" w:hAnsi="Garamond"/>
          <w:bCs/>
        </w:rPr>
        <w:t>,</w:t>
      </w:r>
      <w:r w:rsidRPr="002E2524">
        <w:rPr>
          <w:rFonts w:ascii="Garamond" w:hAnsi="Garamond"/>
          <w:bCs/>
        </w:rPr>
        <w:t xml:space="preserve"> jsou plně platné závěry judikatury NSS. Pokud </w:t>
      </w:r>
      <w:r>
        <w:rPr>
          <w:rFonts w:ascii="Garamond" w:hAnsi="Garamond"/>
          <w:bCs/>
        </w:rPr>
        <w:t xml:space="preserve">tedy </w:t>
      </w:r>
      <w:r w:rsidRPr="002E2524">
        <w:rPr>
          <w:rFonts w:ascii="Garamond" w:hAnsi="Garamond"/>
          <w:bCs/>
        </w:rPr>
        <w:t xml:space="preserve">správní soud zruší rozhodnutí správního orgánu, nemusí </w:t>
      </w:r>
      <w:r>
        <w:rPr>
          <w:rFonts w:ascii="Garamond" w:hAnsi="Garamond"/>
          <w:bCs/>
        </w:rPr>
        <w:t xml:space="preserve">skutečnost, že nevypořádal </w:t>
      </w:r>
      <w:r w:rsidRPr="002E2524">
        <w:rPr>
          <w:rFonts w:ascii="Garamond" w:hAnsi="Garamond"/>
          <w:bCs/>
        </w:rPr>
        <w:t>všech</w:t>
      </w:r>
      <w:r>
        <w:rPr>
          <w:rFonts w:ascii="Garamond" w:hAnsi="Garamond"/>
          <w:bCs/>
        </w:rPr>
        <w:t>ny</w:t>
      </w:r>
      <w:r w:rsidRPr="002E2524">
        <w:rPr>
          <w:rFonts w:ascii="Garamond" w:hAnsi="Garamond"/>
          <w:bCs/>
        </w:rPr>
        <w:t xml:space="preserve"> žalobní bod</w:t>
      </w:r>
      <w:r>
        <w:rPr>
          <w:rFonts w:ascii="Garamond" w:hAnsi="Garamond"/>
          <w:bCs/>
        </w:rPr>
        <w:t>y,</w:t>
      </w:r>
      <w:r w:rsidRPr="002E2524">
        <w:rPr>
          <w:rFonts w:ascii="Garamond" w:hAnsi="Garamond"/>
          <w:bCs/>
        </w:rPr>
        <w:t xml:space="preserve"> vždy znamenat nepřezkoumatelnost jeho rozsudku. </w:t>
      </w:r>
      <w:r>
        <w:rPr>
          <w:rFonts w:ascii="Garamond" w:hAnsi="Garamond"/>
          <w:bCs/>
        </w:rPr>
        <w:t xml:space="preserve">Tato vada rozsudku </w:t>
      </w:r>
      <w:r w:rsidRPr="002E2524">
        <w:rPr>
          <w:rFonts w:ascii="Garamond" w:hAnsi="Garamond"/>
          <w:bCs/>
        </w:rPr>
        <w:t>není dána například tehdy, je</w:t>
      </w:r>
      <w:r>
        <w:rPr>
          <w:rFonts w:ascii="Garamond" w:hAnsi="Garamond"/>
          <w:bCs/>
        </w:rPr>
        <w:t>-li</w:t>
      </w:r>
      <w:r w:rsidRPr="002E2524">
        <w:rPr>
          <w:rFonts w:ascii="Garamond" w:hAnsi="Garamond"/>
          <w:bCs/>
        </w:rPr>
        <w:t xml:space="preserve"> správní rozhodnutí nepřezkoumatelné do té míry, že</w:t>
      </w:r>
      <w:r>
        <w:rPr>
          <w:rFonts w:ascii="Garamond" w:hAnsi="Garamond"/>
          <w:bCs/>
        </w:rPr>
        <w:t> </w:t>
      </w:r>
      <w:r w:rsidRPr="002E2524">
        <w:rPr>
          <w:rFonts w:ascii="Garamond" w:hAnsi="Garamond"/>
          <w:bCs/>
        </w:rPr>
        <w:t>to</w:t>
      </w:r>
      <w:r>
        <w:rPr>
          <w:rFonts w:ascii="Garamond" w:hAnsi="Garamond"/>
          <w:bCs/>
        </w:rPr>
        <w:t> </w:t>
      </w:r>
      <w:r w:rsidRPr="002E2524">
        <w:rPr>
          <w:rFonts w:ascii="Garamond" w:hAnsi="Garamond"/>
          <w:bCs/>
        </w:rPr>
        <w:t>vylučuje jeho přezkum v</w:t>
      </w:r>
      <w:r>
        <w:rPr>
          <w:rFonts w:ascii="Garamond" w:hAnsi="Garamond"/>
          <w:bCs/>
        </w:rPr>
        <w:t> </w:t>
      </w:r>
      <w:r w:rsidR="00451C4B">
        <w:rPr>
          <w:rFonts w:ascii="Garamond" w:hAnsi="Garamond"/>
          <w:bCs/>
        </w:rPr>
        <w:t>mezích žalobních bodů. Pokud </w:t>
      </w:r>
      <w:r w:rsidRPr="002E2524">
        <w:rPr>
          <w:rFonts w:ascii="Garamond" w:hAnsi="Garamond"/>
          <w:bCs/>
        </w:rPr>
        <w:t>krajský soud ruší správní rozhodnutí pro nezákonnost, záleží na</w:t>
      </w:r>
      <w:r>
        <w:rPr>
          <w:rFonts w:ascii="Garamond" w:hAnsi="Garamond"/>
          <w:bCs/>
        </w:rPr>
        <w:t> </w:t>
      </w:r>
      <w:r w:rsidRPr="002E2524">
        <w:rPr>
          <w:rFonts w:ascii="Garamond" w:hAnsi="Garamond"/>
          <w:bCs/>
        </w:rPr>
        <w:t>konkrétních okolnostech dané</w:t>
      </w:r>
      <w:r w:rsidRPr="009966FB">
        <w:rPr>
          <w:rFonts w:ascii="Garamond" w:hAnsi="Garamond"/>
          <w:bCs/>
        </w:rPr>
        <w:t xml:space="preserve"> věci</w:t>
      </w:r>
      <w:r>
        <w:rPr>
          <w:rFonts w:ascii="Garamond" w:hAnsi="Garamond"/>
          <w:bCs/>
        </w:rPr>
        <w:t xml:space="preserve"> </w:t>
      </w:r>
      <w:r w:rsidRPr="002E2524">
        <w:rPr>
          <w:rFonts w:ascii="Garamond" w:hAnsi="Garamond"/>
          <w:bCs/>
        </w:rPr>
        <w:t>(rozsudek NSS ze dne 25. 2. 2016, čj.</w:t>
      </w:r>
      <w:r>
        <w:rPr>
          <w:rFonts w:ascii="Garamond" w:hAnsi="Garamond"/>
          <w:bCs/>
        </w:rPr>
        <w:t> </w:t>
      </w:r>
      <w:r w:rsidRPr="002E2524">
        <w:rPr>
          <w:rFonts w:ascii="Garamond" w:hAnsi="Garamond"/>
          <w:bCs/>
        </w:rPr>
        <w:t>7 As 91/2015-79)</w:t>
      </w:r>
      <w:r w:rsidRPr="009966FB">
        <w:rPr>
          <w:rFonts w:ascii="Garamond" w:hAnsi="Garamond"/>
          <w:bCs/>
        </w:rPr>
        <w:t xml:space="preserve">. Ustanovení § 2 odst. 4 liniového zákona </w:t>
      </w:r>
      <w:r>
        <w:rPr>
          <w:rFonts w:ascii="Garamond" w:hAnsi="Garamond"/>
          <w:bCs/>
        </w:rPr>
        <w:t xml:space="preserve">je proto třeba vykládat především tak, že dopadá na případy, kdy </w:t>
      </w:r>
      <w:r w:rsidRPr="009966FB">
        <w:rPr>
          <w:rFonts w:ascii="Garamond" w:hAnsi="Garamond"/>
          <w:bCs/>
        </w:rPr>
        <w:t xml:space="preserve">soud ruší správní rozhodnutí pro nezákonnost. Jiný závěr by byl v rozporu se </w:t>
      </w:r>
      <w:r>
        <w:rPr>
          <w:rFonts w:ascii="Garamond" w:hAnsi="Garamond"/>
          <w:bCs/>
        </w:rPr>
        <w:t xml:space="preserve">zásadou </w:t>
      </w:r>
      <w:r w:rsidRPr="009966FB">
        <w:rPr>
          <w:rFonts w:ascii="Garamond" w:hAnsi="Garamond"/>
          <w:bCs/>
        </w:rPr>
        <w:t>subsidiarit</w:t>
      </w:r>
      <w:r>
        <w:rPr>
          <w:rFonts w:ascii="Garamond" w:hAnsi="Garamond"/>
          <w:bCs/>
        </w:rPr>
        <w:t xml:space="preserve">y soudního </w:t>
      </w:r>
      <w:r w:rsidRPr="00E038EA">
        <w:rPr>
          <w:rFonts w:ascii="Garamond" w:hAnsi="Garamond"/>
          <w:bCs/>
        </w:rPr>
        <w:t>přezkumu ve správním soudnictví.</w:t>
      </w:r>
    </w:p>
    <w:p w14:paraId="46F69051" w14:textId="77777777" w:rsidR="00C85187" w:rsidRPr="00E038EA" w:rsidRDefault="00C85187" w:rsidP="00C85187">
      <w:pPr>
        <w:pStyle w:val="Odstavecseseznamem"/>
        <w:numPr>
          <w:ilvl w:val="0"/>
          <w:numId w:val="16"/>
        </w:numPr>
        <w:spacing w:after="240"/>
        <w:ind w:left="0" w:firstLine="0"/>
        <w:contextualSpacing w:val="0"/>
        <w:jc w:val="both"/>
        <w:rPr>
          <w:rFonts w:ascii="Garamond" w:hAnsi="Garamond"/>
          <w:bCs/>
        </w:rPr>
      </w:pPr>
      <w:r w:rsidRPr="00E038EA">
        <w:rPr>
          <w:rFonts w:ascii="Garamond" w:hAnsi="Garamond"/>
          <w:bCs/>
        </w:rPr>
        <w:t xml:space="preserve">Fakt, že krajský soud nespojil žaloby směřující proti témuž územnímu rozhodnutí ke společnému projednání, lze označit za nevhodný procesní </w:t>
      </w:r>
      <w:r w:rsidR="00451C4B">
        <w:rPr>
          <w:rFonts w:ascii="Garamond" w:hAnsi="Garamond"/>
          <w:bCs/>
        </w:rPr>
        <w:t>postup (srov. závěr NSS ve věci </w:t>
      </w:r>
      <w:r w:rsidRPr="00E038EA">
        <w:rPr>
          <w:rFonts w:ascii="Garamond" w:hAnsi="Garamond"/>
          <w:bCs/>
        </w:rPr>
        <w:t>1 As 390/2020 a tam citované rozsudky ze dne 25. 2. 201</w:t>
      </w:r>
      <w:r w:rsidR="00451C4B">
        <w:rPr>
          <w:rFonts w:ascii="Garamond" w:hAnsi="Garamond"/>
          <w:bCs/>
        </w:rPr>
        <w:t>0, čj. 6 As 35/2008-163, ze dne </w:t>
      </w:r>
      <w:r w:rsidRPr="00E038EA">
        <w:rPr>
          <w:rFonts w:ascii="Garamond" w:hAnsi="Garamond"/>
          <w:bCs/>
        </w:rPr>
        <w:t>23. 8. 2006, čj. 8 As 32/2005-88, nebo ze dne 12. 3. 2008, čj. 1 As 21/2007-272, č. 2476/2012 Sb. NSS). Nejedná se však o důvod pro zrušení r</w:t>
      </w:r>
      <w:r w:rsidR="00451C4B">
        <w:rPr>
          <w:rFonts w:ascii="Garamond" w:hAnsi="Garamond"/>
          <w:bCs/>
        </w:rPr>
        <w:t>ozsudku krajského soudu. NSS se </w:t>
      </w:r>
      <w:r w:rsidRPr="00E038EA">
        <w:rPr>
          <w:rFonts w:ascii="Garamond" w:hAnsi="Garamond"/>
          <w:bCs/>
        </w:rPr>
        <w:t xml:space="preserve">navíc v rozsudku 1 As 390/2020 k možnému spojení věcí ke společnému projednání vyjádřil v tom smyslu, že je označil za vhodné; nejednalo se o součást závazného právního názoru, pro který NSS zrušil první rozsudek krajského soudu. </w:t>
      </w:r>
    </w:p>
    <w:p w14:paraId="46F69052" w14:textId="77777777" w:rsidR="00C85187" w:rsidRPr="00E038EA" w:rsidRDefault="00C85187" w:rsidP="00C85187">
      <w:pPr>
        <w:pStyle w:val="Odstavecseseznamem"/>
        <w:numPr>
          <w:ilvl w:val="0"/>
          <w:numId w:val="16"/>
        </w:numPr>
        <w:spacing w:after="240"/>
        <w:ind w:left="0" w:firstLine="0"/>
        <w:contextualSpacing w:val="0"/>
        <w:jc w:val="both"/>
        <w:rPr>
          <w:rFonts w:ascii="Garamond" w:hAnsi="Garamond"/>
          <w:bCs/>
        </w:rPr>
      </w:pPr>
      <w:r w:rsidRPr="00E038EA">
        <w:rPr>
          <w:rFonts w:ascii="Garamond" w:hAnsi="Garamond"/>
        </w:rPr>
        <w:t xml:space="preserve">S ohledem na </w:t>
      </w:r>
      <w:r>
        <w:rPr>
          <w:rFonts w:ascii="Garamond" w:hAnsi="Garamond"/>
        </w:rPr>
        <w:t>vliv</w:t>
      </w:r>
      <w:r w:rsidRPr="00E038EA">
        <w:rPr>
          <w:rFonts w:ascii="Garamond" w:hAnsi="Garamond"/>
        </w:rPr>
        <w:t xml:space="preserve"> zvoleného postupu na </w:t>
      </w:r>
      <w:r>
        <w:rPr>
          <w:rFonts w:ascii="Garamond" w:hAnsi="Garamond"/>
        </w:rPr>
        <w:t>rozsah přezkumu napadeného aktu</w:t>
      </w:r>
      <w:r w:rsidRPr="00E038EA">
        <w:rPr>
          <w:rFonts w:ascii="Garamond" w:hAnsi="Garamond"/>
        </w:rPr>
        <w:t xml:space="preserve"> soud</w:t>
      </w:r>
      <w:r>
        <w:rPr>
          <w:rFonts w:ascii="Garamond" w:hAnsi="Garamond"/>
        </w:rPr>
        <w:t>em</w:t>
      </w:r>
      <w:r w:rsidRPr="00E038EA">
        <w:rPr>
          <w:rFonts w:ascii="Garamond" w:hAnsi="Garamond"/>
        </w:rPr>
        <w:t xml:space="preserve"> NSS připomíná, že by soud měl ke spojení věcí </w:t>
      </w:r>
      <w:r w:rsidRPr="00E038EA">
        <w:rPr>
          <w:rFonts w:ascii="Garamond" w:hAnsi="Garamond"/>
          <w:i/>
          <w:iCs/>
        </w:rPr>
        <w:t>„</w:t>
      </w:r>
      <w:r w:rsidRPr="00E038EA">
        <w:rPr>
          <w:rFonts w:ascii="Garamond" w:hAnsi="Garamond"/>
          <w:i/>
        </w:rPr>
        <w:t>přistoupit tehdy, pokud stejný správní akt (správní rozhodnutí nebo opatření obecné povahy) byl napaden několika samostatnými návrhy. To se stává zejména právě ve věcech dle </w:t>
      </w:r>
      <w:hyperlink r:id="rId16" w:history="1">
        <w:r w:rsidRPr="00E038EA">
          <w:rPr>
            <w:rFonts w:ascii="Garamond" w:hAnsi="Garamond"/>
            <w:i/>
          </w:rPr>
          <w:t>stavebního zákona</w:t>
        </w:r>
      </w:hyperlink>
      <w:r w:rsidRPr="00E038EA">
        <w:rPr>
          <w:rFonts w:ascii="Garamond" w:hAnsi="Garamond"/>
          <w:i/>
        </w:rPr>
        <w:t xml:space="preserve">, v nichž bývá okruh účastníků řízení poměrně široký </w:t>
      </w:r>
      <w:r w:rsidR="00451C4B">
        <w:rPr>
          <w:rFonts w:ascii="Garamond" w:hAnsi="Garamond"/>
          <w:i/>
        </w:rPr>
        <w:t>a zájmově různorodý. Vzhledem k </w:t>
      </w:r>
      <w:r w:rsidRPr="00E038EA">
        <w:rPr>
          <w:rFonts w:ascii="Garamond" w:hAnsi="Garamond"/>
          <w:i/>
        </w:rPr>
        <w:t>tomu, že předmět řízení je tentýž (stejný správní akt), je vhodné obě řízení spojit ke společnému projednání“</w:t>
      </w:r>
      <w:r w:rsidRPr="00E038EA">
        <w:rPr>
          <w:rFonts w:ascii="Garamond" w:hAnsi="Garamond"/>
        </w:rPr>
        <w:t xml:space="preserve"> (srov. KOCOUREK, Tomáš. Komentář k § 39, in: KÜHN, Zdeněk a kol. </w:t>
      </w:r>
      <w:r w:rsidRPr="00E038EA">
        <w:rPr>
          <w:rFonts w:ascii="Garamond" w:hAnsi="Garamond"/>
          <w:i/>
        </w:rPr>
        <w:t>Soudní řád správní: komentář</w:t>
      </w:r>
      <w:r w:rsidRPr="00E038EA">
        <w:rPr>
          <w:rFonts w:ascii="Garamond" w:hAnsi="Garamond"/>
        </w:rPr>
        <w:t>. Praha: Wolters Kluwer, 2019, s. 299 a násl.).</w:t>
      </w:r>
    </w:p>
    <w:p w14:paraId="46F69053" w14:textId="77777777" w:rsidR="00C85187" w:rsidRPr="00E038EA" w:rsidRDefault="00C85187" w:rsidP="00C85187">
      <w:pPr>
        <w:pStyle w:val="Odstavecseseznamem"/>
        <w:numPr>
          <w:ilvl w:val="0"/>
          <w:numId w:val="16"/>
        </w:numPr>
        <w:spacing w:after="240"/>
        <w:ind w:left="0" w:firstLine="0"/>
        <w:contextualSpacing w:val="0"/>
        <w:jc w:val="both"/>
        <w:rPr>
          <w:rFonts w:ascii="Garamond" w:hAnsi="Garamond"/>
          <w:bCs/>
        </w:rPr>
      </w:pPr>
      <w:r w:rsidRPr="00E038EA">
        <w:rPr>
          <w:rFonts w:ascii="Garamond" w:hAnsi="Garamond"/>
        </w:rPr>
        <w:t xml:space="preserve">Důvodem pro spojení věcí je optimalizace předmětu řízení za účelem maximálního naplnění zásady rychlosti a hospodárnosti řízení. Vhodnost spojení věcí v projednávaném případě ještě podtrhuje to, že předcházející řízení spadá pod liniový zákon, který s ohledem na předmět regulace klade důraz právě na zmíněné zásady. </w:t>
      </w:r>
    </w:p>
    <w:p w14:paraId="46F69054" w14:textId="77777777" w:rsidR="00C85187" w:rsidRPr="009966FB" w:rsidRDefault="00C85187" w:rsidP="00C85187">
      <w:pPr>
        <w:pStyle w:val="Odstavecseseznamem"/>
        <w:numPr>
          <w:ilvl w:val="0"/>
          <w:numId w:val="16"/>
        </w:numPr>
        <w:spacing w:after="240"/>
        <w:ind w:left="0" w:firstLine="0"/>
        <w:contextualSpacing w:val="0"/>
        <w:jc w:val="both"/>
        <w:rPr>
          <w:rFonts w:ascii="Garamond" w:hAnsi="Garamond"/>
          <w:bCs/>
        </w:rPr>
      </w:pPr>
      <w:r w:rsidRPr="009966FB">
        <w:rPr>
          <w:rFonts w:ascii="Garamond" w:hAnsi="Garamond"/>
        </w:rPr>
        <w:t xml:space="preserve">K námitce stěžovatele a), </w:t>
      </w:r>
      <w:r>
        <w:rPr>
          <w:rFonts w:ascii="Garamond" w:hAnsi="Garamond"/>
        </w:rPr>
        <w:t>podle níž</w:t>
      </w:r>
      <w:r w:rsidRPr="009966FB">
        <w:rPr>
          <w:rFonts w:ascii="Garamond" w:hAnsi="Garamond"/>
        </w:rPr>
        <w:t xml:space="preserve"> není zřejmé</w:t>
      </w:r>
      <w:r>
        <w:rPr>
          <w:rFonts w:ascii="Garamond" w:hAnsi="Garamond"/>
        </w:rPr>
        <w:t>,</w:t>
      </w:r>
      <w:r w:rsidRPr="009966FB">
        <w:rPr>
          <w:rFonts w:ascii="Garamond" w:hAnsi="Garamond"/>
        </w:rPr>
        <w:t xml:space="preserve"> na základě jakých podkladů dospěl krajský soud k závěru, že žalobce je dotčenou veřejností</w:t>
      </w:r>
      <w:r>
        <w:rPr>
          <w:rFonts w:ascii="Garamond" w:hAnsi="Garamond"/>
        </w:rPr>
        <w:t xml:space="preserve">, </w:t>
      </w:r>
      <w:r w:rsidRPr="009966FB">
        <w:rPr>
          <w:rFonts w:ascii="Garamond" w:hAnsi="Garamond"/>
        </w:rPr>
        <w:t xml:space="preserve">odkazuje </w:t>
      </w:r>
      <w:r>
        <w:rPr>
          <w:rFonts w:ascii="Garamond" w:hAnsi="Garamond"/>
        </w:rPr>
        <w:t>NSS na své rozhodnutí</w:t>
      </w:r>
      <w:r w:rsidR="00451C4B">
        <w:rPr>
          <w:rFonts w:ascii="Garamond" w:hAnsi="Garamond"/>
        </w:rPr>
        <w:t xml:space="preserve"> ze dne </w:t>
      </w:r>
      <w:r w:rsidRPr="009966FB">
        <w:rPr>
          <w:rFonts w:ascii="Garamond" w:hAnsi="Garamond"/>
        </w:rPr>
        <w:t>14. 4. 2015, čj. 9 As 12/2014-60, č. 3239/2015 Sb.</w:t>
      </w:r>
      <w:r>
        <w:rPr>
          <w:rFonts w:ascii="Garamond" w:hAnsi="Garamond"/>
        </w:rPr>
        <w:t xml:space="preserve"> NSS</w:t>
      </w:r>
      <w:r w:rsidRPr="009966FB">
        <w:rPr>
          <w:rFonts w:ascii="Garamond" w:hAnsi="Garamond"/>
        </w:rPr>
        <w:t xml:space="preserve">, podle </w:t>
      </w:r>
      <w:r>
        <w:rPr>
          <w:rFonts w:ascii="Garamond" w:hAnsi="Garamond"/>
        </w:rPr>
        <w:t>něhož</w:t>
      </w:r>
      <w:r w:rsidRPr="009966FB">
        <w:rPr>
          <w:rFonts w:ascii="Garamond" w:hAnsi="Garamond"/>
        </w:rPr>
        <w:t xml:space="preserve"> může správní orgán upustit od</w:t>
      </w:r>
      <w:r>
        <w:rPr>
          <w:rFonts w:ascii="Garamond" w:hAnsi="Garamond"/>
        </w:rPr>
        <w:t> </w:t>
      </w:r>
      <w:r w:rsidRPr="009966FB">
        <w:rPr>
          <w:rFonts w:ascii="Garamond" w:hAnsi="Garamond"/>
        </w:rPr>
        <w:t>požadavku předložit překlad cizojazyčné písemnosti. Může tak učinit i mlčky tím, že</w:t>
      </w:r>
      <w:r>
        <w:rPr>
          <w:rFonts w:ascii="Garamond" w:hAnsi="Garamond"/>
        </w:rPr>
        <w:t> </w:t>
      </w:r>
      <w:r w:rsidRPr="009966FB">
        <w:rPr>
          <w:rFonts w:ascii="Garamond" w:hAnsi="Garamond"/>
        </w:rPr>
        <w:t>s</w:t>
      </w:r>
      <w:r>
        <w:rPr>
          <w:rFonts w:ascii="Garamond" w:hAnsi="Garamond"/>
        </w:rPr>
        <w:t> </w:t>
      </w:r>
      <w:r w:rsidRPr="009966FB">
        <w:rPr>
          <w:rFonts w:ascii="Garamond" w:hAnsi="Garamond"/>
        </w:rPr>
        <w:t>předloženou cizojazyčnou listinou v řízení nakládá, aniž by účastníka vyzval k doložení úředně ověřeného překladu. Tento závěr platí i pro sou</w:t>
      </w:r>
      <w:r w:rsidR="00451C4B">
        <w:rPr>
          <w:rFonts w:ascii="Garamond" w:hAnsi="Garamond"/>
        </w:rPr>
        <w:t>dní řízení (rozsudek NSS ze dne </w:t>
      </w:r>
      <w:r w:rsidRPr="009966FB">
        <w:rPr>
          <w:rFonts w:ascii="Garamond" w:hAnsi="Garamond"/>
        </w:rPr>
        <w:t>10. 8. 2016, čj. 6 Azs 165/2016-24)</w:t>
      </w:r>
      <w:r w:rsidRPr="009966FB">
        <w:rPr>
          <w:rFonts w:ascii="Garamond" w:hAnsi="Garamond"/>
          <w:bCs/>
        </w:rPr>
        <w:t>.</w:t>
      </w:r>
      <w:r>
        <w:rPr>
          <w:rFonts w:ascii="Garamond" w:hAnsi="Garamond"/>
          <w:bCs/>
        </w:rPr>
        <w:t xml:space="preserve"> Krajský soud si tak mohl právní subjektivitu žalobce bez dalšího ověřit z žalobcem předložených listin.</w:t>
      </w:r>
    </w:p>
    <w:p w14:paraId="46F69055" w14:textId="77777777" w:rsidR="00C85187" w:rsidRPr="009966FB" w:rsidRDefault="00C85187" w:rsidP="00C85187">
      <w:pPr>
        <w:pStyle w:val="Odstavecseseznamem"/>
        <w:spacing w:after="240"/>
        <w:ind w:left="0"/>
        <w:contextualSpacing w:val="0"/>
        <w:jc w:val="center"/>
        <w:rPr>
          <w:rFonts w:ascii="Garamond" w:hAnsi="Garamond"/>
          <w:b/>
        </w:rPr>
      </w:pPr>
      <w:r w:rsidRPr="009966FB">
        <w:rPr>
          <w:rFonts w:ascii="Garamond" w:hAnsi="Garamond"/>
          <w:b/>
        </w:rPr>
        <w:t>IV. Závěr a náklady řízení</w:t>
      </w:r>
    </w:p>
    <w:p w14:paraId="46F69056" w14:textId="77777777" w:rsidR="00C85187" w:rsidRPr="00E038EA" w:rsidRDefault="00C85187" w:rsidP="00C85187">
      <w:pPr>
        <w:pStyle w:val="Odstavecseseznamem"/>
        <w:numPr>
          <w:ilvl w:val="0"/>
          <w:numId w:val="16"/>
        </w:numPr>
        <w:spacing w:after="240"/>
        <w:ind w:left="0" w:firstLine="0"/>
        <w:contextualSpacing w:val="0"/>
        <w:jc w:val="both"/>
        <w:rPr>
          <w:rFonts w:ascii="Garamond" w:hAnsi="Garamond"/>
        </w:rPr>
      </w:pPr>
      <w:r w:rsidRPr="00E038EA">
        <w:rPr>
          <w:rFonts w:ascii="Garamond" w:hAnsi="Garamond"/>
        </w:rPr>
        <w:t>S ohledem na výše uvedené NSS zamítl kasační stížnosti jako nedůvodné</w:t>
      </w:r>
      <w:r>
        <w:rPr>
          <w:rFonts w:ascii="Garamond" w:hAnsi="Garamond"/>
        </w:rPr>
        <w:t xml:space="preserve"> (§ 110 odst. 1 </w:t>
      </w:r>
      <w:r w:rsidRPr="00E038EA">
        <w:rPr>
          <w:rFonts w:ascii="Garamond" w:hAnsi="Garamond"/>
        </w:rPr>
        <w:t xml:space="preserve">věta poslední s. ř. s.). </w:t>
      </w:r>
    </w:p>
    <w:p w14:paraId="46F69057" w14:textId="77777777" w:rsidR="00C85187" w:rsidRPr="00D1539D" w:rsidRDefault="00C85187" w:rsidP="00C85187">
      <w:pPr>
        <w:pStyle w:val="Odstavecseseznamem"/>
        <w:numPr>
          <w:ilvl w:val="0"/>
          <w:numId w:val="16"/>
        </w:numPr>
        <w:spacing w:after="240"/>
        <w:ind w:left="0" w:firstLine="0"/>
        <w:contextualSpacing w:val="0"/>
        <w:jc w:val="both"/>
        <w:rPr>
          <w:rFonts w:ascii="Garamond" w:hAnsi="Garamond"/>
        </w:rPr>
      </w:pPr>
      <w:r w:rsidRPr="00D1539D">
        <w:rPr>
          <w:rFonts w:ascii="Garamond" w:hAnsi="Garamond"/>
        </w:rPr>
        <w:t>O náhradě nákladů řízení rozhodl NSS podle § 60 odst. 1 za použití § 120 s. ř. s. Stěžovatelé nemají právo na náhradu nákladů řízení o kasačních stížnostech, neboť ve věci neměli úspěch. Naopak plný úspěch měl žalobce. Jelikož však v řízení o kasační stížnosti nebyl zastoupen advokátem a ani nedoložil, že by mu vznikly nějaké náklady, NSS mu náhradu nákladů řízení nepřiznal.</w:t>
      </w:r>
    </w:p>
    <w:p w14:paraId="46F69058" w14:textId="77777777" w:rsidR="00C85187" w:rsidRPr="00E038EA" w:rsidRDefault="00C85187" w:rsidP="00C85187">
      <w:pPr>
        <w:pStyle w:val="Odstavecseseznamem"/>
        <w:numPr>
          <w:ilvl w:val="0"/>
          <w:numId w:val="16"/>
        </w:numPr>
        <w:spacing w:after="240"/>
        <w:ind w:left="0" w:firstLine="0"/>
        <w:contextualSpacing w:val="0"/>
        <w:jc w:val="both"/>
        <w:rPr>
          <w:rFonts w:ascii="Garamond" w:hAnsi="Garamond"/>
        </w:rPr>
      </w:pPr>
      <w:r w:rsidRPr="00E038EA">
        <w:rPr>
          <w:rFonts w:ascii="Garamond" w:hAnsi="Garamond"/>
        </w:rPr>
        <w:t>Osoba zúčastněná na řízení má podle § 60 odst. 5 s. ř. s.</w:t>
      </w:r>
      <w:r>
        <w:rPr>
          <w:rFonts w:ascii="Garamond" w:hAnsi="Garamond"/>
        </w:rPr>
        <w:t xml:space="preserve"> za použití § 120 s. ř. s. právo na </w:t>
      </w:r>
      <w:r w:rsidRPr="00E038EA">
        <w:rPr>
          <w:rFonts w:ascii="Garamond" w:hAnsi="Garamond"/>
        </w:rPr>
        <w:t>náhradu jen těch nákladů, které jí vznikly v souvislosti s plněním povinnosti, kterou jí soud uložil. NSS osobě zúčastněné na řízení I</w:t>
      </w:r>
      <w:r>
        <w:rPr>
          <w:rFonts w:ascii="Garamond" w:hAnsi="Garamond"/>
        </w:rPr>
        <w:t>)</w:t>
      </w:r>
      <w:r w:rsidRPr="00E038EA">
        <w:rPr>
          <w:rFonts w:ascii="Garamond" w:hAnsi="Garamond"/>
        </w:rPr>
        <w:t xml:space="preserve"> žádnou povinnost neuložil, proto rozhodl, že osoba zúčastněna na řízení I</w:t>
      </w:r>
      <w:r>
        <w:rPr>
          <w:rFonts w:ascii="Garamond" w:hAnsi="Garamond"/>
        </w:rPr>
        <w:t>)</w:t>
      </w:r>
      <w:r w:rsidRPr="00E038EA">
        <w:rPr>
          <w:rFonts w:ascii="Garamond" w:hAnsi="Garamond"/>
        </w:rPr>
        <w:t xml:space="preserve"> nemá právo na náhradu nákladů řízení.  </w:t>
      </w:r>
    </w:p>
    <w:p w14:paraId="46F69059" w14:textId="77777777" w:rsidR="00C85187" w:rsidRPr="009966FB" w:rsidRDefault="00C85187" w:rsidP="00C85187">
      <w:pPr>
        <w:tabs>
          <w:tab w:val="left" w:pos="1701"/>
        </w:tabs>
        <w:rPr>
          <w:rFonts w:ascii="Garamond" w:hAnsi="Garamond"/>
          <w:b/>
          <w:spacing w:val="60"/>
        </w:rPr>
      </w:pPr>
      <w:r w:rsidRPr="003B77CE">
        <w:rPr>
          <w:rFonts w:ascii="Garamond" w:hAnsi="Garamond"/>
          <w:b/>
          <w:spacing w:val="60"/>
        </w:rPr>
        <w:t>Poučení:</w:t>
      </w:r>
      <w:r w:rsidRPr="003B77CE">
        <w:rPr>
          <w:rFonts w:ascii="Garamond" w:hAnsi="Garamond"/>
          <w:b/>
          <w:spacing w:val="60"/>
        </w:rPr>
        <w:tab/>
      </w:r>
      <w:r w:rsidRPr="00E038EA">
        <w:rPr>
          <w:rFonts w:ascii="Garamond" w:hAnsi="Garamond"/>
        </w:rPr>
        <w:t xml:space="preserve"> Proti tomuto rozsudku</w:t>
      </w:r>
      <w:r w:rsidRPr="003B77CE">
        <w:rPr>
          <w:rFonts w:ascii="Garamond" w:hAnsi="Garamond"/>
          <w:spacing w:val="60"/>
        </w:rPr>
        <w:t xml:space="preserve"> </w:t>
      </w:r>
      <w:r w:rsidR="003B77CE">
        <w:rPr>
          <w:rFonts w:ascii="Garamond" w:hAnsi="Garamond"/>
          <w:b/>
          <w:spacing w:val="60"/>
        </w:rPr>
        <w:t>nejso</w:t>
      </w:r>
      <w:r w:rsidRPr="003B77CE">
        <w:rPr>
          <w:rFonts w:ascii="Garamond" w:hAnsi="Garamond"/>
          <w:b/>
          <w:spacing w:val="60"/>
        </w:rPr>
        <w:t>u</w:t>
      </w:r>
      <w:r>
        <w:rPr>
          <w:rFonts w:ascii="Garamond" w:hAnsi="Garamond"/>
        </w:rPr>
        <w:t xml:space="preserve"> </w:t>
      </w:r>
      <w:r w:rsidRPr="00E038EA">
        <w:rPr>
          <w:rFonts w:ascii="Garamond" w:hAnsi="Garamond"/>
        </w:rPr>
        <w:t>opravné prostředky přípustné.</w:t>
      </w:r>
    </w:p>
    <w:p w14:paraId="46F6905A" w14:textId="77777777" w:rsidR="00C85187" w:rsidRPr="009966FB" w:rsidRDefault="00C85187" w:rsidP="00C85187">
      <w:pPr>
        <w:pStyle w:val="mmstdcentrneprol"/>
        <w:spacing w:before="0" w:after="0" w:line="240" w:lineRule="auto"/>
        <w:rPr>
          <w:snapToGrid w:val="0"/>
          <w:sz w:val="24"/>
          <w:szCs w:val="24"/>
        </w:rPr>
      </w:pPr>
    </w:p>
    <w:p w14:paraId="46F6905B" w14:textId="09003569" w:rsidR="00C85187" w:rsidRPr="009966FB" w:rsidRDefault="00C85187" w:rsidP="00C85187">
      <w:pPr>
        <w:pStyle w:val="mmstdcentrneprol"/>
        <w:spacing w:before="0" w:after="0" w:line="240" w:lineRule="auto"/>
        <w:rPr>
          <w:snapToGrid w:val="0"/>
          <w:sz w:val="24"/>
          <w:szCs w:val="24"/>
        </w:rPr>
      </w:pPr>
      <w:r w:rsidRPr="009966FB">
        <w:rPr>
          <w:snapToGrid w:val="0"/>
          <w:sz w:val="24"/>
          <w:szCs w:val="24"/>
        </w:rPr>
        <w:t>V</w:t>
      </w:r>
      <w:r>
        <w:rPr>
          <w:snapToGrid w:val="0"/>
          <w:sz w:val="24"/>
          <w:szCs w:val="24"/>
        </w:rPr>
        <w:t> </w:t>
      </w:r>
      <w:r w:rsidRPr="009966FB">
        <w:rPr>
          <w:snapToGrid w:val="0"/>
          <w:sz w:val="24"/>
          <w:szCs w:val="24"/>
        </w:rPr>
        <w:t>Brně</w:t>
      </w:r>
      <w:r>
        <w:rPr>
          <w:snapToGrid w:val="0"/>
          <w:sz w:val="24"/>
          <w:szCs w:val="24"/>
        </w:rPr>
        <w:t xml:space="preserve"> dne </w:t>
      </w:r>
      <w:r w:rsidR="0020228D">
        <w:rPr>
          <w:snapToGrid w:val="0"/>
          <w:sz w:val="24"/>
          <w:szCs w:val="24"/>
        </w:rPr>
        <w:t>23. června 2021</w:t>
      </w:r>
    </w:p>
    <w:p w14:paraId="46F6905C" w14:textId="77777777" w:rsidR="00C85187" w:rsidRPr="009966FB" w:rsidRDefault="00C85187" w:rsidP="00C85187">
      <w:pPr>
        <w:pStyle w:val="mmstdcentrneprol"/>
        <w:spacing w:before="0" w:after="0" w:line="240" w:lineRule="auto"/>
        <w:rPr>
          <w:snapToGrid w:val="0"/>
          <w:sz w:val="24"/>
          <w:szCs w:val="24"/>
        </w:rPr>
      </w:pPr>
    </w:p>
    <w:p w14:paraId="46F6905D" w14:textId="1CA3076F" w:rsidR="00C85187" w:rsidRPr="009966FB" w:rsidRDefault="00C85187" w:rsidP="00C85187">
      <w:pPr>
        <w:pStyle w:val="mmstdcentrneprol"/>
        <w:spacing w:before="0" w:after="0" w:line="240" w:lineRule="auto"/>
        <w:ind w:left="6237"/>
        <w:rPr>
          <w:sz w:val="24"/>
          <w:szCs w:val="24"/>
        </w:rPr>
      </w:pPr>
      <w:r w:rsidRPr="009966FB">
        <w:rPr>
          <w:sz w:val="24"/>
          <w:szCs w:val="24"/>
        </w:rPr>
        <w:t>Zdeněk Kühn</w:t>
      </w:r>
      <w:r w:rsidR="00FC7331">
        <w:rPr>
          <w:sz w:val="24"/>
          <w:szCs w:val="24"/>
        </w:rPr>
        <w:t xml:space="preserve"> </w:t>
      </w:r>
    </w:p>
    <w:p w14:paraId="46F6905E" w14:textId="77777777" w:rsidR="00C85187" w:rsidRPr="009966FB" w:rsidRDefault="00C85187" w:rsidP="00C85187">
      <w:pPr>
        <w:pStyle w:val="mmstd"/>
        <w:spacing w:before="0" w:after="0" w:line="240" w:lineRule="auto"/>
        <w:ind w:left="6237" w:firstLine="0"/>
        <w:jc w:val="center"/>
        <w:rPr>
          <w:sz w:val="24"/>
          <w:szCs w:val="24"/>
        </w:rPr>
      </w:pPr>
      <w:r w:rsidRPr="009966FB">
        <w:rPr>
          <w:sz w:val="24"/>
          <w:szCs w:val="24"/>
        </w:rPr>
        <w:t>předseda senátu</w:t>
      </w:r>
    </w:p>
    <w:p w14:paraId="46F69060" w14:textId="77777777" w:rsidR="002171B4" w:rsidRPr="00C85187" w:rsidRDefault="002171B4" w:rsidP="00C85187">
      <w:pPr>
        <w:rPr>
          <w:rStyle w:val="slostrnky"/>
        </w:rPr>
      </w:pPr>
    </w:p>
    <w:sectPr w:rsidR="002171B4" w:rsidRPr="00C85187" w:rsidSect="00676CB3">
      <w:headerReference w:type="even" r:id="rId17"/>
      <w:headerReference w:type="default" r:id="rId18"/>
      <w:footerReference w:type="even" r:id="rId19"/>
      <w:footerReference w:type="default" r:id="rId20"/>
      <w:headerReference w:type="first" r:id="rId21"/>
      <w:footerReference w:type="first" r:id="rId22"/>
      <w:pgSz w:w="11906" w:h="16838"/>
      <w:pgMar w:top="1418" w:right="1418" w:bottom="1418"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F69065" w14:textId="77777777" w:rsidR="003B77CE" w:rsidRDefault="003B77CE" w:rsidP="00D40A7C">
      <w:r>
        <w:separator/>
      </w:r>
    </w:p>
  </w:endnote>
  <w:endnote w:type="continuationSeparator" w:id="0">
    <w:p w14:paraId="46F69066" w14:textId="77777777" w:rsidR="003B77CE" w:rsidRDefault="003B77CE" w:rsidP="00D40A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StarSymbol">
    <w:altName w:val="Arial Unicode MS"/>
    <w:charset w:val="80"/>
    <w:family w:val="auto"/>
    <w:pitch w:val="default"/>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F6906C" w14:textId="77777777" w:rsidR="00356F29" w:rsidRDefault="00356F29">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F6906D" w14:textId="77777777" w:rsidR="00356F29" w:rsidRDefault="00356F29">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F69071" w14:textId="77777777" w:rsidR="00356F29" w:rsidRDefault="00356F29">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F69063" w14:textId="77777777" w:rsidR="003B77CE" w:rsidRDefault="003B77CE" w:rsidP="00D40A7C">
      <w:r>
        <w:separator/>
      </w:r>
    </w:p>
  </w:footnote>
  <w:footnote w:type="continuationSeparator" w:id="0">
    <w:p w14:paraId="46F69064" w14:textId="77777777" w:rsidR="003B77CE" w:rsidRDefault="003B77CE" w:rsidP="00D40A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F69067" w14:textId="77777777" w:rsidR="003B77CE" w:rsidRPr="009A18BC" w:rsidRDefault="003B77CE" w:rsidP="009A18BC">
    <w:pPr>
      <w:pStyle w:val="Zhlav"/>
      <w:jc w:val="right"/>
    </w:pPr>
    <w:r>
      <w:rPr>
        <w:rFonts w:ascii="Garamond" w:hAnsi="Garamond"/>
      </w:rPr>
      <w:t xml:space="preserve">10 As </w:t>
    </w:r>
    <w:r w:rsidR="00356F29">
      <w:rPr>
        <w:rFonts w:ascii="Garamond" w:hAnsi="Garamond"/>
      </w:rPr>
      <w:t>36</w:t>
    </w:r>
    <w:r>
      <w:rPr>
        <w:rFonts w:ascii="Garamond" w:hAnsi="Garamond"/>
      </w:rPr>
      <w:t xml:space="preserve">/2021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F69068" w14:textId="7A120450" w:rsidR="003B77CE" w:rsidRDefault="003B77CE" w:rsidP="00CE4245">
    <w:pPr>
      <w:pStyle w:val="Zhlav"/>
      <w:ind w:left="1080"/>
      <w:jc w:val="right"/>
      <w:rPr>
        <w:rFonts w:ascii="Garamond" w:hAnsi="Garamond"/>
      </w:rPr>
    </w:pPr>
    <w:r>
      <w:rPr>
        <w:rFonts w:ascii="Garamond" w:hAnsi="Garamond"/>
      </w:rPr>
      <w:t xml:space="preserve">10 As </w:t>
    </w:r>
    <w:r w:rsidR="00356F29">
      <w:rPr>
        <w:rFonts w:ascii="Garamond" w:hAnsi="Garamond"/>
      </w:rPr>
      <w:t>36</w:t>
    </w:r>
    <w:r>
      <w:rPr>
        <w:rFonts w:ascii="Garamond" w:hAnsi="Garamond"/>
      </w:rPr>
      <w:t>/2021</w:t>
    </w:r>
    <w:r w:rsidRPr="00CE4245">
      <w:rPr>
        <w:rFonts w:ascii="Garamond" w:hAnsi="Garamond"/>
      </w:rPr>
      <w:t xml:space="preserve"> - </w:t>
    </w:r>
    <w:r w:rsidRPr="00CE4245">
      <w:rPr>
        <w:rFonts w:ascii="Garamond" w:hAnsi="Garamond"/>
      </w:rPr>
      <w:fldChar w:fldCharType="begin"/>
    </w:r>
    <w:r w:rsidRPr="00CE4245">
      <w:rPr>
        <w:rFonts w:ascii="Garamond" w:hAnsi="Garamond"/>
      </w:rPr>
      <w:instrText xml:space="preserve"> = </w:instrText>
    </w:r>
    <w:r w:rsidR="00356F29">
      <w:rPr>
        <w:rFonts w:ascii="Garamond" w:hAnsi="Garamond"/>
      </w:rPr>
      <w:instrText>77</w:instrText>
    </w:r>
    <w:r w:rsidRPr="00CE4245">
      <w:rPr>
        <w:rFonts w:ascii="Garamond" w:hAnsi="Garamond"/>
      </w:rPr>
      <w:instrText xml:space="preserve"> + INT ((</w:instrText>
    </w:r>
    <w:r w:rsidRPr="00CE4245">
      <w:rPr>
        <w:rFonts w:ascii="Garamond" w:hAnsi="Garamond"/>
      </w:rPr>
      <w:fldChar w:fldCharType="begin"/>
    </w:r>
    <w:r w:rsidRPr="00CE4245">
      <w:rPr>
        <w:rFonts w:ascii="Garamond" w:hAnsi="Garamond"/>
      </w:rPr>
      <w:instrText xml:space="preserve"> PAGE</w:instrText>
    </w:r>
    <w:r w:rsidRPr="00CE4245">
      <w:rPr>
        <w:rFonts w:ascii="Garamond" w:hAnsi="Garamond"/>
      </w:rPr>
      <w:fldChar w:fldCharType="separate"/>
    </w:r>
    <w:r w:rsidR="00F1511C">
      <w:rPr>
        <w:rFonts w:ascii="Garamond" w:hAnsi="Garamond"/>
        <w:noProof/>
      </w:rPr>
      <w:instrText>11</w:instrText>
    </w:r>
    <w:r w:rsidRPr="00CE4245">
      <w:rPr>
        <w:rFonts w:ascii="Garamond" w:hAnsi="Garamond"/>
      </w:rPr>
      <w:fldChar w:fldCharType="end"/>
    </w:r>
    <w:r w:rsidRPr="00CE4245">
      <w:rPr>
        <w:rFonts w:ascii="Garamond" w:hAnsi="Garamond"/>
      </w:rPr>
      <w:instrText xml:space="preserve">+1)/2)-1 </w:instrText>
    </w:r>
    <w:r w:rsidRPr="00CE4245">
      <w:rPr>
        <w:rFonts w:ascii="Garamond" w:hAnsi="Garamond"/>
      </w:rPr>
      <w:fldChar w:fldCharType="separate"/>
    </w:r>
    <w:r w:rsidR="00F1511C">
      <w:rPr>
        <w:rFonts w:ascii="Garamond" w:hAnsi="Garamond"/>
        <w:noProof/>
      </w:rPr>
      <w:t>82</w:t>
    </w:r>
    <w:r w:rsidRPr="00CE4245">
      <w:rPr>
        <w:rFonts w:ascii="Garamond" w:hAnsi="Garamond"/>
      </w:rPr>
      <w:fldChar w:fldCharType="end"/>
    </w:r>
  </w:p>
  <w:p w14:paraId="46F69069" w14:textId="77777777" w:rsidR="003B77CE" w:rsidRDefault="003B77CE" w:rsidP="00CE4245">
    <w:pPr>
      <w:pStyle w:val="Zhlav"/>
      <w:ind w:left="1080"/>
      <w:jc w:val="right"/>
      <w:rPr>
        <w:rFonts w:ascii="Garamond" w:hAnsi="Garamond"/>
      </w:rPr>
    </w:pPr>
  </w:p>
  <w:p w14:paraId="46F6906A" w14:textId="77777777" w:rsidR="003B77CE" w:rsidRDefault="003B77CE" w:rsidP="00132473">
    <w:pPr>
      <w:pStyle w:val="Zhlav"/>
      <w:rPr>
        <w:rFonts w:ascii="Garamond" w:hAnsi="Garamond"/>
      </w:rPr>
    </w:pPr>
    <w:r>
      <w:rPr>
        <w:rFonts w:ascii="Garamond" w:hAnsi="Garamond"/>
      </w:rPr>
      <w:t>pokračování</w:t>
    </w:r>
  </w:p>
  <w:p w14:paraId="46F6906B" w14:textId="77777777" w:rsidR="003B77CE" w:rsidRPr="00CE4245" w:rsidRDefault="003B77CE" w:rsidP="00CE4245">
    <w:pPr>
      <w:pStyle w:val="Zhlav"/>
      <w:ind w:left="1080"/>
      <w:jc w:val="right"/>
      <w:rPr>
        <w:rFonts w:ascii="Garamond" w:hAnsi="Garamond"/>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F6906E" w14:textId="504E9F70" w:rsidR="003B77CE" w:rsidRDefault="003B77CE" w:rsidP="003B2F52">
    <w:pPr>
      <w:pStyle w:val="Zhlav"/>
      <w:ind w:left="1080"/>
      <w:jc w:val="right"/>
      <w:rPr>
        <w:rFonts w:ascii="Garamond" w:hAnsi="Garamond"/>
      </w:rPr>
    </w:pPr>
    <w:r>
      <w:rPr>
        <w:rFonts w:ascii="Garamond" w:hAnsi="Garamond"/>
      </w:rPr>
      <w:t xml:space="preserve">10 As </w:t>
    </w:r>
    <w:r w:rsidR="00356F29">
      <w:rPr>
        <w:rFonts w:ascii="Garamond" w:hAnsi="Garamond"/>
      </w:rPr>
      <w:t>36</w:t>
    </w:r>
    <w:r>
      <w:rPr>
        <w:rFonts w:ascii="Garamond" w:hAnsi="Garamond"/>
      </w:rPr>
      <w:t>/2021</w:t>
    </w:r>
    <w:r w:rsidRPr="00CE4245">
      <w:rPr>
        <w:rFonts w:ascii="Garamond" w:hAnsi="Garamond"/>
      </w:rPr>
      <w:t xml:space="preserve"> - </w:t>
    </w:r>
    <w:r w:rsidRPr="00CE4245">
      <w:rPr>
        <w:rFonts w:ascii="Garamond" w:hAnsi="Garamond"/>
      </w:rPr>
      <w:fldChar w:fldCharType="begin"/>
    </w:r>
    <w:r w:rsidRPr="00CE4245">
      <w:rPr>
        <w:rFonts w:ascii="Garamond" w:hAnsi="Garamond"/>
      </w:rPr>
      <w:instrText xml:space="preserve"> =  </w:instrText>
    </w:r>
    <w:r w:rsidR="00356F29">
      <w:rPr>
        <w:rFonts w:ascii="Garamond" w:hAnsi="Garamond"/>
      </w:rPr>
      <w:instrText>77</w:instrText>
    </w:r>
    <w:r w:rsidRPr="00CE4245">
      <w:rPr>
        <w:rFonts w:ascii="Garamond" w:hAnsi="Garamond"/>
      </w:rPr>
      <w:instrText xml:space="preserve"> + INT ((</w:instrText>
    </w:r>
    <w:r w:rsidRPr="00CE4245">
      <w:rPr>
        <w:rFonts w:ascii="Garamond" w:hAnsi="Garamond"/>
      </w:rPr>
      <w:fldChar w:fldCharType="begin"/>
    </w:r>
    <w:r w:rsidRPr="00CE4245">
      <w:rPr>
        <w:rFonts w:ascii="Garamond" w:hAnsi="Garamond"/>
      </w:rPr>
      <w:instrText xml:space="preserve"> PAGE</w:instrText>
    </w:r>
    <w:r w:rsidRPr="00CE4245">
      <w:rPr>
        <w:rFonts w:ascii="Garamond" w:hAnsi="Garamond"/>
      </w:rPr>
      <w:fldChar w:fldCharType="separate"/>
    </w:r>
    <w:r w:rsidR="00F1511C">
      <w:rPr>
        <w:rFonts w:ascii="Garamond" w:hAnsi="Garamond"/>
        <w:noProof/>
      </w:rPr>
      <w:instrText>1</w:instrText>
    </w:r>
    <w:r w:rsidRPr="00CE4245">
      <w:rPr>
        <w:rFonts w:ascii="Garamond" w:hAnsi="Garamond"/>
      </w:rPr>
      <w:fldChar w:fldCharType="end"/>
    </w:r>
    <w:r w:rsidRPr="00CE4245">
      <w:rPr>
        <w:rFonts w:ascii="Garamond" w:hAnsi="Garamond"/>
      </w:rPr>
      <w:instrText xml:space="preserve">+1)/2)-1 </w:instrText>
    </w:r>
    <w:r w:rsidRPr="00CE4245">
      <w:rPr>
        <w:rFonts w:ascii="Garamond" w:hAnsi="Garamond"/>
      </w:rPr>
      <w:fldChar w:fldCharType="separate"/>
    </w:r>
    <w:r w:rsidR="00F1511C">
      <w:rPr>
        <w:rFonts w:ascii="Garamond" w:hAnsi="Garamond"/>
        <w:noProof/>
      </w:rPr>
      <w:t>77</w:t>
    </w:r>
    <w:r w:rsidRPr="00CE4245">
      <w:rPr>
        <w:rFonts w:ascii="Garamond" w:hAnsi="Garamond"/>
      </w:rPr>
      <w:fldChar w:fldCharType="end"/>
    </w:r>
  </w:p>
  <w:p w14:paraId="46F6906F" w14:textId="77777777" w:rsidR="003B77CE" w:rsidRDefault="003B77CE" w:rsidP="003B2F52">
    <w:pPr>
      <w:pStyle w:val="Zhlav"/>
      <w:ind w:left="1080"/>
      <w:jc w:val="right"/>
      <w:rPr>
        <w:rFonts w:ascii="Garamond" w:hAnsi="Garamond"/>
      </w:rPr>
    </w:pPr>
  </w:p>
  <w:p w14:paraId="46F69070" w14:textId="77777777" w:rsidR="003B77CE" w:rsidRDefault="003B77CE" w:rsidP="001A6A11">
    <w:pPr>
      <w:pStyle w:val="Zhlav"/>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Nadpis1"/>
      <w:suff w:val="nothing"/>
      <w:lvlText w:val=""/>
      <w:lvlJc w:val="left"/>
      <w:pPr>
        <w:tabs>
          <w:tab w:val="num" w:pos="0"/>
        </w:tabs>
        <w:ind w:left="0" w:firstLine="0"/>
      </w:pPr>
    </w:lvl>
    <w:lvl w:ilvl="1">
      <w:start w:val="1"/>
      <w:numFmt w:val="none"/>
      <w:pStyle w:val="Zkladnodstavec"/>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2" w15:restartNumberingAfterBreak="0">
    <w:nsid w:val="00E16B00"/>
    <w:multiLevelType w:val="hybridMultilevel"/>
    <w:tmpl w:val="97E470C8"/>
    <w:lvl w:ilvl="0" w:tplc="0405000F">
      <w:start w:val="1"/>
      <w:numFmt w:val="decimal"/>
      <w:lvlText w:val="%1."/>
      <w:lvlJc w:val="left"/>
      <w:pPr>
        <w:ind w:left="720" w:hanging="360"/>
      </w:pPr>
    </w:lvl>
    <w:lvl w:ilvl="1" w:tplc="0B84366A">
      <w:start w:val="1"/>
      <w:numFmt w:val="decimal"/>
      <w:pStyle w:val="Zkladnsslovnm"/>
      <w:lvlText w:val="[%2]"/>
      <w:lvlJc w:val="left"/>
      <w:pPr>
        <w:ind w:left="502" w:hanging="360"/>
      </w:pPr>
      <w:rPr>
        <w:rFonts w:cs="Times New Roman"/>
        <w:b w:val="0"/>
        <w:bCs w:val="0"/>
        <w:i w:val="0"/>
        <w:iCs w:val="0"/>
        <w:caps w:val="0"/>
        <w:smallCaps w:val="0"/>
        <w:strike w:val="0"/>
        <w:dstrike w:val="0"/>
        <w:noProof w:val="0"/>
        <w:vanish w:val="0"/>
        <w:webHidden w:val="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CF96542C">
      <w:start w:val="5"/>
      <w:numFmt w:val="bullet"/>
      <w:lvlText w:val=""/>
      <w:lvlJc w:val="left"/>
      <w:pPr>
        <w:ind w:left="2985" w:hanging="1005"/>
      </w:pPr>
      <w:rPr>
        <w:rFonts w:ascii="Symbol" w:eastAsia="Times New Roman" w:hAnsi="Symbol" w:cs="Times New Roman" w:hint="default"/>
      </w:r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3" w15:restartNumberingAfterBreak="0">
    <w:nsid w:val="054145E7"/>
    <w:multiLevelType w:val="hybridMultilevel"/>
    <w:tmpl w:val="24D6ACC4"/>
    <w:lvl w:ilvl="0" w:tplc="54D00ADA">
      <w:start w:val="1"/>
      <w:numFmt w:val="upperRoman"/>
      <w:lvlText w:val="%1."/>
      <w:lvlJc w:val="left"/>
      <w:pPr>
        <w:ind w:left="1425" w:hanging="720"/>
      </w:pPr>
      <w:rPr>
        <w:b/>
      </w:r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4" w15:restartNumberingAfterBreak="0">
    <w:nsid w:val="071A183A"/>
    <w:multiLevelType w:val="hybridMultilevel"/>
    <w:tmpl w:val="27880EDC"/>
    <w:lvl w:ilvl="0" w:tplc="4A7A8CAA">
      <w:start w:val="1"/>
      <w:numFmt w:val="upperRoman"/>
      <w:pStyle w:val="Styl2"/>
      <w:lvlText w:val="%1."/>
      <w:lvlJc w:val="left"/>
      <w:pPr>
        <w:ind w:left="1080" w:hanging="720"/>
      </w:pPr>
      <w:rPr>
        <w:rFonts w:hint="default"/>
        <w:b/>
        <w:i w:val="0"/>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07EE6DE6"/>
    <w:multiLevelType w:val="hybridMultilevel"/>
    <w:tmpl w:val="C4FA3F58"/>
    <w:lvl w:ilvl="0" w:tplc="E6F28086">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0C9E31D6"/>
    <w:multiLevelType w:val="hybridMultilevel"/>
    <w:tmpl w:val="0E54EF40"/>
    <w:lvl w:ilvl="0" w:tplc="12E07FAA">
      <w:start w:val="1"/>
      <w:numFmt w:val="decimal"/>
      <w:lvlText w:val="%1."/>
      <w:lvlJc w:val="left"/>
      <w:pPr>
        <w:tabs>
          <w:tab w:val="num" w:pos="720"/>
        </w:tabs>
        <w:ind w:left="720" w:hanging="360"/>
      </w:pPr>
      <w:rPr>
        <w:rFonts w:hint="default"/>
        <w:color w:val="auto"/>
      </w:rPr>
    </w:lvl>
    <w:lvl w:ilvl="1" w:tplc="FAEAA82C">
      <w:start w:val="1"/>
      <w:numFmt w:val="bullet"/>
      <w:lvlText w:val="-"/>
      <w:lvlJc w:val="left"/>
      <w:pPr>
        <w:tabs>
          <w:tab w:val="num" w:pos="1440"/>
        </w:tabs>
        <w:ind w:left="1440" w:hanging="360"/>
      </w:pPr>
      <w:rPr>
        <w:rFonts w:ascii="Times New Roman" w:eastAsia="Times New Roman" w:hAnsi="Times New Roman" w:cs="Times New Roman" w:hint="default"/>
        <w:color w:val="auto"/>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7" w15:restartNumberingAfterBreak="0">
    <w:nsid w:val="0D6B02FE"/>
    <w:multiLevelType w:val="hybridMultilevel"/>
    <w:tmpl w:val="D826D3A6"/>
    <w:lvl w:ilvl="0" w:tplc="6A1C3C88">
      <w:start w:val="1"/>
      <w:numFmt w:val="bullet"/>
      <w:lvlText w:val=""/>
      <w:lvlJc w:val="left"/>
      <w:pPr>
        <w:ind w:left="1440" w:hanging="360"/>
      </w:pPr>
      <w:rPr>
        <w:rFonts w:ascii="Symbol" w:hAnsi="Symbol" w:hint="default"/>
      </w:rPr>
    </w:lvl>
    <w:lvl w:ilvl="1" w:tplc="04050003">
      <w:start w:val="1"/>
      <w:numFmt w:val="decimal"/>
      <w:lvlText w:val="%2."/>
      <w:lvlJc w:val="left"/>
      <w:pPr>
        <w:tabs>
          <w:tab w:val="num" w:pos="1440"/>
        </w:tabs>
        <w:ind w:left="1440" w:hanging="360"/>
      </w:pPr>
    </w:lvl>
    <w:lvl w:ilvl="2" w:tplc="04050005">
      <w:start w:val="1"/>
      <w:numFmt w:val="decimal"/>
      <w:lvlText w:val="%3."/>
      <w:lvlJc w:val="left"/>
      <w:pPr>
        <w:tabs>
          <w:tab w:val="num" w:pos="2160"/>
        </w:tabs>
        <w:ind w:left="2160" w:hanging="360"/>
      </w:pPr>
    </w:lvl>
    <w:lvl w:ilvl="3" w:tplc="04050001">
      <w:start w:val="1"/>
      <w:numFmt w:val="decimal"/>
      <w:lvlText w:val="%4."/>
      <w:lvlJc w:val="left"/>
      <w:pPr>
        <w:tabs>
          <w:tab w:val="num" w:pos="2880"/>
        </w:tabs>
        <w:ind w:left="2880" w:hanging="360"/>
      </w:p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abstractNum w:abstractNumId="8" w15:restartNumberingAfterBreak="0">
    <w:nsid w:val="10A66C90"/>
    <w:multiLevelType w:val="hybridMultilevel"/>
    <w:tmpl w:val="08483348"/>
    <w:lvl w:ilvl="0" w:tplc="5B22C10C">
      <w:start w:val="1"/>
      <w:numFmt w:val="decimal"/>
      <w:lvlText w:val="%1."/>
      <w:lvlJc w:val="left"/>
      <w:pPr>
        <w:tabs>
          <w:tab w:val="num" w:pos="720"/>
        </w:tabs>
        <w:ind w:left="720" w:hanging="360"/>
      </w:pPr>
      <w:rPr>
        <w:rFonts w:hint="default"/>
        <w:color w:val="auto"/>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9" w15:restartNumberingAfterBreak="0">
    <w:nsid w:val="10D32E6A"/>
    <w:multiLevelType w:val="hybridMultilevel"/>
    <w:tmpl w:val="CBEE0486"/>
    <w:lvl w:ilvl="0" w:tplc="B6427AD0">
      <w:start w:val="1"/>
      <w:numFmt w:val="decimal"/>
      <w:lvlText w:val="[%1]"/>
      <w:lvlJc w:val="left"/>
      <w:pPr>
        <w:ind w:left="720" w:hanging="360"/>
      </w:pPr>
      <w:rPr>
        <w:rFonts w:ascii="Garamond" w:hAnsi="Garamond" w:hint="default"/>
        <w:b w:val="0"/>
        <w:i w:val="0"/>
        <w:sz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234252F5"/>
    <w:multiLevelType w:val="singleLevel"/>
    <w:tmpl w:val="2A30FF74"/>
    <w:lvl w:ilvl="0">
      <w:start w:val="1"/>
      <w:numFmt w:val="upperRoman"/>
      <w:pStyle w:val="mmvrok"/>
      <w:lvlText w:val="%1."/>
      <w:lvlJc w:val="left"/>
      <w:pPr>
        <w:tabs>
          <w:tab w:val="num" w:pos="720"/>
        </w:tabs>
        <w:ind w:left="720" w:hanging="720"/>
      </w:pPr>
    </w:lvl>
  </w:abstractNum>
  <w:abstractNum w:abstractNumId="11" w15:restartNumberingAfterBreak="0">
    <w:nsid w:val="2D892220"/>
    <w:multiLevelType w:val="hybridMultilevel"/>
    <w:tmpl w:val="F746FA64"/>
    <w:lvl w:ilvl="0" w:tplc="55A863B2">
      <w:start w:val="1"/>
      <w:numFmt w:val="decimal"/>
      <w:pStyle w:val="Styl1"/>
      <w:lvlText w:val="[%1]"/>
      <w:lvlJc w:val="left"/>
      <w:pPr>
        <w:ind w:left="720" w:hanging="360"/>
      </w:pPr>
      <w:rPr>
        <w:b w:val="0"/>
        <w:i w:val="0"/>
      </w:rPr>
    </w:lvl>
    <w:lvl w:ilvl="1" w:tplc="04050019">
      <w:start w:val="1"/>
      <w:numFmt w:val="lowerLetter"/>
      <w:lvlText w:val="%2."/>
      <w:lvlJc w:val="left"/>
      <w:pPr>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12" w15:restartNumberingAfterBreak="0">
    <w:nsid w:val="30A902C4"/>
    <w:multiLevelType w:val="singleLevel"/>
    <w:tmpl w:val="B54C97C2"/>
    <w:lvl w:ilvl="0">
      <w:start w:val="1"/>
      <w:numFmt w:val="decimal"/>
      <w:pStyle w:val="mmpokynkanceli"/>
      <w:lvlText w:val="%1."/>
      <w:lvlJc w:val="left"/>
      <w:pPr>
        <w:tabs>
          <w:tab w:val="num" w:pos="360"/>
        </w:tabs>
        <w:ind w:left="360" w:hanging="360"/>
      </w:pPr>
    </w:lvl>
  </w:abstractNum>
  <w:abstractNum w:abstractNumId="13" w15:restartNumberingAfterBreak="0">
    <w:nsid w:val="30BF3AE8"/>
    <w:multiLevelType w:val="hybridMultilevel"/>
    <w:tmpl w:val="EDBCF0F4"/>
    <w:lvl w:ilvl="0" w:tplc="41748C00">
      <w:start w:val="1"/>
      <w:numFmt w:val="upperRoman"/>
      <w:lvlText w:val="%1."/>
      <w:lvlJc w:val="left"/>
      <w:pPr>
        <w:ind w:left="1428" w:hanging="720"/>
      </w:pPr>
      <w:rPr>
        <w:b/>
      </w:rPr>
    </w:lvl>
    <w:lvl w:ilvl="1" w:tplc="04050019">
      <w:start w:val="1"/>
      <w:numFmt w:val="lowerLetter"/>
      <w:lvlText w:val="%2."/>
      <w:lvlJc w:val="left"/>
      <w:pPr>
        <w:ind w:left="1788" w:hanging="360"/>
      </w:pPr>
    </w:lvl>
    <w:lvl w:ilvl="2" w:tplc="0405001B">
      <w:start w:val="1"/>
      <w:numFmt w:val="lowerRoman"/>
      <w:lvlText w:val="%3."/>
      <w:lvlJc w:val="right"/>
      <w:pPr>
        <w:ind w:left="2508" w:hanging="180"/>
      </w:pPr>
    </w:lvl>
    <w:lvl w:ilvl="3" w:tplc="0405000F">
      <w:start w:val="1"/>
      <w:numFmt w:val="decimal"/>
      <w:lvlText w:val="%4."/>
      <w:lvlJc w:val="left"/>
      <w:pPr>
        <w:ind w:left="3228" w:hanging="360"/>
      </w:pPr>
    </w:lvl>
    <w:lvl w:ilvl="4" w:tplc="04050019">
      <w:start w:val="1"/>
      <w:numFmt w:val="lowerLetter"/>
      <w:lvlText w:val="%5."/>
      <w:lvlJc w:val="left"/>
      <w:pPr>
        <w:ind w:left="3948" w:hanging="360"/>
      </w:pPr>
    </w:lvl>
    <w:lvl w:ilvl="5" w:tplc="0405001B">
      <w:start w:val="1"/>
      <w:numFmt w:val="lowerRoman"/>
      <w:lvlText w:val="%6."/>
      <w:lvlJc w:val="right"/>
      <w:pPr>
        <w:ind w:left="4668" w:hanging="180"/>
      </w:pPr>
    </w:lvl>
    <w:lvl w:ilvl="6" w:tplc="0405000F">
      <w:start w:val="1"/>
      <w:numFmt w:val="decimal"/>
      <w:lvlText w:val="%7."/>
      <w:lvlJc w:val="left"/>
      <w:pPr>
        <w:ind w:left="5388" w:hanging="360"/>
      </w:pPr>
    </w:lvl>
    <w:lvl w:ilvl="7" w:tplc="04050019">
      <w:start w:val="1"/>
      <w:numFmt w:val="lowerLetter"/>
      <w:lvlText w:val="%8."/>
      <w:lvlJc w:val="left"/>
      <w:pPr>
        <w:ind w:left="6108" w:hanging="360"/>
      </w:pPr>
    </w:lvl>
    <w:lvl w:ilvl="8" w:tplc="0405001B">
      <w:start w:val="1"/>
      <w:numFmt w:val="lowerRoman"/>
      <w:lvlText w:val="%9."/>
      <w:lvlJc w:val="right"/>
      <w:pPr>
        <w:ind w:left="6828" w:hanging="180"/>
      </w:pPr>
    </w:lvl>
  </w:abstractNum>
  <w:abstractNum w:abstractNumId="14" w15:restartNumberingAfterBreak="0">
    <w:nsid w:val="3B002514"/>
    <w:multiLevelType w:val="hybridMultilevel"/>
    <w:tmpl w:val="D7903AA8"/>
    <w:lvl w:ilvl="0" w:tplc="0405000F">
      <w:start w:val="1"/>
      <w:numFmt w:val="decimal"/>
      <w:lvlText w:val="%1."/>
      <w:lvlJc w:val="left"/>
      <w:pPr>
        <w:ind w:left="360" w:hanging="360"/>
      </w:pPr>
    </w:lvl>
    <w:lvl w:ilvl="1" w:tplc="85FA5ADA">
      <w:numFmt w:val="bullet"/>
      <w:lvlText w:val=""/>
      <w:lvlJc w:val="left"/>
      <w:pPr>
        <w:ind w:left="1440" w:hanging="360"/>
      </w:pPr>
      <w:rPr>
        <w:rFonts w:ascii="Symbol" w:eastAsia="Times New Roman" w:hAnsi="Symbol" w:cs="Times New Roman"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4261509E"/>
    <w:multiLevelType w:val="hybridMultilevel"/>
    <w:tmpl w:val="51905F88"/>
    <w:lvl w:ilvl="0" w:tplc="1424F400">
      <w:start w:val="1"/>
      <w:numFmt w:val="decimal"/>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6" w15:restartNumberingAfterBreak="0">
    <w:nsid w:val="45383283"/>
    <w:multiLevelType w:val="hybridMultilevel"/>
    <w:tmpl w:val="B15A6FAA"/>
    <w:lvl w:ilvl="0" w:tplc="67A49A08">
      <w:start w:val="1"/>
      <w:numFmt w:val="upperRoman"/>
      <w:lvlText w:val="%1."/>
      <w:lvlJc w:val="left"/>
      <w:pPr>
        <w:ind w:left="720" w:hanging="720"/>
      </w:pPr>
      <w:rPr>
        <w:rFonts w:hint="default"/>
        <w:b/>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7" w15:restartNumberingAfterBreak="0">
    <w:nsid w:val="474267D4"/>
    <w:multiLevelType w:val="hybridMultilevel"/>
    <w:tmpl w:val="EC3C67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7474017"/>
    <w:multiLevelType w:val="hybridMultilevel"/>
    <w:tmpl w:val="EDFA19EE"/>
    <w:lvl w:ilvl="0" w:tplc="98E036EA">
      <w:numFmt w:val="bullet"/>
      <w:lvlText w:val="-"/>
      <w:lvlJc w:val="left"/>
      <w:pPr>
        <w:ind w:left="360" w:hanging="360"/>
      </w:pPr>
      <w:rPr>
        <w:rFonts w:ascii="Garamond" w:eastAsia="Times New Roman" w:hAnsi="Garamond" w:cs="Times New Roman"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9" w15:restartNumberingAfterBreak="0">
    <w:nsid w:val="4CE52364"/>
    <w:multiLevelType w:val="hybridMultilevel"/>
    <w:tmpl w:val="1876D608"/>
    <w:lvl w:ilvl="0" w:tplc="E2A8E360">
      <w:start w:val="1"/>
      <w:numFmt w:val="decimal"/>
      <w:pStyle w:val="odvodnnrozsudku"/>
      <w:lvlText w:val="%1."/>
      <w:lvlJc w:val="right"/>
      <w:pPr>
        <w:ind w:left="785" w:hanging="360"/>
      </w:pPr>
      <w:rPr>
        <w:rFonts w:hint="default"/>
        <w:i w:val="0"/>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20" w15:restartNumberingAfterBreak="0">
    <w:nsid w:val="4D8943D6"/>
    <w:multiLevelType w:val="hybridMultilevel"/>
    <w:tmpl w:val="6E5C215C"/>
    <w:lvl w:ilvl="0" w:tplc="491631CA">
      <w:start w:val="1"/>
      <w:numFmt w:val="upperRoman"/>
      <w:lvlText w:val="%1."/>
      <w:lvlJc w:val="left"/>
      <w:pPr>
        <w:ind w:left="720" w:hanging="720"/>
      </w:pPr>
      <w:rPr>
        <w:rFonts w:hint="default"/>
        <w:b/>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1" w15:restartNumberingAfterBreak="0">
    <w:nsid w:val="52026265"/>
    <w:multiLevelType w:val="hybridMultilevel"/>
    <w:tmpl w:val="10B8CB40"/>
    <w:lvl w:ilvl="0" w:tplc="FFB438D6">
      <w:start w:val="1"/>
      <w:numFmt w:val="decimal"/>
      <w:lvlText w:val="[%1]"/>
      <w:lvlJc w:val="left"/>
      <w:pPr>
        <w:tabs>
          <w:tab w:val="num" w:pos="0"/>
        </w:tabs>
        <w:ind w:left="0" w:firstLine="0"/>
      </w:pPr>
      <w:rPr>
        <w:rFonts w:ascii="Garamond" w:hAnsi="Garamond" w:hint="default"/>
        <w:b w:val="0"/>
        <w:i w:val="0"/>
      </w:rPr>
    </w:lvl>
    <w:lvl w:ilvl="1" w:tplc="04050019" w:tentative="1">
      <w:start w:val="1"/>
      <w:numFmt w:val="lowerLetter"/>
      <w:lvlText w:val="%2."/>
      <w:lvlJc w:val="left"/>
      <w:pPr>
        <w:ind w:left="277" w:hanging="360"/>
      </w:pPr>
    </w:lvl>
    <w:lvl w:ilvl="2" w:tplc="0405001B" w:tentative="1">
      <w:start w:val="1"/>
      <w:numFmt w:val="lowerRoman"/>
      <w:lvlText w:val="%3."/>
      <w:lvlJc w:val="right"/>
      <w:pPr>
        <w:ind w:left="997" w:hanging="180"/>
      </w:pPr>
    </w:lvl>
    <w:lvl w:ilvl="3" w:tplc="0405000F" w:tentative="1">
      <w:start w:val="1"/>
      <w:numFmt w:val="decimal"/>
      <w:lvlText w:val="%4."/>
      <w:lvlJc w:val="left"/>
      <w:pPr>
        <w:ind w:left="1717" w:hanging="360"/>
      </w:pPr>
    </w:lvl>
    <w:lvl w:ilvl="4" w:tplc="04050019" w:tentative="1">
      <w:start w:val="1"/>
      <w:numFmt w:val="lowerLetter"/>
      <w:lvlText w:val="%5."/>
      <w:lvlJc w:val="left"/>
      <w:pPr>
        <w:ind w:left="2437" w:hanging="360"/>
      </w:pPr>
    </w:lvl>
    <w:lvl w:ilvl="5" w:tplc="0405001B" w:tentative="1">
      <w:start w:val="1"/>
      <w:numFmt w:val="lowerRoman"/>
      <w:lvlText w:val="%6."/>
      <w:lvlJc w:val="right"/>
      <w:pPr>
        <w:ind w:left="3157" w:hanging="180"/>
      </w:pPr>
    </w:lvl>
    <w:lvl w:ilvl="6" w:tplc="0405000F" w:tentative="1">
      <w:start w:val="1"/>
      <w:numFmt w:val="decimal"/>
      <w:lvlText w:val="%7."/>
      <w:lvlJc w:val="left"/>
      <w:pPr>
        <w:ind w:left="3877" w:hanging="360"/>
      </w:pPr>
    </w:lvl>
    <w:lvl w:ilvl="7" w:tplc="04050019" w:tentative="1">
      <w:start w:val="1"/>
      <w:numFmt w:val="lowerLetter"/>
      <w:lvlText w:val="%8."/>
      <w:lvlJc w:val="left"/>
      <w:pPr>
        <w:ind w:left="4597" w:hanging="360"/>
      </w:pPr>
    </w:lvl>
    <w:lvl w:ilvl="8" w:tplc="0405001B" w:tentative="1">
      <w:start w:val="1"/>
      <w:numFmt w:val="lowerRoman"/>
      <w:lvlText w:val="%9."/>
      <w:lvlJc w:val="right"/>
      <w:pPr>
        <w:ind w:left="5317" w:hanging="180"/>
      </w:pPr>
    </w:lvl>
  </w:abstractNum>
  <w:abstractNum w:abstractNumId="22" w15:restartNumberingAfterBreak="0">
    <w:nsid w:val="57E371E4"/>
    <w:multiLevelType w:val="hybridMultilevel"/>
    <w:tmpl w:val="E5AA5932"/>
    <w:lvl w:ilvl="0" w:tplc="9C0CEF20">
      <w:start w:val="1"/>
      <w:numFmt w:val="decimal"/>
      <w:lvlText w:val="[%1]"/>
      <w:lvlJc w:val="left"/>
      <w:pPr>
        <w:ind w:left="360" w:hanging="360"/>
      </w:pPr>
      <w:rPr>
        <w:rFonts w:hint="default"/>
        <w:b w:val="0"/>
        <w:i w:val="0"/>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58F85D5F"/>
    <w:multiLevelType w:val="hybridMultilevel"/>
    <w:tmpl w:val="EC2023C4"/>
    <w:lvl w:ilvl="0" w:tplc="67C0BEBA">
      <w:start w:val="1"/>
      <w:numFmt w:val="decimal"/>
      <w:lvlText w:val="[%1]"/>
      <w:lvlJc w:val="left"/>
      <w:pPr>
        <w:ind w:left="360" w:hanging="360"/>
      </w:pPr>
      <w:rPr>
        <w:rFonts w:ascii="Garamond" w:hAnsi="Garamond" w:hint="default"/>
        <w:b w:val="0"/>
        <w:i w:val="0"/>
        <w:color w:val="auto"/>
        <w:sz w:val="24"/>
        <w:szCs w:val="24"/>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69D14052"/>
    <w:multiLevelType w:val="hybridMultilevel"/>
    <w:tmpl w:val="B1CED02C"/>
    <w:lvl w:ilvl="0" w:tplc="38A22800">
      <w:start w:val="1"/>
      <w:numFmt w:val="decimal"/>
      <w:lvlText w:val="[%1]"/>
      <w:lvlJc w:val="left"/>
      <w:pPr>
        <w:ind w:left="720" w:hanging="360"/>
      </w:pPr>
      <w:rPr>
        <w:rFonts w:hint="default"/>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6F7363D2"/>
    <w:multiLevelType w:val="hybridMultilevel"/>
    <w:tmpl w:val="E25CA76A"/>
    <w:lvl w:ilvl="0" w:tplc="F3907768">
      <w:start w:val="1"/>
      <w:numFmt w:val="upperRoman"/>
      <w:lvlText w:val="%1."/>
      <w:lvlJc w:val="left"/>
      <w:pPr>
        <w:ind w:left="720" w:hanging="720"/>
      </w:pPr>
      <w:rPr>
        <w:b/>
      </w:r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26" w15:restartNumberingAfterBreak="0">
    <w:nsid w:val="707220FA"/>
    <w:multiLevelType w:val="hybridMultilevel"/>
    <w:tmpl w:val="1ABAADFA"/>
    <w:lvl w:ilvl="0" w:tplc="973C6088">
      <w:start w:val="2"/>
      <w:numFmt w:val="lowerLetter"/>
      <w:lvlText w:val="%1."/>
      <w:lvlJc w:val="left"/>
      <w:pPr>
        <w:tabs>
          <w:tab w:val="num" w:pos="1413"/>
        </w:tabs>
        <w:ind w:left="1413" w:hanging="705"/>
      </w:pPr>
      <w:rPr>
        <w:rFonts w:hint="default"/>
      </w:rPr>
    </w:lvl>
    <w:lvl w:ilvl="1" w:tplc="04050019" w:tentative="1">
      <w:start w:val="1"/>
      <w:numFmt w:val="lowerLetter"/>
      <w:lvlText w:val="%2."/>
      <w:lvlJc w:val="left"/>
      <w:pPr>
        <w:tabs>
          <w:tab w:val="num" w:pos="1788"/>
        </w:tabs>
        <w:ind w:left="1788" w:hanging="360"/>
      </w:pPr>
    </w:lvl>
    <w:lvl w:ilvl="2" w:tplc="0405001B" w:tentative="1">
      <w:start w:val="1"/>
      <w:numFmt w:val="lowerRoman"/>
      <w:lvlText w:val="%3."/>
      <w:lvlJc w:val="right"/>
      <w:pPr>
        <w:tabs>
          <w:tab w:val="num" w:pos="2508"/>
        </w:tabs>
        <w:ind w:left="2508" w:hanging="180"/>
      </w:pPr>
    </w:lvl>
    <w:lvl w:ilvl="3" w:tplc="0405000F" w:tentative="1">
      <w:start w:val="1"/>
      <w:numFmt w:val="decimal"/>
      <w:lvlText w:val="%4."/>
      <w:lvlJc w:val="left"/>
      <w:pPr>
        <w:tabs>
          <w:tab w:val="num" w:pos="3228"/>
        </w:tabs>
        <w:ind w:left="3228" w:hanging="360"/>
      </w:pPr>
    </w:lvl>
    <w:lvl w:ilvl="4" w:tplc="04050019" w:tentative="1">
      <w:start w:val="1"/>
      <w:numFmt w:val="lowerLetter"/>
      <w:lvlText w:val="%5."/>
      <w:lvlJc w:val="left"/>
      <w:pPr>
        <w:tabs>
          <w:tab w:val="num" w:pos="3948"/>
        </w:tabs>
        <w:ind w:left="3948" w:hanging="360"/>
      </w:pPr>
    </w:lvl>
    <w:lvl w:ilvl="5" w:tplc="0405001B" w:tentative="1">
      <w:start w:val="1"/>
      <w:numFmt w:val="lowerRoman"/>
      <w:lvlText w:val="%6."/>
      <w:lvlJc w:val="right"/>
      <w:pPr>
        <w:tabs>
          <w:tab w:val="num" w:pos="4668"/>
        </w:tabs>
        <w:ind w:left="4668" w:hanging="180"/>
      </w:pPr>
    </w:lvl>
    <w:lvl w:ilvl="6" w:tplc="0405000F" w:tentative="1">
      <w:start w:val="1"/>
      <w:numFmt w:val="decimal"/>
      <w:lvlText w:val="%7."/>
      <w:lvlJc w:val="left"/>
      <w:pPr>
        <w:tabs>
          <w:tab w:val="num" w:pos="5388"/>
        </w:tabs>
        <w:ind w:left="5388" w:hanging="360"/>
      </w:pPr>
    </w:lvl>
    <w:lvl w:ilvl="7" w:tplc="04050019" w:tentative="1">
      <w:start w:val="1"/>
      <w:numFmt w:val="lowerLetter"/>
      <w:lvlText w:val="%8."/>
      <w:lvlJc w:val="left"/>
      <w:pPr>
        <w:tabs>
          <w:tab w:val="num" w:pos="6108"/>
        </w:tabs>
        <w:ind w:left="6108" w:hanging="360"/>
      </w:pPr>
    </w:lvl>
    <w:lvl w:ilvl="8" w:tplc="0405001B" w:tentative="1">
      <w:start w:val="1"/>
      <w:numFmt w:val="lowerRoman"/>
      <w:lvlText w:val="%9."/>
      <w:lvlJc w:val="right"/>
      <w:pPr>
        <w:tabs>
          <w:tab w:val="num" w:pos="6828"/>
        </w:tabs>
        <w:ind w:left="6828" w:hanging="180"/>
      </w:pPr>
    </w:lvl>
  </w:abstractNum>
  <w:abstractNum w:abstractNumId="27" w15:restartNumberingAfterBreak="0">
    <w:nsid w:val="772D59AE"/>
    <w:multiLevelType w:val="hybridMultilevel"/>
    <w:tmpl w:val="63B4749A"/>
    <w:lvl w:ilvl="0" w:tplc="9508E8B8">
      <w:start w:val="1"/>
      <w:numFmt w:val="decimal"/>
      <w:lvlText w:val="%1."/>
      <w:lvlJc w:val="left"/>
      <w:pPr>
        <w:ind w:left="76" w:hanging="360"/>
      </w:pPr>
      <w:rPr>
        <w:rFonts w:hint="default"/>
        <w:b w:val="0"/>
        <w:i w:val="0"/>
        <w:color w:val="auto"/>
        <w:sz w:val="24"/>
        <w:szCs w:val="24"/>
      </w:rPr>
    </w:lvl>
    <w:lvl w:ilvl="1" w:tplc="04050019">
      <w:start w:val="1"/>
      <w:numFmt w:val="lowerLetter"/>
      <w:lvlText w:val="%2."/>
      <w:lvlJc w:val="left"/>
      <w:pPr>
        <w:ind w:left="796" w:hanging="360"/>
      </w:pPr>
    </w:lvl>
    <w:lvl w:ilvl="2" w:tplc="0405001B" w:tentative="1">
      <w:start w:val="1"/>
      <w:numFmt w:val="lowerRoman"/>
      <w:lvlText w:val="%3."/>
      <w:lvlJc w:val="right"/>
      <w:pPr>
        <w:ind w:left="1516" w:hanging="180"/>
      </w:pPr>
    </w:lvl>
    <w:lvl w:ilvl="3" w:tplc="0405000F" w:tentative="1">
      <w:start w:val="1"/>
      <w:numFmt w:val="decimal"/>
      <w:lvlText w:val="%4."/>
      <w:lvlJc w:val="left"/>
      <w:pPr>
        <w:ind w:left="2236" w:hanging="360"/>
      </w:pPr>
    </w:lvl>
    <w:lvl w:ilvl="4" w:tplc="04050019" w:tentative="1">
      <w:start w:val="1"/>
      <w:numFmt w:val="lowerLetter"/>
      <w:lvlText w:val="%5."/>
      <w:lvlJc w:val="left"/>
      <w:pPr>
        <w:ind w:left="2956" w:hanging="360"/>
      </w:pPr>
    </w:lvl>
    <w:lvl w:ilvl="5" w:tplc="0405001B" w:tentative="1">
      <w:start w:val="1"/>
      <w:numFmt w:val="lowerRoman"/>
      <w:lvlText w:val="%6."/>
      <w:lvlJc w:val="right"/>
      <w:pPr>
        <w:ind w:left="3676" w:hanging="180"/>
      </w:pPr>
    </w:lvl>
    <w:lvl w:ilvl="6" w:tplc="0405000F" w:tentative="1">
      <w:start w:val="1"/>
      <w:numFmt w:val="decimal"/>
      <w:lvlText w:val="%7."/>
      <w:lvlJc w:val="left"/>
      <w:pPr>
        <w:ind w:left="4396" w:hanging="360"/>
      </w:pPr>
    </w:lvl>
    <w:lvl w:ilvl="7" w:tplc="04050019" w:tentative="1">
      <w:start w:val="1"/>
      <w:numFmt w:val="lowerLetter"/>
      <w:lvlText w:val="%8."/>
      <w:lvlJc w:val="left"/>
      <w:pPr>
        <w:ind w:left="5116" w:hanging="360"/>
      </w:pPr>
    </w:lvl>
    <w:lvl w:ilvl="8" w:tplc="0405001B" w:tentative="1">
      <w:start w:val="1"/>
      <w:numFmt w:val="lowerRoman"/>
      <w:lvlText w:val="%9."/>
      <w:lvlJc w:val="right"/>
      <w:pPr>
        <w:ind w:left="5836" w:hanging="180"/>
      </w:pPr>
    </w:lvl>
  </w:abstractNum>
  <w:abstractNum w:abstractNumId="28" w15:restartNumberingAfterBreak="0">
    <w:nsid w:val="7D8940B2"/>
    <w:multiLevelType w:val="hybridMultilevel"/>
    <w:tmpl w:val="D550E65C"/>
    <w:lvl w:ilvl="0" w:tplc="0405000F">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7FF412FE"/>
    <w:multiLevelType w:val="hybridMultilevel"/>
    <w:tmpl w:val="A29829E6"/>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num>
  <w:num w:numId="3">
    <w:abstractNumId w:val="4"/>
  </w:num>
  <w:num w:numId="4">
    <w:abstractNumId w:val="2"/>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9"/>
  </w:num>
  <w:num w:numId="7">
    <w:abstractNumId w:val="22"/>
  </w:num>
  <w:num w:numId="8">
    <w:abstractNumId w:val="20"/>
  </w:num>
  <w:num w:numId="9">
    <w:abstractNumId w:val="5"/>
  </w:num>
  <w:num w:numId="10">
    <w:abstractNumId w:val="12"/>
  </w:num>
  <w:num w:numId="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4"/>
  </w:num>
  <w:num w:numId="13">
    <w:abstractNumId w:val="0"/>
  </w:num>
  <w:num w:numId="1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num>
  <w:num w:numId="16">
    <w:abstractNumId w:val="23"/>
  </w:num>
  <w:num w:numId="1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6"/>
  </w:num>
  <w:num w:numId="19">
    <w:abstractNumId w:val="8"/>
  </w:num>
  <w:num w:numId="20">
    <w:abstractNumId w:val="6"/>
  </w:num>
  <w:num w:numId="2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6"/>
  </w:num>
  <w:num w:numId="23">
    <w:abstractNumId w:val="9"/>
  </w:num>
  <w:num w:numId="24">
    <w:abstractNumId w:val="17"/>
  </w:num>
  <w:num w:numId="25">
    <w:abstractNumId w:val="14"/>
  </w:num>
  <w:num w:numId="26">
    <w:abstractNumId w:val="2"/>
  </w:num>
  <w:num w:numId="27">
    <w:abstractNumId w:val="27"/>
  </w:num>
  <w:num w:numId="28">
    <w:abstractNumId w:val="7"/>
  </w:num>
  <w:num w:numId="29">
    <w:abstractNumId w:val="29"/>
  </w:num>
  <w:num w:numId="30">
    <w:abstractNumId w:val="28"/>
  </w:num>
  <w:num w:numId="31">
    <w:abstractNumId w:val="15"/>
  </w:num>
  <w:num w:numId="3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08"/>
  <w:hyphenationZone w:val="425"/>
  <w:evenAndOddHeaders/>
  <w:drawingGridHorizontalSpacing w:val="120"/>
  <w:displayHorizontalDrawingGridEvery w:val="2"/>
  <w:characterSpacingControl w:val="doNotCompress"/>
  <w:hdrShapeDefaults>
    <o:shapedefaults v:ext="edit" spidmax="696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44AF"/>
    <w:rsid w:val="00014C15"/>
    <w:rsid w:val="000246E6"/>
    <w:rsid w:val="00040126"/>
    <w:rsid w:val="00042024"/>
    <w:rsid w:val="00042D45"/>
    <w:rsid w:val="00042EFD"/>
    <w:rsid w:val="00044D3D"/>
    <w:rsid w:val="00056D78"/>
    <w:rsid w:val="00071797"/>
    <w:rsid w:val="00071BF4"/>
    <w:rsid w:val="00072D8D"/>
    <w:rsid w:val="00082047"/>
    <w:rsid w:val="000A668C"/>
    <w:rsid w:val="000B2085"/>
    <w:rsid w:val="000B2965"/>
    <w:rsid w:val="000B3760"/>
    <w:rsid w:val="000B4C55"/>
    <w:rsid w:val="000C4751"/>
    <w:rsid w:val="000D2ADD"/>
    <w:rsid w:val="000D5CF7"/>
    <w:rsid w:val="000E0E9B"/>
    <w:rsid w:val="000F500C"/>
    <w:rsid w:val="00103A87"/>
    <w:rsid w:val="00104E18"/>
    <w:rsid w:val="00111CB0"/>
    <w:rsid w:val="00115AB7"/>
    <w:rsid w:val="00122FC6"/>
    <w:rsid w:val="00123D52"/>
    <w:rsid w:val="00126F36"/>
    <w:rsid w:val="00132473"/>
    <w:rsid w:val="00133B60"/>
    <w:rsid w:val="00133E1D"/>
    <w:rsid w:val="00134340"/>
    <w:rsid w:val="0013493E"/>
    <w:rsid w:val="00146EC1"/>
    <w:rsid w:val="00147B18"/>
    <w:rsid w:val="001553BC"/>
    <w:rsid w:val="0016502E"/>
    <w:rsid w:val="001650C3"/>
    <w:rsid w:val="00165E91"/>
    <w:rsid w:val="001747D6"/>
    <w:rsid w:val="00177714"/>
    <w:rsid w:val="001A4BCC"/>
    <w:rsid w:val="001A6A11"/>
    <w:rsid w:val="001B395F"/>
    <w:rsid w:val="001B4B67"/>
    <w:rsid w:val="001B4F49"/>
    <w:rsid w:val="001C1367"/>
    <w:rsid w:val="001C4551"/>
    <w:rsid w:val="001C46D8"/>
    <w:rsid w:val="001C69C5"/>
    <w:rsid w:val="001D427C"/>
    <w:rsid w:val="001E101C"/>
    <w:rsid w:val="001E39C4"/>
    <w:rsid w:val="001E7FD7"/>
    <w:rsid w:val="001F2782"/>
    <w:rsid w:val="0020228D"/>
    <w:rsid w:val="002171B4"/>
    <w:rsid w:val="002226FB"/>
    <w:rsid w:val="00224C2D"/>
    <w:rsid w:val="00225DF9"/>
    <w:rsid w:val="0023349A"/>
    <w:rsid w:val="002358FD"/>
    <w:rsid w:val="00235F24"/>
    <w:rsid w:val="00241303"/>
    <w:rsid w:val="00243EA2"/>
    <w:rsid w:val="002459F8"/>
    <w:rsid w:val="00247D10"/>
    <w:rsid w:val="00256F09"/>
    <w:rsid w:val="00257E54"/>
    <w:rsid w:val="002665C4"/>
    <w:rsid w:val="00266EC4"/>
    <w:rsid w:val="0027084F"/>
    <w:rsid w:val="0027401D"/>
    <w:rsid w:val="00274B9F"/>
    <w:rsid w:val="0028009B"/>
    <w:rsid w:val="00282AAE"/>
    <w:rsid w:val="00283405"/>
    <w:rsid w:val="00283FDF"/>
    <w:rsid w:val="0028427C"/>
    <w:rsid w:val="0029016F"/>
    <w:rsid w:val="00291390"/>
    <w:rsid w:val="002A6EFC"/>
    <w:rsid w:val="002B168B"/>
    <w:rsid w:val="002B460A"/>
    <w:rsid w:val="002C04A1"/>
    <w:rsid w:val="002C1D0F"/>
    <w:rsid w:val="002C204D"/>
    <w:rsid w:val="002C74DE"/>
    <w:rsid w:val="002D771C"/>
    <w:rsid w:val="002E5856"/>
    <w:rsid w:val="002E78C4"/>
    <w:rsid w:val="002F51ED"/>
    <w:rsid w:val="003054B6"/>
    <w:rsid w:val="003203DA"/>
    <w:rsid w:val="003204CF"/>
    <w:rsid w:val="00324F54"/>
    <w:rsid w:val="00331264"/>
    <w:rsid w:val="00334DD2"/>
    <w:rsid w:val="00335B6A"/>
    <w:rsid w:val="00337F04"/>
    <w:rsid w:val="00346002"/>
    <w:rsid w:val="00354EF1"/>
    <w:rsid w:val="003552F3"/>
    <w:rsid w:val="00355AB1"/>
    <w:rsid w:val="00356F29"/>
    <w:rsid w:val="00357650"/>
    <w:rsid w:val="003758F1"/>
    <w:rsid w:val="00384DDC"/>
    <w:rsid w:val="003A2D17"/>
    <w:rsid w:val="003A3C14"/>
    <w:rsid w:val="003B1E5E"/>
    <w:rsid w:val="003B2F52"/>
    <w:rsid w:val="003B341D"/>
    <w:rsid w:val="003B6157"/>
    <w:rsid w:val="003B658E"/>
    <w:rsid w:val="003B77CE"/>
    <w:rsid w:val="003C095C"/>
    <w:rsid w:val="003D13D9"/>
    <w:rsid w:val="003D7477"/>
    <w:rsid w:val="003E279D"/>
    <w:rsid w:val="003F4F09"/>
    <w:rsid w:val="003F76CB"/>
    <w:rsid w:val="00405B18"/>
    <w:rsid w:val="00411C14"/>
    <w:rsid w:val="00412089"/>
    <w:rsid w:val="00414956"/>
    <w:rsid w:val="00421194"/>
    <w:rsid w:val="00422010"/>
    <w:rsid w:val="004313A8"/>
    <w:rsid w:val="004330E0"/>
    <w:rsid w:val="00433B61"/>
    <w:rsid w:val="00445B4A"/>
    <w:rsid w:val="00445C8F"/>
    <w:rsid w:val="00451C4B"/>
    <w:rsid w:val="00451EF6"/>
    <w:rsid w:val="00464C00"/>
    <w:rsid w:val="004662E9"/>
    <w:rsid w:val="00474AC2"/>
    <w:rsid w:val="004773AC"/>
    <w:rsid w:val="00477E8E"/>
    <w:rsid w:val="00486ECA"/>
    <w:rsid w:val="004A30C7"/>
    <w:rsid w:val="004A4CBF"/>
    <w:rsid w:val="004B46B0"/>
    <w:rsid w:val="004B4DD0"/>
    <w:rsid w:val="004B5A33"/>
    <w:rsid w:val="004C520F"/>
    <w:rsid w:val="004C5635"/>
    <w:rsid w:val="004D1809"/>
    <w:rsid w:val="004D31DA"/>
    <w:rsid w:val="004E4D85"/>
    <w:rsid w:val="004E6E6D"/>
    <w:rsid w:val="004F175D"/>
    <w:rsid w:val="004F3256"/>
    <w:rsid w:val="00502E5E"/>
    <w:rsid w:val="00504F03"/>
    <w:rsid w:val="00536275"/>
    <w:rsid w:val="00547D60"/>
    <w:rsid w:val="00551C83"/>
    <w:rsid w:val="00557E06"/>
    <w:rsid w:val="00562E36"/>
    <w:rsid w:val="00567287"/>
    <w:rsid w:val="00586B5A"/>
    <w:rsid w:val="005874C9"/>
    <w:rsid w:val="0059267F"/>
    <w:rsid w:val="005926BA"/>
    <w:rsid w:val="00592C47"/>
    <w:rsid w:val="005B2358"/>
    <w:rsid w:val="005C06F6"/>
    <w:rsid w:val="005C4E92"/>
    <w:rsid w:val="005D1702"/>
    <w:rsid w:val="005D485F"/>
    <w:rsid w:val="005F13F4"/>
    <w:rsid w:val="00603A74"/>
    <w:rsid w:val="00607B46"/>
    <w:rsid w:val="00610E0A"/>
    <w:rsid w:val="00621501"/>
    <w:rsid w:val="00630A83"/>
    <w:rsid w:val="0063121B"/>
    <w:rsid w:val="00635A8F"/>
    <w:rsid w:val="00643FC7"/>
    <w:rsid w:val="0065410A"/>
    <w:rsid w:val="00656CCC"/>
    <w:rsid w:val="006629CD"/>
    <w:rsid w:val="006700CC"/>
    <w:rsid w:val="00671DFD"/>
    <w:rsid w:val="00674C11"/>
    <w:rsid w:val="00676C75"/>
    <w:rsid w:val="00676CB3"/>
    <w:rsid w:val="00684DA1"/>
    <w:rsid w:val="00686D37"/>
    <w:rsid w:val="00687534"/>
    <w:rsid w:val="006876DA"/>
    <w:rsid w:val="006B7245"/>
    <w:rsid w:val="006C0309"/>
    <w:rsid w:val="006C030F"/>
    <w:rsid w:val="006C709B"/>
    <w:rsid w:val="006D06FF"/>
    <w:rsid w:val="006F1456"/>
    <w:rsid w:val="006F1FD0"/>
    <w:rsid w:val="006F4068"/>
    <w:rsid w:val="006F51E7"/>
    <w:rsid w:val="006F7077"/>
    <w:rsid w:val="006F761B"/>
    <w:rsid w:val="00714C9F"/>
    <w:rsid w:val="00730F6D"/>
    <w:rsid w:val="00737D0F"/>
    <w:rsid w:val="007568EA"/>
    <w:rsid w:val="00785936"/>
    <w:rsid w:val="007874A4"/>
    <w:rsid w:val="00791C62"/>
    <w:rsid w:val="007A52B0"/>
    <w:rsid w:val="007C1A07"/>
    <w:rsid w:val="007C4D0E"/>
    <w:rsid w:val="007F03E7"/>
    <w:rsid w:val="007F377B"/>
    <w:rsid w:val="007F5C49"/>
    <w:rsid w:val="008000EE"/>
    <w:rsid w:val="00803423"/>
    <w:rsid w:val="00817E4E"/>
    <w:rsid w:val="008221B9"/>
    <w:rsid w:val="00840D92"/>
    <w:rsid w:val="008456D7"/>
    <w:rsid w:val="00846D73"/>
    <w:rsid w:val="008511A9"/>
    <w:rsid w:val="008567BC"/>
    <w:rsid w:val="00861E39"/>
    <w:rsid w:val="008802DA"/>
    <w:rsid w:val="00884D2D"/>
    <w:rsid w:val="00886B75"/>
    <w:rsid w:val="008B12CF"/>
    <w:rsid w:val="008B2D43"/>
    <w:rsid w:val="008B55BF"/>
    <w:rsid w:val="008B790A"/>
    <w:rsid w:val="008C004E"/>
    <w:rsid w:val="008C37A9"/>
    <w:rsid w:val="008C424D"/>
    <w:rsid w:val="008E0073"/>
    <w:rsid w:val="008E0C6B"/>
    <w:rsid w:val="008E3225"/>
    <w:rsid w:val="008E7D00"/>
    <w:rsid w:val="009023BB"/>
    <w:rsid w:val="00912509"/>
    <w:rsid w:val="009125E2"/>
    <w:rsid w:val="00914039"/>
    <w:rsid w:val="00916EEC"/>
    <w:rsid w:val="00920B34"/>
    <w:rsid w:val="009471BC"/>
    <w:rsid w:val="00957707"/>
    <w:rsid w:val="00960D28"/>
    <w:rsid w:val="0097361C"/>
    <w:rsid w:val="009832BA"/>
    <w:rsid w:val="00983A0C"/>
    <w:rsid w:val="009A18BC"/>
    <w:rsid w:val="009A22E5"/>
    <w:rsid w:val="009B259E"/>
    <w:rsid w:val="009B4522"/>
    <w:rsid w:val="009B4A0F"/>
    <w:rsid w:val="009B5B1A"/>
    <w:rsid w:val="009B7E89"/>
    <w:rsid w:val="009C7E71"/>
    <w:rsid w:val="009E57A9"/>
    <w:rsid w:val="009F0D28"/>
    <w:rsid w:val="009F4A3C"/>
    <w:rsid w:val="009F787D"/>
    <w:rsid w:val="00A02252"/>
    <w:rsid w:val="00A04853"/>
    <w:rsid w:val="00A12B74"/>
    <w:rsid w:val="00A228CB"/>
    <w:rsid w:val="00A235BA"/>
    <w:rsid w:val="00A23949"/>
    <w:rsid w:val="00A4131D"/>
    <w:rsid w:val="00A43383"/>
    <w:rsid w:val="00A5388C"/>
    <w:rsid w:val="00A53D4B"/>
    <w:rsid w:val="00A54C0B"/>
    <w:rsid w:val="00A55883"/>
    <w:rsid w:val="00A56D4A"/>
    <w:rsid w:val="00A60673"/>
    <w:rsid w:val="00A73366"/>
    <w:rsid w:val="00A7436A"/>
    <w:rsid w:val="00A75085"/>
    <w:rsid w:val="00A806C8"/>
    <w:rsid w:val="00A81FDA"/>
    <w:rsid w:val="00A9147E"/>
    <w:rsid w:val="00AA01E3"/>
    <w:rsid w:val="00AA5AD2"/>
    <w:rsid w:val="00AA73BE"/>
    <w:rsid w:val="00AB6330"/>
    <w:rsid w:val="00AC699D"/>
    <w:rsid w:val="00AD0629"/>
    <w:rsid w:val="00AD6045"/>
    <w:rsid w:val="00AD6C9E"/>
    <w:rsid w:val="00AD7EE0"/>
    <w:rsid w:val="00AE1DC0"/>
    <w:rsid w:val="00AE4368"/>
    <w:rsid w:val="00B0176A"/>
    <w:rsid w:val="00B02537"/>
    <w:rsid w:val="00B133C7"/>
    <w:rsid w:val="00B16D7F"/>
    <w:rsid w:val="00B23E26"/>
    <w:rsid w:val="00B30669"/>
    <w:rsid w:val="00B333B3"/>
    <w:rsid w:val="00B3488A"/>
    <w:rsid w:val="00B42BC5"/>
    <w:rsid w:val="00B43D14"/>
    <w:rsid w:val="00B4782E"/>
    <w:rsid w:val="00B50488"/>
    <w:rsid w:val="00B526CC"/>
    <w:rsid w:val="00B60166"/>
    <w:rsid w:val="00B63AB2"/>
    <w:rsid w:val="00B65EC5"/>
    <w:rsid w:val="00B7034E"/>
    <w:rsid w:val="00B7530D"/>
    <w:rsid w:val="00B81B58"/>
    <w:rsid w:val="00B95442"/>
    <w:rsid w:val="00BB0ED3"/>
    <w:rsid w:val="00BB553D"/>
    <w:rsid w:val="00BB79A4"/>
    <w:rsid w:val="00BC03F7"/>
    <w:rsid w:val="00BC13F5"/>
    <w:rsid w:val="00BC5F3B"/>
    <w:rsid w:val="00BD4473"/>
    <w:rsid w:val="00BF6B65"/>
    <w:rsid w:val="00C07637"/>
    <w:rsid w:val="00C16415"/>
    <w:rsid w:val="00C17806"/>
    <w:rsid w:val="00C22AB8"/>
    <w:rsid w:val="00C3121A"/>
    <w:rsid w:val="00C346A9"/>
    <w:rsid w:val="00C44089"/>
    <w:rsid w:val="00C46283"/>
    <w:rsid w:val="00C53035"/>
    <w:rsid w:val="00C66E83"/>
    <w:rsid w:val="00C73E09"/>
    <w:rsid w:val="00C75253"/>
    <w:rsid w:val="00C77A69"/>
    <w:rsid w:val="00C85187"/>
    <w:rsid w:val="00C85D5F"/>
    <w:rsid w:val="00CA7143"/>
    <w:rsid w:val="00CB1068"/>
    <w:rsid w:val="00CB1E62"/>
    <w:rsid w:val="00CB4C8D"/>
    <w:rsid w:val="00CC0ADF"/>
    <w:rsid w:val="00CC10FD"/>
    <w:rsid w:val="00CC2C80"/>
    <w:rsid w:val="00CD09C2"/>
    <w:rsid w:val="00CD7339"/>
    <w:rsid w:val="00CE4245"/>
    <w:rsid w:val="00CF424E"/>
    <w:rsid w:val="00CF526B"/>
    <w:rsid w:val="00D11FB0"/>
    <w:rsid w:val="00D1304A"/>
    <w:rsid w:val="00D14A14"/>
    <w:rsid w:val="00D1783F"/>
    <w:rsid w:val="00D20717"/>
    <w:rsid w:val="00D22D8A"/>
    <w:rsid w:val="00D3513A"/>
    <w:rsid w:val="00D3542F"/>
    <w:rsid w:val="00D40A7C"/>
    <w:rsid w:val="00D41AD9"/>
    <w:rsid w:val="00D4296F"/>
    <w:rsid w:val="00D5372C"/>
    <w:rsid w:val="00D7110E"/>
    <w:rsid w:val="00D8310C"/>
    <w:rsid w:val="00D83A0B"/>
    <w:rsid w:val="00D844AF"/>
    <w:rsid w:val="00D8464C"/>
    <w:rsid w:val="00D875C8"/>
    <w:rsid w:val="00D95749"/>
    <w:rsid w:val="00DC2808"/>
    <w:rsid w:val="00DC2D45"/>
    <w:rsid w:val="00DC6230"/>
    <w:rsid w:val="00DD76F5"/>
    <w:rsid w:val="00DE0F59"/>
    <w:rsid w:val="00DE3262"/>
    <w:rsid w:val="00E112FF"/>
    <w:rsid w:val="00E1181A"/>
    <w:rsid w:val="00E11DC9"/>
    <w:rsid w:val="00E131B9"/>
    <w:rsid w:val="00E21DAB"/>
    <w:rsid w:val="00E35A9C"/>
    <w:rsid w:val="00E44EF4"/>
    <w:rsid w:val="00E72A4E"/>
    <w:rsid w:val="00E7371E"/>
    <w:rsid w:val="00E81FAD"/>
    <w:rsid w:val="00E837D0"/>
    <w:rsid w:val="00E83C59"/>
    <w:rsid w:val="00E86F24"/>
    <w:rsid w:val="00E87244"/>
    <w:rsid w:val="00E87686"/>
    <w:rsid w:val="00E94568"/>
    <w:rsid w:val="00E979C5"/>
    <w:rsid w:val="00EB1A77"/>
    <w:rsid w:val="00EB56E8"/>
    <w:rsid w:val="00EC0FF8"/>
    <w:rsid w:val="00EC12FC"/>
    <w:rsid w:val="00EC39A0"/>
    <w:rsid w:val="00ED1777"/>
    <w:rsid w:val="00ED62CF"/>
    <w:rsid w:val="00EF29DD"/>
    <w:rsid w:val="00F07184"/>
    <w:rsid w:val="00F11D55"/>
    <w:rsid w:val="00F1511C"/>
    <w:rsid w:val="00F326E4"/>
    <w:rsid w:val="00F43285"/>
    <w:rsid w:val="00F432B0"/>
    <w:rsid w:val="00F5124D"/>
    <w:rsid w:val="00F63F4F"/>
    <w:rsid w:val="00F71487"/>
    <w:rsid w:val="00F83EDD"/>
    <w:rsid w:val="00F8496D"/>
    <w:rsid w:val="00F87C80"/>
    <w:rsid w:val="00FA0AD5"/>
    <w:rsid w:val="00FB26C3"/>
    <w:rsid w:val="00FB3E1D"/>
    <w:rsid w:val="00FB64D9"/>
    <w:rsid w:val="00FC0AD6"/>
    <w:rsid w:val="00FC7331"/>
    <w:rsid w:val="00FD19D6"/>
    <w:rsid w:val="00FD4DC1"/>
    <w:rsid w:val="00FE4976"/>
    <w:rsid w:val="00FF1773"/>
    <w:rsid w:val="00FF5DF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69633"/>
    <o:shapelayout v:ext="edit">
      <o:idmap v:ext="edit" data="1"/>
    </o:shapelayout>
  </w:shapeDefaults>
  <w:decimalSymbol w:val=","/>
  <w:listSeparator w:val=";"/>
  <w14:docId w14:val="46F69006"/>
  <w15:docId w15:val="{BC3148C5-F58C-4E12-ABFC-B3A0284D2B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D844AF"/>
    <w:pPr>
      <w:spacing w:after="0" w:line="240" w:lineRule="auto"/>
    </w:pPr>
    <w:rPr>
      <w:rFonts w:ascii="Times New Roman" w:eastAsia="Times New Roman" w:hAnsi="Times New Roman" w:cs="Times New Roman"/>
      <w:sz w:val="24"/>
      <w:szCs w:val="24"/>
      <w:lang w:eastAsia="cs-CZ"/>
    </w:rPr>
  </w:style>
  <w:style w:type="paragraph" w:styleId="Nadpis1">
    <w:name w:val="heading 1"/>
    <w:basedOn w:val="Normln"/>
    <w:next w:val="Normln"/>
    <w:link w:val="Nadpis1Char"/>
    <w:qFormat/>
    <w:rsid w:val="00D844AF"/>
    <w:pPr>
      <w:keepNext/>
      <w:numPr>
        <w:numId w:val="1"/>
      </w:numPr>
      <w:suppressAutoHyphens/>
      <w:outlineLvl w:val="0"/>
    </w:pPr>
    <w:rPr>
      <w:b/>
      <w:bCs/>
      <w:sz w:val="28"/>
      <w:szCs w:val="28"/>
      <w:lang w:eastAsia="ar-SA"/>
    </w:rPr>
  </w:style>
  <w:style w:type="paragraph" w:styleId="Nadpis2">
    <w:name w:val="heading 2"/>
    <w:basedOn w:val="Normln"/>
    <w:next w:val="Normln"/>
    <w:link w:val="Nadpis2Char"/>
    <w:uiPriority w:val="9"/>
    <w:semiHidden/>
    <w:unhideWhenUsed/>
    <w:qFormat/>
    <w:rsid w:val="00C85187"/>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Nadpis3">
    <w:name w:val="heading 3"/>
    <w:basedOn w:val="Normln"/>
    <w:next w:val="Normln"/>
    <w:link w:val="Nadpis3Char"/>
    <w:uiPriority w:val="9"/>
    <w:semiHidden/>
    <w:unhideWhenUsed/>
    <w:qFormat/>
    <w:rsid w:val="00C85187"/>
    <w:pPr>
      <w:keepNext/>
      <w:keepLines/>
      <w:spacing w:before="40"/>
      <w:outlineLvl w:val="2"/>
    </w:pPr>
    <w:rPr>
      <w:rFonts w:asciiTheme="majorHAnsi" w:eastAsiaTheme="majorEastAsia" w:hAnsiTheme="majorHAnsi" w:cstheme="majorBidi"/>
      <w:color w:val="243F60" w:themeColor="accent1" w:themeShade="7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D844AF"/>
    <w:rPr>
      <w:rFonts w:ascii="Times New Roman" w:eastAsia="Times New Roman" w:hAnsi="Times New Roman" w:cs="Times New Roman"/>
      <w:b/>
      <w:bCs/>
      <w:sz w:val="28"/>
      <w:szCs w:val="28"/>
      <w:lang w:eastAsia="ar-SA"/>
    </w:rPr>
  </w:style>
  <w:style w:type="paragraph" w:customStyle="1" w:styleId="Zkladnodstavec">
    <w:name w:val="Základní odstavec"/>
    <w:basedOn w:val="Normln"/>
    <w:rsid w:val="00D844AF"/>
    <w:pPr>
      <w:numPr>
        <w:ilvl w:val="1"/>
        <w:numId w:val="1"/>
      </w:numPr>
      <w:tabs>
        <w:tab w:val="clear" w:pos="0"/>
        <w:tab w:val="num" w:pos="360"/>
      </w:tabs>
      <w:spacing w:before="60"/>
      <w:ind w:firstLine="454"/>
      <w:jc w:val="both"/>
    </w:pPr>
    <w:rPr>
      <w:szCs w:val="20"/>
    </w:rPr>
  </w:style>
  <w:style w:type="paragraph" w:styleId="Zhlav">
    <w:name w:val="header"/>
    <w:basedOn w:val="Normln"/>
    <w:link w:val="ZhlavChar"/>
    <w:unhideWhenUsed/>
    <w:rsid w:val="001747D6"/>
    <w:pPr>
      <w:tabs>
        <w:tab w:val="center" w:pos="4536"/>
        <w:tab w:val="right" w:pos="9072"/>
      </w:tabs>
    </w:pPr>
  </w:style>
  <w:style w:type="character" w:customStyle="1" w:styleId="ZhlavChar">
    <w:name w:val="Záhlaví Char"/>
    <w:basedOn w:val="Standardnpsmoodstavce"/>
    <w:link w:val="Zhlav"/>
    <w:rsid w:val="001747D6"/>
    <w:rPr>
      <w:rFonts w:ascii="Times New Roman" w:eastAsia="Times New Roman" w:hAnsi="Times New Roman" w:cs="Times New Roman"/>
      <w:sz w:val="24"/>
      <w:szCs w:val="24"/>
      <w:lang w:eastAsia="cs-CZ"/>
    </w:rPr>
  </w:style>
  <w:style w:type="paragraph" w:styleId="Zpat">
    <w:name w:val="footer"/>
    <w:basedOn w:val="Normln"/>
    <w:link w:val="ZpatChar"/>
    <w:uiPriority w:val="99"/>
    <w:unhideWhenUsed/>
    <w:rsid w:val="00E87686"/>
    <w:pPr>
      <w:tabs>
        <w:tab w:val="center" w:pos="4536"/>
        <w:tab w:val="right" w:pos="9072"/>
      </w:tabs>
    </w:pPr>
  </w:style>
  <w:style w:type="character" w:customStyle="1" w:styleId="ZpatChar">
    <w:name w:val="Zápatí Char"/>
    <w:basedOn w:val="Standardnpsmoodstavce"/>
    <w:link w:val="Zpat"/>
    <w:uiPriority w:val="99"/>
    <w:rsid w:val="00E87686"/>
    <w:rPr>
      <w:rFonts w:ascii="Times New Roman" w:eastAsia="Times New Roman" w:hAnsi="Times New Roman" w:cs="Times New Roman"/>
      <w:sz w:val="24"/>
      <w:szCs w:val="24"/>
      <w:lang w:eastAsia="cs-CZ"/>
    </w:rPr>
  </w:style>
  <w:style w:type="character" w:styleId="Hypertextovodkaz">
    <w:name w:val="Hyperlink"/>
    <w:basedOn w:val="Standardnpsmoodstavce"/>
    <w:uiPriority w:val="99"/>
    <w:unhideWhenUsed/>
    <w:rsid w:val="00B4782E"/>
    <w:rPr>
      <w:color w:val="0000FF"/>
      <w:u w:val="single"/>
    </w:rPr>
  </w:style>
  <w:style w:type="paragraph" w:styleId="Textbubliny">
    <w:name w:val="Balloon Text"/>
    <w:basedOn w:val="Normln"/>
    <w:link w:val="TextbublinyChar"/>
    <w:uiPriority w:val="99"/>
    <w:semiHidden/>
    <w:unhideWhenUsed/>
    <w:rsid w:val="0016502E"/>
    <w:rPr>
      <w:rFonts w:ascii="Tahoma" w:hAnsi="Tahoma" w:cs="Tahoma"/>
      <w:sz w:val="16"/>
      <w:szCs w:val="16"/>
    </w:rPr>
  </w:style>
  <w:style w:type="character" w:customStyle="1" w:styleId="TextbublinyChar">
    <w:name w:val="Text bubliny Char"/>
    <w:basedOn w:val="Standardnpsmoodstavce"/>
    <w:link w:val="Textbubliny"/>
    <w:uiPriority w:val="99"/>
    <w:semiHidden/>
    <w:rsid w:val="0016502E"/>
    <w:rPr>
      <w:rFonts w:ascii="Tahoma" w:eastAsia="Times New Roman" w:hAnsi="Tahoma" w:cs="Tahoma"/>
      <w:sz w:val="16"/>
      <w:szCs w:val="16"/>
      <w:lang w:eastAsia="cs-CZ"/>
    </w:rPr>
  </w:style>
  <w:style w:type="character" w:styleId="slostrnky">
    <w:name w:val="page number"/>
    <w:basedOn w:val="Standardnpsmoodstavce"/>
    <w:uiPriority w:val="99"/>
    <w:rsid w:val="00AB6330"/>
  </w:style>
  <w:style w:type="paragraph" w:styleId="Zkladntext">
    <w:name w:val="Body Text"/>
    <w:basedOn w:val="Normln"/>
    <w:link w:val="ZkladntextChar"/>
    <w:rsid w:val="00AB6330"/>
    <w:pPr>
      <w:spacing w:after="120"/>
    </w:pPr>
  </w:style>
  <w:style w:type="character" w:customStyle="1" w:styleId="ZkladntextChar">
    <w:name w:val="Základní text Char"/>
    <w:basedOn w:val="Standardnpsmoodstavce"/>
    <w:link w:val="Zkladntext"/>
    <w:rsid w:val="00AB6330"/>
    <w:rPr>
      <w:rFonts w:ascii="Times New Roman" w:eastAsia="Times New Roman" w:hAnsi="Times New Roman" w:cs="Times New Roman"/>
      <w:sz w:val="24"/>
      <w:szCs w:val="24"/>
      <w:lang w:eastAsia="cs-CZ"/>
    </w:rPr>
  </w:style>
  <w:style w:type="paragraph" w:styleId="Odstavecseseznamem">
    <w:name w:val="List Paragraph"/>
    <w:basedOn w:val="Normln"/>
    <w:link w:val="OdstavecseseznamemChar"/>
    <w:uiPriority w:val="34"/>
    <w:qFormat/>
    <w:rsid w:val="003B2F52"/>
    <w:pPr>
      <w:ind w:left="720"/>
      <w:contextualSpacing/>
    </w:pPr>
  </w:style>
  <w:style w:type="table" w:styleId="Mkatabulky">
    <w:name w:val="Table Grid"/>
    <w:basedOn w:val="Normlntabulka"/>
    <w:uiPriority w:val="59"/>
    <w:rsid w:val="00405B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dstavecseseznamem1">
    <w:name w:val="Odstavec se seznamem1"/>
    <w:basedOn w:val="Normln"/>
    <w:rsid w:val="00A81FDA"/>
    <w:pPr>
      <w:ind w:left="720"/>
      <w:contextualSpacing/>
    </w:pPr>
    <w:rPr>
      <w:rFonts w:eastAsia="Calibri"/>
    </w:rPr>
  </w:style>
  <w:style w:type="paragraph" w:styleId="Bezmezer">
    <w:name w:val="No Spacing"/>
    <w:uiPriority w:val="1"/>
    <w:qFormat/>
    <w:rsid w:val="00CD7339"/>
    <w:pPr>
      <w:spacing w:after="0" w:line="240" w:lineRule="auto"/>
    </w:pPr>
  </w:style>
  <w:style w:type="character" w:styleId="Siln">
    <w:name w:val="Strong"/>
    <w:basedOn w:val="Standardnpsmoodstavce"/>
    <w:qFormat/>
    <w:rsid w:val="001C4551"/>
    <w:rPr>
      <w:b/>
      <w:bCs/>
    </w:rPr>
  </w:style>
  <w:style w:type="character" w:customStyle="1" w:styleId="apple-converted-space">
    <w:name w:val="apple-converted-space"/>
    <w:basedOn w:val="Standardnpsmoodstavce"/>
    <w:rsid w:val="003203DA"/>
  </w:style>
  <w:style w:type="paragraph" w:customStyle="1" w:styleId="mmvrok">
    <w:name w:val="mm výrok"/>
    <w:basedOn w:val="Normln"/>
    <w:rsid w:val="007C1A07"/>
    <w:pPr>
      <w:keepLines/>
      <w:numPr>
        <w:numId w:val="2"/>
      </w:numPr>
      <w:suppressAutoHyphens/>
      <w:spacing w:before="60" w:after="60" w:line="120" w:lineRule="atLeast"/>
      <w:jc w:val="both"/>
    </w:pPr>
    <w:rPr>
      <w:rFonts w:ascii="Garamond" w:hAnsi="Garamond"/>
      <w:b/>
      <w:sz w:val="27"/>
      <w:szCs w:val="20"/>
    </w:rPr>
  </w:style>
  <w:style w:type="paragraph" w:styleId="Normlnweb">
    <w:name w:val="Normal (Web)"/>
    <w:basedOn w:val="Normln"/>
    <w:rsid w:val="007568EA"/>
    <w:pPr>
      <w:spacing w:after="150"/>
      <w:jc w:val="both"/>
    </w:pPr>
  </w:style>
  <w:style w:type="paragraph" w:customStyle="1" w:styleId="mmstdcentr">
    <w:name w:val="mm std. centr"/>
    <w:basedOn w:val="Normln"/>
    <w:next w:val="Normln"/>
    <w:rsid w:val="00C46283"/>
    <w:pPr>
      <w:suppressAutoHyphens/>
      <w:spacing w:before="120" w:after="60" w:line="180" w:lineRule="atLeast"/>
      <w:jc w:val="center"/>
    </w:pPr>
    <w:rPr>
      <w:rFonts w:ascii="Garamond" w:hAnsi="Garamond"/>
      <w:spacing w:val="54"/>
      <w:sz w:val="26"/>
      <w:szCs w:val="20"/>
    </w:rPr>
  </w:style>
  <w:style w:type="character" w:customStyle="1" w:styleId="OdstavecseseznamemChar">
    <w:name w:val="Odstavec se seznamem Char"/>
    <w:basedOn w:val="Standardnpsmoodstavce"/>
    <w:link w:val="Odstavecseseznamem"/>
    <w:uiPriority w:val="34"/>
    <w:qFormat/>
    <w:rsid w:val="00C46283"/>
    <w:rPr>
      <w:rFonts w:ascii="Times New Roman" w:eastAsia="Times New Roman" w:hAnsi="Times New Roman" w:cs="Times New Roman"/>
      <w:sz w:val="24"/>
      <w:szCs w:val="24"/>
      <w:lang w:eastAsia="cs-CZ"/>
    </w:rPr>
  </w:style>
  <w:style w:type="paragraph" w:customStyle="1" w:styleId="odstavec">
    <w:name w:val="odstavec"/>
    <w:basedOn w:val="Normln"/>
    <w:rsid w:val="00147B18"/>
    <w:pPr>
      <w:spacing w:before="100" w:beforeAutospacing="1" w:after="285"/>
    </w:pPr>
  </w:style>
  <w:style w:type="paragraph" w:customStyle="1" w:styleId="Styl2">
    <w:name w:val="Styl2"/>
    <w:basedOn w:val="Odstavecseseznamem"/>
    <w:link w:val="Styl2Char"/>
    <w:qFormat/>
    <w:rsid w:val="007F377B"/>
    <w:pPr>
      <w:numPr>
        <w:numId w:val="3"/>
      </w:numPr>
      <w:tabs>
        <w:tab w:val="num" w:pos="360"/>
      </w:tabs>
      <w:ind w:left="720" w:firstLine="0"/>
      <w:jc w:val="center"/>
    </w:pPr>
    <w:rPr>
      <w:rFonts w:ascii="Garamond" w:hAnsi="Garamond"/>
      <w:b/>
    </w:rPr>
  </w:style>
  <w:style w:type="character" w:customStyle="1" w:styleId="Styl2Char">
    <w:name w:val="Styl2 Char"/>
    <w:basedOn w:val="OdstavecseseznamemChar"/>
    <w:link w:val="Styl2"/>
    <w:rsid w:val="007F377B"/>
    <w:rPr>
      <w:rFonts w:ascii="Garamond" w:eastAsia="Times New Roman" w:hAnsi="Garamond" w:cs="Times New Roman"/>
      <w:b/>
      <w:sz w:val="24"/>
      <w:szCs w:val="24"/>
      <w:lang w:eastAsia="cs-CZ"/>
    </w:rPr>
  </w:style>
  <w:style w:type="character" w:customStyle="1" w:styleId="ZkladnsslovnmChar">
    <w:name w:val="Základní s číslováním Char"/>
    <w:basedOn w:val="Standardnpsmoodstavce"/>
    <w:link w:val="Zkladnsslovnm"/>
    <w:qFormat/>
    <w:locked/>
    <w:rsid w:val="00914039"/>
    <w:rPr>
      <w:rFonts w:ascii="Calibri" w:hAnsi="Calibri"/>
      <w:sz w:val="24"/>
      <w:szCs w:val="24"/>
    </w:rPr>
  </w:style>
  <w:style w:type="paragraph" w:customStyle="1" w:styleId="Zkladnsslovnm">
    <w:name w:val="Základní s číslováním"/>
    <w:basedOn w:val="Normln"/>
    <w:link w:val="ZkladnsslovnmChar"/>
    <w:qFormat/>
    <w:rsid w:val="00914039"/>
    <w:pPr>
      <w:numPr>
        <w:ilvl w:val="1"/>
        <w:numId w:val="4"/>
      </w:numPr>
      <w:tabs>
        <w:tab w:val="left" w:pos="567"/>
      </w:tabs>
      <w:spacing w:before="240"/>
      <w:ind w:left="0" w:firstLine="0"/>
      <w:jc w:val="both"/>
    </w:pPr>
    <w:rPr>
      <w:rFonts w:ascii="Calibri" w:eastAsiaTheme="minorHAnsi" w:hAnsi="Calibri" w:cstheme="minorBidi"/>
      <w:lang w:eastAsia="en-US"/>
    </w:rPr>
  </w:style>
  <w:style w:type="character" w:customStyle="1" w:styleId="Styl1Char">
    <w:name w:val="Styl1 Char"/>
    <w:basedOn w:val="Standardnpsmoodstavce"/>
    <w:link w:val="Styl1"/>
    <w:locked/>
    <w:rsid w:val="00914039"/>
    <w:rPr>
      <w:rFonts w:ascii="Times New Roman" w:eastAsia="Times New Roman" w:hAnsi="Times New Roman" w:cs="Times New Roman"/>
      <w:sz w:val="24"/>
      <w:szCs w:val="24"/>
    </w:rPr>
  </w:style>
  <w:style w:type="paragraph" w:customStyle="1" w:styleId="Styl1">
    <w:name w:val="Styl1"/>
    <w:basedOn w:val="Odstavecseseznamem"/>
    <w:link w:val="Styl1Char"/>
    <w:qFormat/>
    <w:rsid w:val="00914039"/>
    <w:pPr>
      <w:numPr>
        <w:numId w:val="5"/>
      </w:numPr>
      <w:spacing w:before="120" w:after="120"/>
      <w:contextualSpacing w:val="0"/>
      <w:jc w:val="both"/>
    </w:pPr>
    <w:rPr>
      <w:lang w:eastAsia="en-US"/>
    </w:rPr>
  </w:style>
  <w:style w:type="paragraph" w:customStyle="1" w:styleId="ColorfulList-Accent11">
    <w:name w:val="Colorful List - Accent 11"/>
    <w:basedOn w:val="Normln"/>
    <w:uiPriority w:val="34"/>
    <w:qFormat/>
    <w:rsid w:val="00AE1DC0"/>
    <w:pPr>
      <w:ind w:left="708"/>
    </w:pPr>
    <w:rPr>
      <w:sz w:val="20"/>
      <w:szCs w:val="20"/>
    </w:rPr>
  </w:style>
  <w:style w:type="character" w:customStyle="1" w:styleId="Promnn">
    <w:name w:val="Proměnný"/>
    <w:rsid w:val="00B333B3"/>
    <w:rPr>
      <w:i/>
      <w:iCs/>
    </w:rPr>
  </w:style>
  <w:style w:type="paragraph" w:customStyle="1" w:styleId="mmstd">
    <w:name w:val="mm std."/>
    <w:basedOn w:val="Normln"/>
    <w:rsid w:val="009F0D28"/>
    <w:pPr>
      <w:suppressAutoHyphens/>
      <w:spacing w:before="60" w:after="60" w:line="180" w:lineRule="atLeast"/>
      <w:ind w:firstLine="425"/>
      <w:jc w:val="both"/>
    </w:pPr>
    <w:rPr>
      <w:rFonts w:ascii="Garamond" w:hAnsi="Garamond"/>
      <w:sz w:val="26"/>
      <w:szCs w:val="20"/>
    </w:rPr>
  </w:style>
  <w:style w:type="paragraph" w:customStyle="1" w:styleId="mmstdcentrneprol">
    <w:name w:val="mm std. centr neprol."/>
    <w:basedOn w:val="Normln"/>
    <w:rsid w:val="009F0D28"/>
    <w:pPr>
      <w:suppressAutoHyphens/>
      <w:spacing w:before="120" w:after="120" w:line="180" w:lineRule="atLeast"/>
      <w:jc w:val="center"/>
    </w:pPr>
    <w:rPr>
      <w:rFonts w:ascii="Garamond" w:hAnsi="Garamond"/>
      <w:sz w:val="26"/>
      <w:szCs w:val="20"/>
    </w:rPr>
  </w:style>
  <w:style w:type="paragraph" w:customStyle="1" w:styleId="odvodnnrozsudku">
    <w:name w:val="odůvodnění rozsudku"/>
    <w:basedOn w:val="Normln"/>
    <w:link w:val="odvodnnrozsudkuChar"/>
    <w:qFormat/>
    <w:rsid w:val="009F0D28"/>
    <w:pPr>
      <w:numPr>
        <w:numId w:val="6"/>
      </w:numPr>
      <w:overflowPunct w:val="0"/>
      <w:autoSpaceDE w:val="0"/>
      <w:autoSpaceDN w:val="0"/>
      <w:adjustRightInd w:val="0"/>
      <w:spacing w:after="120"/>
      <w:jc w:val="both"/>
      <w:textAlignment w:val="baseline"/>
    </w:pPr>
    <w:rPr>
      <w:rFonts w:ascii="Garamond" w:hAnsi="Garamond"/>
    </w:rPr>
  </w:style>
  <w:style w:type="character" w:customStyle="1" w:styleId="odvodnnrozsudkuChar">
    <w:name w:val="odůvodnění rozsudku Char"/>
    <w:link w:val="odvodnnrozsudku"/>
    <w:locked/>
    <w:rsid w:val="009F0D28"/>
    <w:rPr>
      <w:rFonts w:ascii="Garamond" w:eastAsia="Times New Roman" w:hAnsi="Garamond" w:cs="Times New Roman"/>
      <w:sz w:val="24"/>
      <w:szCs w:val="24"/>
      <w:lang w:eastAsia="cs-CZ"/>
    </w:rPr>
  </w:style>
  <w:style w:type="character" w:customStyle="1" w:styleId="textcolumn">
    <w:name w:val="textcolumn"/>
    <w:rsid w:val="00AA5AD2"/>
  </w:style>
  <w:style w:type="paragraph" w:styleId="Rozloendokumentu">
    <w:name w:val="Document Map"/>
    <w:basedOn w:val="Normln"/>
    <w:link w:val="RozloendokumentuChar"/>
    <w:uiPriority w:val="99"/>
    <w:semiHidden/>
    <w:unhideWhenUsed/>
    <w:rsid w:val="00AA5AD2"/>
    <w:rPr>
      <w:rFonts w:ascii="Tahoma" w:hAnsi="Tahoma" w:cs="Tahoma"/>
      <w:sz w:val="16"/>
      <w:szCs w:val="16"/>
    </w:rPr>
  </w:style>
  <w:style w:type="character" w:customStyle="1" w:styleId="RozloendokumentuChar">
    <w:name w:val="Rozložení dokumentu Char"/>
    <w:basedOn w:val="Standardnpsmoodstavce"/>
    <w:link w:val="Rozloendokumentu"/>
    <w:uiPriority w:val="99"/>
    <w:semiHidden/>
    <w:rsid w:val="00AA5AD2"/>
    <w:rPr>
      <w:rFonts w:ascii="Tahoma" w:eastAsia="Times New Roman" w:hAnsi="Tahoma" w:cs="Tahoma"/>
      <w:sz w:val="16"/>
      <w:szCs w:val="16"/>
      <w:lang w:eastAsia="cs-CZ"/>
    </w:rPr>
  </w:style>
  <w:style w:type="character" w:styleId="Odkaznakoment">
    <w:name w:val="annotation reference"/>
    <w:basedOn w:val="Standardnpsmoodstavce"/>
    <w:uiPriority w:val="99"/>
    <w:semiHidden/>
    <w:unhideWhenUsed/>
    <w:rsid w:val="00AA5AD2"/>
    <w:rPr>
      <w:sz w:val="16"/>
      <w:szCs w:val="16"/>
    </w:rPr>
  </w:style>
  <w:style w:type="paragraph" w:styleId="Textkomente">
    <w:name w:val="annotation text"/>
    <w:basedOn w:val="Normln"/>
    <w:link w:val="TextkomenteChar"/>
    <w:uiPriority w:val="99"/>
    <w:unhideWhenUsed/>
    <w:rsid w:val="00AA5AD2"/>
    <w:pPr>
      <w:spacing w:after="200"/>
    </w:pPr>
    <w:rPr>
      <w:rFonts w:asciiTheme="minorHAnsi" w:eastAsiaTheme="minorHAnsi" w:hAnsiTheme="minorHAnsi" w:cstheme="minorBidi"/>
      <w:sz w:val="20"/>
      <w:szCs w:val="20"/>
      <w:lang w:eastAsia="en-US"/>
    </w:rPr>
  </w:style>
  <w:style w:type="character" w:customStyle="1" w:styleId="TextkomenteChar">
    <w:name w:val="Text komentáře Char"/>
    <w:basedOn w:val="Standardnpsmoodstavce"/>
    <w:link w:val="Textkomente"/>
    <w:uiPriority w:val="99"/>
    <w:rsid w:val="00AA5AD2"/>
    <w:rPr>
      <w:sz w:val="20"/>
      <w:szCs w:val="20"/>
    </w:rPr>
  </w:style>
  <w:style w:type="paragraph" w:customStyle="1" w:styleId="Default">
    <w:name w:val="Default"/>
    <w:rsid w:val="00AA5AD2"/>
    <w:pPr>
      <w:autoSpaceDE w:val="0"/>
      <w:autoSpaceDN w:val="0"/>
      <w:adjustRightInd w:val="0"/>
      <w:spacing w:after="0" w:line="240" w:lineRule="auto"/>
    </w:pPr>
    <w:rPr>
      <w:rFonts w:ascii="Arial" w:eastAsia="Times New Roman" w:hAnsi="Arial" w:cs="Arial"/>
      <w:color w:val="000000"/>
      <w:sz w:val="24"/>
      <w:szCs w:val="24"/>
    </w:rPr>
  </w:style>
  <w:style w:type="paragraph" w:styleId="Pedmtkomente">
    <w:name w:val="annotation subject"/>
    <w:basedOn w:val="Textkomente"/>
    <w:next w:val="Textkomente"/>
    <w:link w:val="PedmtkomenteChar"/>
    <w:uiPriority w:val="99"/>
    <w:semiHidden/>
    <w:unhideWhenUsed/>
    <w:rsid w:val="00AA5AD2"/>
    <w:pPr>
      <w:spacing w:after="0"/>
    </w:pPr>
    <w:rPr>
      <w:rFonts w:ascii="Times New Roman" w:eastAsia="Times New Roman" w:hAnsi="Times New Roman" w:cs="Times New Roman"/>
      <w:b/>
      <w:bCs/>
      <w:lang w:eastAsia="cs-CZ"/>
    </w:rPr>
  </w:style>
  <w:style w:type="character" w:customStyle="1" w:styleId="PedmtkomenteChar">
    <w:name w:val="Předmět komentáře Char"/>
    <w:basedOn w:val="TextkomenteChar"/>
    <w:link w:val="Pedmtkomente"/>
    <w:uiPriority w:val="99"/>
    <w:semiHidden/>
    <w:rsid w:val="00AA5AD2"/>
    <w:rPr>
      <w:rFonts w:ascii="Times New Roman" w:eastAsia="Times New Roman" w:hAnsi="Times New Roman" w:cs="Times New Roman"/>
      <w:b/>
      <w:bCs/>
      <w:sz w:val="20"/>
      <w:szCs w:val="20"/>
      <w:lang w:eastAsia="cs-CZ"/>
    </w:rPr>
  </w:style>
  <w:style w:type="character" w:styleId="Zstupntext">
    <w:name w:val="Placeholder Text"/>
    <w:basedOn w:val="Standardnpsmoodstavce"/>
    <w:uiPriority w:val="99"/>
    <w:semiHidden/>
    <w:rsid w:val="00AA5AD2"/>
    <w:rPr>
      <w:color w:val="808080"/>
    </w:rPr>
  </w:style>
  <w:style w:type="paragraph" w:styleId="Revize">
    <w:name w:val="Revision"/>
    <w:hidden/>
    <w:uiPriority w:val="99"/>
    <w:semiHidden/>
    <w:rsid w:val="00AA5AD2"/>
    <w:pPr>
      <w:spacing w:after="0" w:line="240" w:lineRule="auto"/>
    </w:pPr>
    <w:rPr>
      <w:rFonts w:ascii="Times New Roman" w:eastAsia="Times New Roman" w:hAnsi="Times New Roman" w:cs="Times New Roman"/>
      <w:sz w:val="24"/>
      <w:szCs w:val="24"/>
      <w:lang w:eastAsia="cs-CZ"/>
    </w:rPr>
  </w:style>
  <w:style w:type="paragraph" w:styleId="Textpoznpodarou">
    <w:name w:val="footnote text"/>
    <w:basedOn w:val="Normln"/>
    <w:link w:val="TextpoznpodarouChar"/>
    <w:uiPriority w:val="99"/>
    <w:unhideWhenUsed/>
    <w:rsid w:val="00AA5AD2"/>
    <w:rPr>
      <w:sz w:val="20"/>
      <w:szCs w:val="20"/>
    </w:rPr>
  </w:style>
  <w:style w:type="character" w:customStyle="1" w:styleId="TextpoznpodarouChar">
    <w:name w:val="Text pozn. pod čarou Char"/>
    <w:basedOn w:val="Standardnpsmoodstavce"/>
    <w:link w:val="Textpoznpodarou"/>
    <w:uiPriority w:val="99"/>
    <w:rsid w:val="00AA5AD2"/>
    <w:rPr>
      <w:rFonts w:ascii="Times New Roman" w:eastAsia="Times New Roman" w:hAnsi="Times New Roman" w:cs="Times New Roman"/>
      <w:sz w:val="20"/>
      <w:szCs w:val="20"/>
      <w:lang w:eastAsia="cs-CZ"/>
    </w:rPr>
  </w:style>
  <w:style w:type="character" w:styleId="Znakapoznpodarou">
    <w:name w:val="footnote reference"/>
    <w:basedOn w:val="Standardnpsmoodstavce"/>
    <w:uiPriority w:val="99"/>
    <w:unhideWhenUsed/>
    <w:rsid w:val="00AA5AD2"/>
    <w:rPr>
      <w:vertAlign w:val="superscript"/>
    </w:rPr>
  </w:style>
  <w:style w:type="paragraph" w:customStyle="1" w:styleId="mmpokynkanceli">
    <w:name w:val="mm pokyn kanceláři"/>
    <w:basedOn w:val="Normln"/>
    <w:rsid w:val="00AA5AD2"/>
    <w:pPr>
      <w:numPr>
        <w:numId w:val="10"/>
      </w:numPr>
      <w:suppressAutoHyphens/>
      <w:spacing w:after="120" w:line="180" w:lineRule="atLeast"/>
      <w:jc w:val="both"/>
    </w:pPr>
    <w:rPr>
      <w:rFonts w:ascii="Tahoma" w:hAnsi="Tahoma"/>
      <w:snapToGrid w:val="0"/>
      <w:sz w:val="22"/>
      <w:szCs w:val="20"/>
    </w:rPr>
  </w:style>
  <w:style w:type="character" w:customStyle="1" w:styleId="Nadpis2Char">
    <w:name w:val="Nadpis 2 Char"/>
    <w:basedOn w:val="Standardnpsmoodstavce"/>
    <w:link w:val="Nadpis2"/>
    <w:uiPriority w:val="9"/>
    <w:semiHidden/>
    <w:rsid w:val="00C85187"/>
    <w:rPr>
      <w:rFonts w:asciiTheme="majorHAnsi" w:eastAsiaTheme="majorEastAsia" w:hAnsiTheme="majorHAnsi" w:cstheme="majorBidi"/>
      <w:color w:val="365F91" w:themeColor="accent1" w:themeShade="BF"/>
      <w:sz w:val="26"/>
      <w:szCs w:val="26"/>
      <w:lang w:eastAsia="cs-CZ"/>
    </w:rPr>
  </w:style>
  <w:style w:type="character" w:customStyle="1" w:styleId="Nadpis3Char">
    <w:name w:val="Nadpis 3 Char"/>
    <w:basedOn w:val="Standardnpsmoodstavce"/>
    <w:link w:val="Nadpis3"/>
    <w:uiPriority w:val="9"/>
    <w:semiHidden/>
    <w:rsid w:val="00C85187"/>
    <w:rPr>
      <w:rFonts w:asciiTheme="majorHAnsi" w:eastAsiaTheme="majorEastAsia" w:hAnsiTheme="majorHAnsi" w:cstheme="majorBidi"/>
      <w:color w:val="243F60" w:themeColor="accent1" w:themeShade="7F"/>
      <w:sz w:val="24"/>
      <w:szCs w:val="24"/>
      <w:lang w:eastAsia="cs-CZ"/>
    </w:rPr>
  </w:style>
  <w:style w:type="paragraph" w:customStyle="1" w:styleId="p1">
    <w:name w:val="p1"/>
    <w:basedOn w:val="Normln"/>
    <w:rsid w:val="00C85187"/>
    <w:rPr>
      <w:rFonts w:eastAsiaTheme="minorHAnsi"/>
      <w:sz w:val="15"/>
      <w:szCs w:val="15"/>
      <w:lang w:val="en-US" w:eastAsia="en-US"/>
    </w:rPr>
  </w:style>
  <w:style w:type="paragraph" w:customStyle="1" w:styleId="p-margin">
    <w:name w:val="p-margin"/>
    <w:basedOn w:val="Normln"/>
    <w:rsid w:val="00C85187"/>
    <w:pPr>
      <w:spacing w:before="100" w:beforeAutospacing="1" w:after="100" w:afterAutospacing="1"/>
    </w:pPr>
  </w:style>
  <w:style w:type="paragraph" w:customStyle="1" w:styleId="p2">
    <w:name w:val="p2"/>
    <w:basedOn w:val="Normln"/>
    <w:rsid w:val="00C85187"/>
    <w:pPr>
      <w:spacing w:before="100" w:beforeAutospacing="1" w:after="100" w:afterAutospacing="1"/>
    </w:pPr>
  </w:style>
  <w:style w:type="character" w:customStyle="1" w:styleId="highlight">
    <w:name w:val="highlight"/>
    <w:basedOn w:val="Standardnpsmoodstavce"/>
    <w:rsid w:val="00C85187"/>
  </w:style>
  <w:style w:type="paragraph" w:customStyle="1" w:styleId="l4">
    <w:name w:val="l4"/>
    <w:basedOn w:val="Normln"/>
    <w:rsid w:val="00C85187"/>
    <w:pPr>
      <w:spacing w:before="100" w:beforeAutospacing="1" w:after="100" w:afterAutospacing="1"/>
    </w:pPr>
  </w:style>
  <w:style w:type="paragraph" w:customStyle="1" w:styleId="l5">
    <w:name w:val="l5"/>
    <w:basedOn w:val="Normln"/>
    <w:rsid w:val="00C85187"/>
    <w:pPr>
      <w:spacing w:before="100" w:beforeAutospacing="1" w:after="100" w:afterAutospacing="1"/>
    </w:pPr>
  </w:style>
  <w:style w:type="character" w:styleId="PromnnHTML">
    <w:name w:val="HTML Variable"/>
    <w:basedOn w:val="Standardnpsmoodstavce"/>
    <w:uiPriority w:val="99"/>
    <w:semiHidden/>
    <w:unhideWhenUsed/>
    <w:rsid w:val="00C85187"/>
    <w:rPr>
      <w:i/>
      <w:iCs/>
    </w:rPr>
  </w:style>
  <w:style w:type="paragraph" w:customStyle="1" w:styleId="l3">
    <w:name w:val="l3"/>
    <w:basedOn w:val="Normln"/>
    <w:rsid w:val="00C85187"/>
    <w:pPr>
      <w:spacing w:before="100" w:beforeAutospacing="1" w:after="100" w:afterAutospacing="1"/>
    </w:pPr>
  </w:style>
  <w:style w:type="paragraph" w:customStyle="1" w:styleId="l6">
    <w:name w:val="l6"/>
    <w:basedOn w:val="Normln"/>
    <w:rsid w:val="00C85187"/>
    <w:pPr>
      <w:spacing w:before="100" w:beforeAutospacing="1" w:after="100" w:afterAutospacing="1"/>
    </w:pPr>
  </w:style>
  <w:style w:type="paragraph" w:customStyle="1" w:styleId="l7">
    <w:name w:val="l7"/>
    <w:basedOn w:val="Normln"/>
    <w:rsid w:val="00C85187"/>
    <w:pPr>
      <w:spacing w:before="100" w:beforeAutospacing="1" w:after="100" w:afterAutospacing="1"/>
    </w:pPr>
  </w:style>
  <w:style w:type="paragraph" w:customStyle="1" w:styleId="Normln1">
    <w:name w:val="Normální1"/>
    <w:basedOn w:val="Normln"/>
    <w:rsid w:val="00C85187"/>
    <w:pPr>
      <w:spacing w:before="100" w:beforeAutospacing="1" w:after="100" w:afterAutospacing="1"/>
    </w:pPr>
  </w:style>
  <w:style w:type="character" w:customStyle="1" w:styleId="note">
    <w:name w:val="note"/>
    <w:basedOn w:val="Standardnpsmoodstavce"/>
    <w:rsid w:val="00C85187"/>
  </w:style>
  <w:style w:type="paragraph" w:customStyle="1" w:styleId="count">
    <w:name w:val="count"/>
    <w:basedOn w:val="Normln"/>
    <w:rsid w:val="00C85187"/>
    <w:pPr>
      <w:spacing w:before="100" w:beforeAutospacing="1" w:after="100" w:afterAutospacing="1"/>
    </w:pPr>
  </w:style>
  <w:style w:type="paragraph" w:customStyle="1" w:styleId="ti-art">
    <w:name w:val="ti-art"/>
    <w:basedOn w:val="Normln"/>
    <w:rsid w:val="00C85187"/>
    <w:pPr>
      <w:spacing w:before="100" w:beforeAutospacing="1" w:after="100" w:afterAutospacing="1"/>
    </w:pPr>
  </w:style>
  <w:style w:type="paragraph" w:customStyle="1" w:styleId="p2-eu">
    <w:name w:val="p2-eu"/>
    <w:basedOn w:val="Normln"/>
    <w:rsid w:val="00C85187"/>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2670555">
      <w:bodyDiv w:val="1"/>
      <w:marLeft w:val="0"/>
      <w:marRight w:val="0"/>
      <w:marTop w:val="0"/>
      <w:marBottom w:val="0"/>
      <w:divBdr>
        <w:top w:val="none" w:sz="0" w:space="0" w:color="auto"/>
        <w:left w:val="none" w:sz="0" w:space="0" w:color="auto"/>
        <w:bottom w:val="none" w:sz="0" w:space="0" w:color="auto"/>
        <w:right w:val="none" w:sz="0" w:space="0" w:color="auto"/>
      </w:divBdr>
    </w:div>
    <w:div w:id="1307659174">
      <w:bodyDiv w:val="1"/>
      <w:marLeft w:val="0"/>
      <w:marRight w:val="0"/>
      <w:marTop w:val="0"/>
      <w:marBottom w:val="0"/>
      <w:divBdr>
        <w:top w:val="none" w:sz="0" w:space="0" w:color="auto"/>
        <w:left w:val="none" w:sz="0" w:space="0" w:color="auto"/>
        <w:bottom w:val="none" w:sz="0" w:space="0" w:color="auto"/>
        <w:right w:val="none" w:sz="0" w:space="0" w:color="auto"/>
      </w:divBdr>
    </w:div>
    <w:div w:id="1435323572">
      <w:bodyDiv w:val="1"/>
      <w:marLeft w:val="0"/>
      <w:marRight w:val="0"/>
      <w:marTop w:val="0"/>
      <w:marBottom w:val="0"/>
      <w:divBdr>
        <w:top w:val="none" w:sz="0" w:space="0" w:color="auto"/>
        <w:left w:val="none" w:sz="0" w:space="0" w:color="auto"/>
        <w:bottom w:val="none" w:sz="0" w:space="0" w:color="auto"/>
        <w:right w:val="none" w:sz="0" w:space="0" w:color="auto"/>
      </w:divBdr>
    </w:div>
    <w:div w:id="1581677256">
      <w:bodyDiv w:val="1"/>
      <w:marLeft w:val="0"/>
      <w:marRight w:val="0"/>
      <w:marTop w:val="0"/>
      <w:marBottom w:val="0"/>
      <w:divBdr>
        <w:top w:val="none" w:sz="0" w:space="0" w:color="auto"/>
        <w:left w:val="none" w:sz="0" w:space="0" w:color="auto"/>
        <w:bottom w:val="none" w:sz="0" w:space="0" w:color="auto"/>
        <w:right w:val="none" w:sz="0" w:space="0" w:color="auto"/>
      </w:divBdr>
    </w:div>
    <w:div w:id="1729911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beck-online.cz/bo/document-view.seam?documentId=mv2tmxzsgaydox3dniydimrx"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https://www.beck-online.cz/bo/document-view.seam?documentId=mv2tmxzsgaytax3dniydimjw"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aspi.cz/products/lawText/13/192/1/ASPI%253A/183/2006%20Sb."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beck-online.cz/bo/document-view.seam?documentId=njptembqhfptcobwgvpxgys7nzzxg"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beck-online.cz/bo/document-view.seam?documentId=njptembqg5ptqx3bmzzv6mjvl43tk" TargetMode="External"/><Relationship Id="rId22" Type="http://schemas.openxmlformats.org/officeDocument/2006/relationships/footer" Target="footer3.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0A9D2432C90FF54686E01B26E40AA861" ma:contentTypeVersion="0" ma:contentTypeDescription="Vytvoří nový dokument" ma:contentTypeScope="" ma:versionID="39d76f62e13af19f95ed609b8ce1351a">
  <xsd:schema xmlns:xsd="http://www.w3.org/2001/XMLSchema" xmlns:xs="http://www.w3.org/2001/XMLSchema" xmlns:p="http://schemas.microsoft.com/office/2006/metadata/properties" targetNamespace="http://schemas.microsoft.com/office/2006/metadata/properties" ma:root="true" ma:fieldsID="2ecb93c72f33e94aa0d8973920a8bbe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3FF597-6108-494E-9F99-1B6FC14CEF3E}">
  <ds:schemaRefs>
    <ds:schemaRef ds:uri="http://schemas.microsoft.com/sharepoint/v3/contenttype/forms"/>
  </ds:schemaRefs>
</ds:datastoreItem>
</file>

<file path=customXml/itemProps2.xml><?xml version="1.0" encoding="utf-8"?>
<ds:datastoreItem xmlns:ds="http://schemas.openxmlformats.org/officeDocument/2006/customXml" ds:itemID="{C6C25E1C-BBFD-4A0A-AAA5-D211328F135C}">
  <ds:schemaRefs>
    <ds:schemaRef ds:uri="http://purl.org/dc/dcmitype/"/>
    <ds:schemaRef ds:uri="http://schemas.microsoft.com/office/infopath/2007/PartnerControls"/>
    <ds:schemaRef ds:uri="http://schemas.microsoft.com/office/2006/documentManagement/types"/>
    <ds:schemaRef ds:uri="http://purl.org/dc/elements/1.1/"/>
    <ds:schemaRef ds:uri="http://schemas.microsoft.com/office/2006/metadata/properties"/>
    <ds:schemaRef ds:uri="http://purl.org/dc/terms/"/>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60B59EF8-B0AA-4038-A25A-61645C8E30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BA5211EF-1E16-40A4-880F-498B52DB1D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5902</Words>
  <Characters>34826</Characters>
  <Application>Microsoft Office Word</Application>
  <DocSecurity>4</DocSecurity>
  <Lines>290</Lines>
  <Paragraphs>81</Paragraphs>
  <ScaleCrop>false</ScaleCrop>
  <HeadingPairs>
    <vt:vector size="2" baseType="variant">
      <vt:variant>
        <vt:lpstr>Název</vt:lpstr>
      </vt:variant>
      <vt:variant>
        <vt:i4>1</vt:i4>
      </vt:variant>
    </vt:vector>
  </HeadingPairs>
  <TitlesOfParts>
    <vt:vector size="1" baseType="lpstr">
      <vt:lpstr/>
    </vt:vector>
  </TitlesOfParts>
  <Company>Hewlett-Packard Company</Company>
  <LinksUpToDate>false</LinksUpToDate>
  <CharactersWithSpaces>40647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Matušková Anna Mgr.</dc:creator>
  <cp:lastModifiedBy>Matušková Anna Mgr.</cp:lastModifiedBy>
  <cp:revision>2</cp:revision>
  <cp:lastPrinted>2021-06-23T10:52:00Z</cp:lastPrinted>
  <dcterms:created xsi:type="dcterms:W3CDTF">2022-02-15T09:23:00Z</dcterms:created>
  <dcterms:modified xsi:type="dcterms:W3CDTF">2022-02-15T09:23:00Z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0x0101000A9D2432C90FF54686E01B26E40AA861</vt:lpwstr>
  </property>
</Properties>
</file>