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DE8D8" w14:textId="77777777" w:rsidR="00766E65" w:rsidRPr="00DA333E" w:rsidRDefault="00766E65" w:rsidP="00766E65">
      <w:pPr>
        <w:jc w:val="center"/>
        <w:rPr>
          <w:rFonts w:ascii="Garamond" w:hAnsi="Garamond"/>
        </w:rPr>
      </w:pPr>
      <w:bookmarkStart w:id="0" w:name="_GoBack"/>
      <w:bookmarkEnd w:id="0"/>
      <w:r w:rsidRPr="00DA333E">
        <w:rPr>
          <w:rFonts w:ascii="Garamond" w:hAnsi="Garamond"/>
          <w:noProof/>
        </w:rPr>
        <w:drawing>
          <wp:inline distT="0" distB="0" distL="0" distR="0" wp14:anchorId="416FB389" wp14:editId="75475BDE">
            <wp:extent cx="1051560" cy="1249680"/>
            <wp:effectExtent l="19050" t="0" r="0"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srcRect/>
                    <a:stretch>
                      <a:fillRect/>
                    </a:stretch>
                  </pic:blipFill>
                  <pic:spPr bwMode="auto">
                    <a:xfrm>
                      <a:off x="0" y="0"/>
                      <a:ext cx="1052424" cy="1250989"/>
                    </a:xfrm>
                    <a:prstGeom prst="rect">
                      <a:avLst/>
                    </a:prstGeom>
                    <a:noFill/>
                    <a:ln w="9525">
                      <a:noFill/>
                      <a:miter lim="800000"/>
                      <a:headEnd/>
                      <a:tailEnd/>
                    </a:ln>
                  </pic:spPr>
                </pic:pic>
              </a:graphicData>
            </a:graphic>
          </wp:inline>
        </w:drawing>
      </w:r>
    </w:p>
    <w:p w14:paraId="5F4A85DA" w14:textId="77777777" w:rsidR="00766E65" w:rsidRPr="00DA333E" w:rsidRDefault="00766E65" w:rsidP="00766E65">
      <w:pPr>
        <w:jc w:val="center"/>
        <w:rPr>
          <w:rFonts w:ascii="Garamond" w:hAnsi="Garamond"/>
        </w:rPr>
      </w:pPr>
      <w:r w:rsidRPr="00DA333E">
        <w:rPr>
          <w:rFonts w:ascii="Garamond" w:hAnsi="Garamond"/>
        </w:rPr>
        <w:t>ČESKÁ REPUBLIKA</w:t>
      </w:r>
    </w:p>
    <w:p w14:paraId="48FDDECD" w14:textId="77777777" w:rsidR="00766E65" w:rsidRPr="00DA333E" w:rsidRDefault="00766E65" w:rsidP="00766E65">
      <w:pPr>
        <w:jc w:val="center"/>
        <w:rPr>
          <w:rFonts w:ascii="Garamond" w:hAnsi="Garamond"/>
        </w:rPr>
      </w:pPr>
    </w:p>
    <w:p w14:paraId="4E5939CF" w14:textId="77777777" w:rsidR="00766E65" w:rsidRPr="00DA333E" w:rsidRDefault="00766E65" w:rsidP="00766E65">
      <w:pPr>
        <w:jc w:val="center"/>
        <w:rPr>
          <w:rFonts w:ascii="Garamond" w:hAnsi="Garamond"/>
          <w:b/>
          <w:sz w:val="32"/>
          <w:szCs w:val="32"/>
        </w:rPr>
      </w:pPr>
      <w:r w:rsidRPr="00DA333E">
        <w:rPr>
          <w:rFonts w:ascii="Garamond" w:hAnsi="Garamond"/>
          <w:b/>
          <w:sz w:val="32"/>
          <w:szCs w:val="32"/>
        </w:rPr>
        <w:t>R O Z S U D E K</w:t>
      </w:r>
    </w:p>
    <w:p w14:paraId="500BA426" w14:textId="77777777" w:rsidR="00766E65" w:rsidRPr="00DA333E" w:rsidRDefault="00766E65" w:rsidP="00766E65">
      <w:pPr>
        <w:jc w:val="center"/>
        <w:rPr>
          <w:rFonts w:ascii="Garamond" w:hAnsi="Garamond"/>
          <w:sz w:val="32"/>
          <w:szCs w:val="32"/>
        </w:rPr>
      </w:pPr>
      <w:r w:rsidRPr="00DA333E">
        <w:rPr>
          <w:rFonts w:ascii="Garamond" w:hAnsi="Garamond"/>
          <w:b/>
          <w:sz w:val="32"/>
          <w:szCs w:val="32"/>
        </w:rPr>
        <w:t>J M É N E M   R E P U B L I K Y</w:t>
      </w:r>
    </w:p>
    <w:p w14:paraId="69A5197F" w14:textId="77777777" w:rsidR="00422F84" w:rsidRPr="00DA333E" w:rsidRDefault="00422F84" w:rsidP="00422F84">
      <w:pPr>
        <w:jc w:val="both"/>
        <w:rPr>
          <w:rFonts w:ascii="Garamond" w:eastAsia="Calibri" w:hAnsi="Garamond"/>
          <w:lang w:eastAsia="en-US"/>
        </w:rPr>
      </w:pPr>
    </w:p>
    <w:p w14:paraId="7DD01937" w14:textId="77777777" w:rsidR="00766E65" w:rsidRPr="00DA333E" w:rsidRDefault="00766E65" w:rsidP="00422F84">
      <w:pPr>
        <w:jc w:val="both"/>
        <w:rPr>
          <w:rFonts w:ascii="Garamond" w:eastAsia="Calibri" w:hAnsi="Garamond"/>
          <w:lang w:eastAsia="en-US"/>
        </w:rPr>
      </w:pPr>
    </w:p>
    <w:p w14:paraId="33644B64" w14:textId="137CCC84" w:rsidR="003E2E51" w:rsidRPr="003E2E51" w:rsidRDefault="006D1B29" w:rsidP="003E2E51">
      <w:pPr>
        <w:jc w:val="both"/>
        <w:rPr>
          <w:rFonts w:ascii="Garamond" w:hAnsi="Garamond"/>
        </w:rPr>
      </w:pPr>
      <w:r w:rsidRPr="003E2E51">
        <w:rPr>
          <w:rFonts w:ascii="Garamond" w:hAnsi="Garamond"/>
        </w:rPr>
        <w:t xml:space="preserve">Nejvyšší správní soud rozhodl v rozšířeném senátu složeném z předsedy Josefa Baxy a soudců Zdeňka Kühna, Filipa Dienstbiera, </w:t>
      </w:r>
      <w:r w:rsidR="00C824E8" w:rsidRPr="003E2E51">
        <w:rPr>
          <w:rFonts w:ascii="Garamond" w:hAnsi="Garamond"/>
        </w:rPr>
        <w:t xml:space="preserve">Radovana Havelce, </w:t>
      </w:r>
      <w:r w:rsidRPr="003E2E51">
        <w:rPr>
          <w:rFonts w:ascii="Garamond" w:hAnsi="Garamond"/>
        </w:rPr>
        <w:t>Petra Mikeše, Barbary Pořízkové</w:t>
      </w:r>
      <w:r w:rsidR="00C824E8" w:rsidRPr="003E2E51">
        <w:rPr>
          <w:rFonts w:ascii="Garamond" w:hAnsi="Garamond"/>
        </w:rPr>
        <w:t xml:space="preserve"> </w:t>
      </w:r>
      <w:r w:rsidRPr="003E2E51">
        <w:rPr>
          <w:rFonts w:ascii="Garamond" w:hAnsi="Garamond"/>
        </w:rPr>
        <w:t>a Karla Šimky v právní věci</w:t>
      </w:r>
      <w:r w:rsidR="00422F84" w:rsidRPr="003E2E51">
        <w:rPr>
          <w:rFonts w:ascii="Garamond" w:hAnsi="Garamond"/>
        </w:rPr>
        <w:t xml:space="preserve"> žalobky</w:t>
      </w:r>
      <w:r w:rsidR="00C824E8" w:rsidRPr="003E2E51">
        <w:rPr>
          <w:rFonts w:ascii="Garamond" w:hAnsi="Garamond"/>
        </w:rPr>
        <w:t>ně</w:t>
      </w:r>
      <w:r w:rsidR="00422F84" w:rsidRPr="003E2E51">
        <w:rPr>
          <w:rFonts w:ascii="Garamond" w:hAnsi="Garamond"/>
        </w:rPr>
        <w:t xml:space="preserve">: </w:t>
      </w:r>
      <w:r w:rsidR="003E2E51" w:rsidRPr="003E2E51">
        <w:rPr>
          <w:rFonts w:ascii="Garamond" w:hAnsi="Garamond"/>
          <w:b/>
        </w:rPr>
        <w:t>GO! Express &amp; Logistics, s.r.o.</w:t>
      </w:r>
      <w:r w:rsidR="003E2E51" w:rsidRPr="003E2E51">
        <w:rPr>
          <w:rFonts w:ascii="Garamond" w:hAnsi="Garamond"/>
        </w:rPr>
        <w:t xml:space="preserve">, </w:t>
      </w:r>
      <w:r w:rsidR="009371DC" w:rsidRPr="009371DC">
        <w:rPr>
          <w:rFonts w:ascii="Garamond" w:hAnsi="Garamond"/>
        </w:rPr>
        <w:t xml:space="preserve">Plaská 622/3, Praha 5, </w:t>
      </w:r>
      <w:r w:rsidR="003E2E51" w:rsidRPr="003E2E51">
        <w:rPr>
          <w:rFonts w:ascii="Garamond" w:hAnsi="Garamond"/>
        </w:rPr>
        <w:t xml:space="preserve">zast. </w:t>
      </w:r>
      <w:r w:rsidR="00383FE3" w:rsidRPr="003E2E51">
        <w:rPr>
          <w:rFonts w:ascii="Garamond" w:hAnsi="Garamond"/>
        </w:rPr>
        <w:t xml:space="preserve">advokátkou </w:t>
      </w:r>
      <w:r w:rsidR="003E2E51" w:rsidRPr="003E2E51">
        <w:rPr>
          <w:rFonts w:ascii="Garamond" w:hAnsi="Garamond"/>
        </w:rPr>
        <w:t xml:space="preserve">Mgr. Klárou Zábrodskou, </w:t>
      </w:r>
      <w:r w:rsidR="00383FE3">
        <w:rPr>
          <w:rFonts w:ascii="Garamond" w:hAnsi="Garamond"/>
        </w:rPr>
        <w:t>R</w:t>
      </w:r>
      <w:r w:rsidR="003E2E51" w:rsidRPr="003E2E51">
        <w:rPr>
          <w:rFonts w:ascii="Garamond" w:hAnsi="Garamond"/>
        </w:rPr>
        <w:t xml:space="preserve">ybná 716/24, Praha 1, proti žalovanému: </w:t>
      </w:r>
      <w:r w:rsidR="003E2E51" w:rsidRPr="003E2E51">
        <w:rPr>
          <w:rFonts w:ascii="Garamond" w:hAnsi="Garamond"/>
          <w:b/>
        </w:rPr>
        <w:t>Český telekomunikační úřad</w:t>
      </w:r>
      <w:r w:rsidR="003E2E51" w:rsidRPr="003E2E51">
        <w:rPr>
          <w:rFonts w:ascii="Garamond" w:hAnsi="Garamond"/>
        </w:rPr>
        <w:t xml:space="preserve">, Sokolovská 58/219, Praha 9, proti rozhodnutí předsedy Rady </w:t>
      </w:r>
      <w:r w:rsidR="00383FE3">
        <w:rPr>
          <w:rFonts w:ascii="Garamond" w:hAnsi="Garamond"/>
        </w:rPr>
        <w:t>žalovaného</w:t>
      </w:r>
      <w:r w:rsidR="003E2E51" w:rsidRPr="003E2E51">
        <w:rPr>
          <w:rFonts w:ascii="Garamond" w:hAnsi="Garamond"/>
        </w:rPr>
        <w:t xml:space="preserve"> ze dne 14. 11. 2016, čj. ČTU-55 189/2016-603, v řízení o kasační stížnosti žalovaného proti rozsudku Městského soudu v Praze ze dne 27. 2. 2018, čj. 6 A 21/2017</w:t>
      </w:r>
      <w:r w:rsidR="003E2E51" w:rsidRPr="003E2E51">
        <w:rPr>
          <w:rFonts w:ascii="Garamond" w:hAnsi="Garamond"/>
        </w:rPr>
        <w:noBreakHyphen/>
        <w:t>107,</w:t>
      </w:r>
    </w:p>
    <w:p w14:paraId="29AD1146" w14:textId="77777777" w:rsidR="00422F84" w:rsidRPr="003A67C7" w:rsidRDefault="00422F84" w:rsidP="00422F84">
      <w:pPr>
        <w:overflowPunct w:val="0"/>
        <w:autoSpaceDE w:val="0"/>
        <w:autoSpaceDN w:val="0"/>
        <w:adjustRightInd w:val="0"/>
        <w:spacing w:after="240"/>
        <w:jc w:val="both"/>
        <w:rPr>
          <w:rFonts w:ascii="Garamond" w:hAnsi="Garamond"/>
          <w:sz w:val="12"/>
        </w:rPr>
      </w:pPr>
    </w:p>
    <w:p w14:paraId="6F7C6B04" w14:textId="77777777" w:rsidR="00422F84" w:rsidRPr="00A31E34" w:rsidRDefault="00422F84" w:rsidP="00A31E34">
      <w:pPr>
        <w:jc w:val="center"/>
        <w:rPr>
          <w:rFonts w:ascii="Garamond" w:eastAsia="Calibri" w:hAnsi="Garamond"/>
          <w:b/>
          <w:spacing w:val="60"/>
          <w:lang w:eastAsia="en-US"/>
        </w:rPr>
      </w:pPr>
      <w:r w:rsidRPr="00DA333E">
        <w:rPr>
          <w:rFonts w:ascii="Garamond" w:eastAsia="Calibri" w:hAnsi="Garamond"/>
          <w:b/>
          <w:spacing w:val="60"/>
          <w:lang w:eastAsia="en-US"/>
        </w:rPr>
        <w:t>takto:</w:t>
      </w:r>
    </w:p>
    <w:p w14:paraId="13226853" w14:textId="77777777" w:rsidR="00F67366" w:rsidRPr="003A67C7" w:rsidRDefault="00F67366" w:rsidP="00F67366">
      <w:pPr>
        <w:rPr>
          <w:rFonts w:ascii="Garamond" w:hAnsi="Garamond"/>
          <w:b/>
          <w:spacing w:val="70"/>
          <w:sz w:val="36"/>
        </w:rPr>
      </w:pPr>
    </w:p>
    <w:p w14:paraId="2A08F2F9" w14:textId="77777777" w:rsidR="003E2E51" w:rsidRPr="008C3A44" w:rsidRDefault="003E2E51" w:rsidP="003E2E51">
      <w:pPr>
        <w:jc w:val="both"/>
        <w:rPr>
          <w:rFonts w:ascii="Garamond" w:hAnsi="Garamond"/>
        </w:rPr>
      </w:pPr>
      <w:r>
        <w:rPr>
          <w:rFonts w:ascii="Garamond" w:hAnsi="Garamond"/>
        </w:rPr>
        <w:t>Rozsudek</w:t>
      </w:r>
      <w:r w:rsidRPr="008C3A44">
        <w:rPr>
          <w:rFonts w:ascii="Garamond" w:hAnsi="Garamond"/>
        </w:rPr>
        <w:t xml:space="preserve"> Městského soudu v Praze </w:t>
      </w:r>
      <w:r w:rsidRPr="003E2E51">
        <w:rPr>
          <w:rFonts w:ascii="Garamond" w:hAnsi="Garamond"/>
        </w:rPr>
        <w:t>ze dne 27. 2. 2018, čj. 6 A 21/2017</w:t>
      </w:r>
      <w:r w:rsidRPr="003E2E51">
        <w:rPr>
          <w:rFonts w:ascii="Garamond" w:hAnsi="Garamond"/>
        </w:rPr>
        <w:noBreakHyphen/>
        <w:t>107</w:t>
      </w:r>
      <w:r w:rsidRPr="007940CC">
        <w:rPr>
          <w:rFonts w:ascii="Garamond" w:hAnsi="Garamond"/>
          <w:spacing w:val="60"/>
        </w:rPr>
        <w:t xml:space="preserve">, </w:t>
      </w:r>
      <w:r w:rsidRPr="007940CC">
        <w:rPr>
          <w:rFonts w:ascii="Garamond" w:hAnsi="Garamond"/>
          <w:b/>
          <w:spacing w:val="60"/>
        </w:rPr>
        <w:t>se ruší</w:t>
      </w:r>
      <w:r w:rsidRPr="008C3A44">
        <w:rPr>
          <w:rFonts w:ascii="Garamond" w:hAnsi="Garamond"/>
        </w:rPr>
        <w:t xml:space="preserve"> a věc </w:t>
      </w:r>
      <w:r w:rsidRPr="00387A3D">
        <w:rPr>
          <w:rFonts w:ascii="Garamond" w:eastAsia="Calibri" w:hAnsi="Garamond" w:cs="Garamond"/>
          <w:b/>
          <w:spacing w:val="60"/>
        </w:rPr>
        <w:t>se vrací</w:t>
      </w:r>
      <w:r>
        <w:rPr>
          <w:rFonts w:ascii="Garamond" w:eastAsia="Calibri" w:hAnsi="Garamond" w:cs="Garamond"/>
          <w:b/>
          <w:spacing w:val="60"/>
        </w:rPr>
        <w:t xml:space="preserve"> </w:t>
      </w:r>
      <w:r w:rsidRPr="008C3A44">
        <w:rPr>
          <w:rFonts w:ascii="Garamond" w:hAnsi="Garamond"/>
        </w:rPr>
        <w:t>tomuto soudu k dalšímu řízení.</w:t>
      </w:r>
    </w:p>
    <w:p w14:paraId="345E047D" w14:textId="77777777" w:rsidR="00422F84" w:rsidRPr="00DA333E" w:rsidRDefault="00422F84" w:rsidP="00422F84">
      <w:pPr>
        <w:jc w:val="both"/>
        <w:rPr>
          <w:rFonts w:ascii="Garamond" w:eastAsia="Calibri" w:hAnsi="Garamond"/>
          <w:lang w:eastAsia="en-US"/>
        </w:rPr>
      </w:pPr>
    </w:p>
    <w:p w14:paraId="15DEF492" w14:textId="77777777" w:rsidR="006D1B29" w:rsidRPr="00DA333E" w:rsidRDefault="006D1B29" w:rsidP="00422F84">
      <w:pPr>
        <w:jc w:val="both"/>
        <w:rPr>
          <w:rFonts w:ascii="Garamond" w:eastAsia="Calibri" w:hAnsi="Garamond"/>
          <w:lang w:eastAsia="en-US"/>
        </w:rPr>
      </w:pPr>
    </w:p>
    <w:p w14:paraId="2559519E" w14:textId="77777777" w:rsidR="00422F84" w:rsidRPr="007940CC" w:rsidRDefault="00422F84" w:rsidP="00422F84">
      <w:pPr>
        <w:jc w:val="center"/>
        <w:outlineLvl w:val="0"/>
        <w:rPr>
          <w:rFonts w:ascii="Garamond" w:eastAsia="Calibri" w:hAnsi="Garamond"/>
          <w:b/>
          <w:spacing w:val="60"/>
          <w:sz w:val="28"/>
          <w:lang w:eastAsia="en-US"/>
        </w:rPr>
      </w:pPr>
      <w:r w:rsidRPr="007940CC">
        <w:rPr>
          <w:rFonts w:ascii="Garamond" w:eastAsia="Calibri" w:hAnsi="Garamond"/>
          <w:b/>
          <w:spacing w:val="60"/>
          <w:sz w:val="28"/>
          <w:lang w:eastAsia="en-US"/>
        </w:rPr>
        <w:t>Odůvodnění:</w:t>
      </w:r>
    </w:p>
    <w:p w14:paraId="6E9CE64C" w14:textId="77777777" w:rsidR="00422F84" w:rsidRPr="00DA333E" w:rsidRDefault="00422F84" w:rsidP="00422F84">
      <w:pPr>
        <w:rPr>
          <w:rFonts w:ascii="Garamond" w:eastAsia="Calibri" w:hAnsi="Garamond"/>
          <w:lang w:eastAsia="en-US"/>
        </w:rPr>
      </w:pPr>
    </w:p>
    <w:p w14:paraId="143BF1E4" w14:textId="77777777" w:rsidR="006D1B29" w:rsidRPr="00DA333E" w:rsidRDefault="006D1B29" w:rsidP="006D1B29">
      <w:pPr>
        <w:jc w:val="center"/>
        <w:outlineLvl w:val="0"/>
        <w:rPr>
          <w:rFonts w:ascii="Garamond" w:hAnsi="Garamond"/>
          <w:b/>
        </w:rPr>
      </w:pPr>
      <w:r w:rsidRPr="00DA333E">
        <w:rPr>
          <w:rFonts w:ascii="Garamond" w:hAnsi="Garamond"/>
          <w:b/>
        </w:rPr>
        <w:t>I. Jádro sporu a dosavadní postup ve věci</w:t>
      </w:r>
    </w:p>
    <w:p w14:paraId="5ABB6A1B" w14:textId="77777777" w:rsidR="006D1B29" w:rsidRPr="00DA333E" w:rsidRDefault="006D1B29" w:rsidP="006D1B29">
      <w:pPr>
        <w:pStyle w:val="Normlnweb"/>
        <w:shd w:val="clear" w:color="auto" w:fill="FFFFFF"/>
        <w:spacing w:after="0"/>
        <w:rPr>
          <w:rFonts w:ascii="Garamond" w:hAnsi="Garamond"/>
        </w:rPr>
      </w:pPr>
    </w:p>
    <w:p w14:paraId="62E26313" w14:textId="77777777" w:rsidR="006D1B29" w:rsidRPr="00DA333E" w:rsidRDefault="006D1B29" w:rsidP="006D1B29">
      <w:pPr>
        <w:pStyle w:val="Normlnweb"/>
        <w:shd w:val="clear" w:color="auto" w:fill="FFFFFF"/>
        <w:spacing w:after="0"/>
        <w:jc w:val="center"/>
        <w:rPr>
          <w:rFonts w:ascii="Garamond" w:hAnsi="Garamond"/>
          <w:b/>
          <w:i/>
        </w:rPr>
      </w:pPr>
      <w:r w:rsidRPr="00DA333E">
        <w:rPr>
          <w:rFonts w:ascii="Garamond" w:hAnsi="Garamond"/>
          <w:b/>
        </w:rPr>
        <w:t>I. 1.</w:t>
      </w:r>
      <w:r w:rsidRPr="00DA333E">
        <w:rPr>
          <w:rFonts w:ascii="Garamond" w:hAnsi="Garamond"/>
          <w:b/>
          <w:i/>
        </w:rPr>
        <w:t xml:space="preserve"> </w:t>
      </w:r>
      <w:r w:rsidR="00766E65" w:rsidRPr="00DA333E">
        <w:rPr>
          <w:rFonts w:ascii="Garamond" w:hAnsi="Garamond"/>
          <w:b/>
          <w:i/>
        </w:rPr>
        <w:t>Vymezení sporné otázky</w:t>
      </w:r>
    </w:p>
    <w:p w14:paraId="21FFC4DE" w14:textId="2CCD4223" w:rsidR="006D1B29" w:rsidRPr="00DA333E" w:rsidRDefault="00E03B4A" w:rsidP="001A7730">
      <w:pPr>
        <w:pStyle w:val="Styl1"/>
        <w:ind w:left="0" w:firstLine="0"/>
      </w:pPr>
      <w:r w:rsidRPr="00DA333E">
        <w:t xml:space="preserve">V nynější věci je rozšířený senát povolán </w:t>
      </w:r>
      <w:r w:rsidR="00A947FD" w:rsidRPr="00DA333E">
        <w:t>k </w:t>
      </w:r>
      <w:r w:rsidR="00184926" w:rsidRPr="00184926">
        <w:t>výklad</w:t>
      </w:r>
      <w:r w:rsidR="00184926">
        <w:t>u</w:t>
      </w:r>
      <w:r w:rsidR="00184926" w:rsidRPr="00184926">
        <w:t xml:space="preserve"> pojmu </w:t>
      </w:r>
      <w:r w:rsidR="00184926" w:rsidRPr="00184926">
        <w:rPr>
          <w:i/>
        </w:rPr>
        <w:t>poštovní služba</w:t>
      </w:r>
      <w:r w:rsidR="00184926" w:rsidRPr="00184926">
        <w:t xml:space="preserve"> podle zákona č.</w:t>
      </w:r>
      <w:r w:rsidR="00184926">
        <w:t> </w:t>
      </w:r>
      <w:r w:rsidR="00184926" w:rsidRPr="00184926">
        <w:t xml:space="preserve">29/2000 Sb., o poštovních službách, ve znění účinném </w:t>
      </w:r>
      <w:r w:rsidR="00D520D8">
        <w:t>do 14. 4. 2020</w:t>
      </w:r>
      <w:r w:rsidR="00184926" w:rsidRPr="00184926">
        <w:t xml:space="preserve">, </w:t>
      </w:r>
      <w:r w:rsidR="00F1240D">
        <w:t>se zřetelem ke</w:t>
      </w:r>
      <w:r w:rsidR="00184926" w:rsidRPr="00184926">
        <w:t xml:space="preserve"> </w:t>
      </w:r>
      <w:r w:rsidR="00184926">
        <w:t>s</w:t>
      </w:r>
      <w:r w:rsidR="00184926" w:rsidRPr="00184926">
        <w:t>měrnic</w:t>
      </w:r>
      <w:r w:rsidR="00F1240D">
        <w:t>i</w:t>
      </w:r>
      <w:r w:rsidR="00184926" w:rsidRPr="00184926">
        <w:t xml:space="preserve"> Evropského parlam</w:t>
      </w:r>
      <w:r w:rsidR="007940CC">
        <w:t>entu a Rady 97/67/ES ze dne 15. </w:t>
      </w:r>
      <w:r w:rsidR="00184926">
        <w:t>12.</w:t>
      </w:r>
      <w:r w:rsidR="007940CC">
        <w:t> </w:t>
      </w:r>
      <w:r w:rsidR="00184926" w:rsidRPr="00184926">
        <w:t>1</w:t>
      </w:r>
      <w:r w:rsidR="007940CC">
        <w:t>997 o společných pravidlech pro </w:t>
      </w:r>
      <w:r w:rsidR="00184926" w:rsidRPr="00184926">
        <w:t>rozvoj vnitřního trhu poštovních služeb Společenství a zvyšování kvality služby</w:t>
      </w:r>
      <w:r w:rsidR="001768A9">
        <w:t xml:space="preserve">, ve znění </w:t>
      </w:r>
      <w:r w:rsidR="001A7730" w:rsidRPr="001A7730">
        <w:t>směrnice 2002/39/ES</w:t>
      </w:r>
      <w:r w:rsidR="001A7730" w:rsidRPr="001A7730">
        <w:rPr>
          <w:rStyle w:val="Znakapoznpodarou"/>
          <w:vertAlign w:val="baseline"/>
        </w:rPr>
        <w:t xml:space="preserve"> </w:t>
      </w:r>
      <w:r w:rsidR="00060B5B">
        <w:rPr>
          <w:rStyle w:val="Znakapoznpodarou"/>
          <w:vertAlign w:val="baseline"/>
        </w:rPr>
        <w:t>a </w:t>
      </w:r>
      <w:r w:rsidR="001A7730">
        <w:t xml:space="preserve">směrnice </w:t>
      </w:r>
      <w:r w:rsidR="001A7730" w:rsidRPr="001A7730">
        <w:t>2008/6/ES</w:t>
      </w:r>
      <w:r w:rsidR="00184926">
        <w:rPr>
          <w:rStyle w:val="Znakapoznpodarou"/>
        </w:rPr>
        <w:footnoteReference w:id="2"/>
      </w:r>
      <w:r w:rsidR="001768A9">
        <w:t xml:space="preserve"> </w:t>
      </w:r>
      <w:r w:rsidR="00184926" w:rsidRPr="00184926">
        <w:t>(dále jen „poštovní směrnice“).</w:t>
      </w:r>
      <w:r w:rsidR="00FC407F" w:rsidRPr="00DA333E">
        <w:t xml:space="preserve"> </w:t>
      </w:r>
    </w:p>
    <w:p w14:paraId="6C3040E0" w14:textId="77777777" w:rsidR="006D1B29" w:rsidRPr="00DA333E" w:rsidRDefault="006D1B29" w:rsidP="006D1B29">
      <w:pPr>
        <w:pStyle w:val="Styl1"/>
        <w:numPr>
          <w:ilvl w:val="0"/>
          <w:numId w:val="0"/>
        </w:numPr>
        <w:spacing w:before="0" w:after="0"/>
      </w:pPr>
    </w:p>
    <w:p w14:paraId="1235D57A" w14:textId="77777777" w:rsidR="006D1B29" w:rsidRPr="00DA333E" w:rsidRDefault="006D1B29" w:rsidP="006D1B29">
      <w:pPr>
        <w:pStyle w:val="Normlnweb"/>
        <w:shd w:val="clear" w:color="auto" w:fill="FFFFFF"/>
        <w:spacing w:after="0"/>
        <w:jc w:val="center"/>
        <w:rPr>
          <w:rFonts w:ascii="Garamond" w:hAnsi="Garamond"/>
          <w:b/>
          <w:i/>
        </w:rPr>
      </w:pPr>
      <w:r w:rsidRPr="00DA333E">
        <w:rPr>
          <w:rFonts w:ascii="Garamond" w:hAnsi="Garamond"/>
          <w:b/>
        </w:rPr>
        <w:t>I. 2.</w:t>
      </w:r>
      <w:r w:rsidRPr="00DA333E">
        <w:rPr>
          <w:rFonts w:ascii="Garamond" w:hAnsi="Garamond"/>
          <w:b/>
          <w:i/>
        </w:rPr>
        <w:t xml:space="preserve"> Rozhodné skutkové okolnosti a průběh předchozích řízení</w:t>
      </w:r>
    </w:p>
    <w:p w14:paraId="364B65CA" w14:textId="48293902" w:rsidR="0020401B" w:rsidRPr="0020401B" w:rsidRDefault="0020401B" w:rsidP="0020401B">
      <w:pPr>
        <w:pStyle w:val="Styl1"/>
        <w:ind w:left="0" w:firstLine="0"/>
        <w:rPr>
          <w:rStyle w:val="textcolumn"/>
        </w:rPr>
      </w:pPr>
      <w:r w:rsidRPr="0020401B">
        <w:rPr>
          <w:rStyle w:val="textcolumn"/>
        </w:rPr>
        <w:t xml:space="preserve">Žalovaný (dále </w:t>
      </w:r>
      <w:r>
        <w:rPr>
          <w:rStyle w:val="textcolumn"/>
        </w:rPr>
        <w:t>jen „</w:t>
      </w:r>
      <w:r w:rsidRPr="0020401B">
        <w:rPr>
          <w:rStyle w:val="textcolumn"/>
        </w:rPr>
        <w:t>stěžovatel</w:t>
      </w:r>
      <w:r w:rsidRPr="00571FA6">
        <w:rPr>
          <w:rStyle w:val="textcolumn"/>
        </w:rPr>
        <w:t xml:space="preserve">“) </w:t>
      </w:r>
      <w:r w:rsidR="00435443" w:rsidRPr="00571FA6">
        <w:rPr>
          <w:rStyle w:val="textcolumn"/>
        </w:rPr>
        <w:t xml:space="preserve">ve výroku I </w:t>
      </w:r>
      <w:r w:rsidR="00E5417E" w:rsidRPr="00B94877">
        <w:rPr>
          <w:rStyle w:val="textcolumn"/>
        </w:rPr>
        <w:t>rozhodnutí ze dne 13. 4. 2016</w:t>
      </w:r>
      <w:r w:rsidR="00E5417E" w:rsidRPr="00571FA6">
        <w:rPr>
          <w:rStyle w:val="textcolumn"/>
        </w:rPr>
        <w:t xml:space="preserve"> </w:t>
      </w:r>
      <w:r w:rsidR="007940CC">
        <w:rPr>
          <w:rStyle w:val="textcolumn"/>
        </w:rPr>
        <w:t>deklaroval, že </w:t>
      </w:r>
      <w:r w:rsidRPr="00571FA6">
        <w:rPr>
          <w:rStyle w:val="textcolumn"/>
        </w:rPr>
        <w:t xml:space="preserve">služby </w:t>
      </w:r>
      <w:r w:rsidR="00060B5B" w:rsidRPr="00571FA6">
        <w:rPr>
          <w:rStyle w:val="textcolumn"/>
        </w:rPr>
        <w:t>„</w:t>
      </w:r>
      <w:r w:rsidRPr="00571FA6">
        <w:rPr>
          <w:rStyle w:val="textcolumn"/>
        </w:rPr>
        <w:t>GO! Česko</w:t>
      </w:r>
      <w:r w:rsidR="00060B5B" w:rsidRPr="00571FA6">
        <w:rPr>
          <w:rStyle w:val="textcolumn"/>
        </w:rPr>
        <w:t xml:space="preserve">“ </w:t>
      </w:r>
      <w:r w:rsidRPr="00571FA6">
        <w:rPr>
          <w:rStyle w:val="textcolumn"/>
        </w:rPr>
        <w:t xml:space="preserve">nabízené žalobkyní podle Všeobecných obchodních podmínek platných od 3. 1. 2014 </w:t>
      </w:r>
      <w:r w:rsidRPr="00571FA6">
        <w:rPr>
          <w:rStyle w:val="textcolumn"/>
          <w:b/>
        </w:rPr>
        <w:t>nejsou</w:t>
      </w:r>
      <w:r w:rsidRPr="00571FA6">
        <w:rPr>
          <w:rStyle w:val="textcolumn"/>
        </w:rPr>
        <w:t xml:space="preserve"> poštovními službami ve smyslu zákona o poštovních službách</w:t>
      </w:r>
      <w:r w:rsidR="009371DC" w:rsidRPr="00571FA6">
        <w:rPr>
          <w:rStyle w:val="textcolumn"/>
        </w:rPr>
        <w:t>.</w:t>
      </w:r>
      <w:r w:rsidRPr="00571FA6">
        <w:rPr>
          <w:rStyle w:val="textcolumn"/>
        </w:rPr>
        <w:t xml:space="preserve"> </w:t>
      </w:r>
      <w:r w:rsidR="009371DC" w:rsidRPr="00571FA6">
        <w:rPr>
          <w:rStyle w:val="textcolumn"/>
        </w:rPr>
        <w:t>V</w:t>
      </w:r>
      <w:r w:rsidRPr="00571FA6">
        <w:rPr>
          <w:rStyle w:val="textcolumn"/>
        </w:rPr>
        <w:t>ýrok</w:t>
      </w:r>
      <w:r w:rsidR="009371DC" w:rsidRPr="00571FA6">
        <w:rPr>
          <w:rStyle w:val="textcolumn"/>
        </w:rPr>
        <w:t>em</w:t>
      </w:r>
      <w:r w:rsidRPr="00571FA6">
        <w:rPr>
          <w:rStyle w:val="textcolumn"/>
        </w:rPr>
        <w:t xml:space="preserve"> II </w:t>
      </w:r>
      <w:r w:rsidR="000D1E85" w:rsidRPr="00571FA6">
        <w:rPr>
          <w:rStyle w:val="textcolumn"/>
        </w:rPr>
        <w:t xml:space="preserve">téhož rozhodnutí </w:t>
      </w:r>
      <w:r w:rsidRPr="00571FA6">
        <w:rPr>
          <w:rStyle w:val="textcolumn"/>
        </w:rPr>
        <w:t xml:space="preserve">deklaroval, že služby </w:t>
      </w:r>
      <w:r w:rsidR="00060B5B" w:rsidRPr="00571FA6">
        <w:rPr>
          <w:rStyle w:val="textcolumn"/>
        </w:rPr>
        <w:t>„</w:t>
      </w:r>
      <w:r w:rsidRPr="00571FA6">
        <w:rPr>
          <w:rStyle w:val="textcolumn"/>
        </w:rPr>
        <w:t>GO! Europe</w:t>
      </w:r>
      <w:r w:rsidR="00060B5B" w:rsidRPr="00571FA6">
        <w:rPr>
          <w:rStyle w:val="textcolumn"/>
        </w:rPr>
        <w:t xml:space="preserve">!“ </w:t>
      </w:r>
      <w:r w:rsidRPr="00571FA6">
        <w:rPr>
          <w:rStyle w:val="textcolumn"/>
        </w:rPr>
        <w:t>a</w:t>
      </w:r>
      <w:r w:rsidRPr="0020401B">
        <w:rPr>
          <w:rStyle w:val="textcolumn"/>
        </w:rPr>
        <w:t xml:space="preserve"> </w:t>
      </w:r>
      <w:r w:rsidR="00060B5B">
        <w:rPr>
          <w:rStyle w:val="textcolumn"/>
        </w:rPr>
        <w:t>„</w:t>
      </w:r>
      <w:r w:rsidRPr="0020401B">
        <w:rPr>
          <w:rStyle w:val="textcolumn"/>
        </w:rPr>
        <w:t>GO! Worldwide</w:t>
      </w:r>
      <w:r w:rsidR="00060B5B">
        <w:rPr>
          <w:rStyle w:val="textcolumn"/>
        </w:rPr>
        <w:t xml:space="preserve">“, </w:t>
      </w:r>
      <w:r w:rsidR="009371DC">
        <w:rPr>
          <w:rStyle w:val="textcolumn"/>
        </w:rPr>
        <w:t>které</w:t>
      </w:r>
      <w:r w:rsidRPr="0020401B">
        <w:rPr>
          <w:rStyle w:val="textcolumn"/>
        </w:rPr>
        <w:t xml:space="preserve"> nabíze</w:t>
      </w:r>
      <w:r w:rsidR="009371DC">
        <w:rPr>
          <w:rStyle w:val="textcolumn"/>
        </w:rPr>
        <w:t>la</w:t>
      </w:r>
      <w:r w:rsidRPr="0020401B">
        <w:rPr>
          <w:rStyle w:val="textcolumn"/>
        </w:rPr>
        <w:t xml:space="preserve"> žalobkyn</w:t>
      </w:r>
      <w:r w:rsidR="009371DC">
        <w:rPr>
          <w:rStyle w:val="textcolumn"/>
        </w:rPr>
        <w:t>ě</w:t>
      </w:r>
      <w:r w:rsidRPr="0020401B">
        <w:rPr>
          <w:rStyle w:val="textcolumn"/>
        </w:rPr>
        <w:t xml:space="preserve"> podle Všeobecných obchodních podmínek platných od 3. 1. 2014</w:t>
      </w:r>
      <w:r w:rsidR="009371DC">
        <w:rPr>
          <w:rStyle w:val="textcolumn"/>
        </w:rPr>
        <w:t>,</w:t>
      </w:r>
      <w:r w:rsidRPr="0020401B">
        <w:rPr>
          <w:rStyle w:val="textcolumn"/>
        </w:rPr>
        <w:t xml:space="preserve"> </w:t>
      </w:r>
      <w:r w:rsidRPr="0020401B">
        <w:rPr>
          <w:rStyle w:val="textcolumn"/>
          <w:b/>
        </w:rPr>
        <w:t>jsou</w:t>
      </w:r>
      <w:r w:rsidRPr="0020401B">
        <w:rPr>
          <w:rStyle w:val="textcolumn"/>
        </w:rPr>
        <w:t xml:space="preserve"> poštovními službami ve smyslu zákona o poštovních službách. </w:t>
      </w:r>
      <w:r w:rsidR="009371DC">
        <w:rPr>
          <w:rStyle w:val="textcolumn"/>
        </w:rPr>
        <w:t>Žalobkyně podala proti výroku II tohoto rozhodnutí rozklad. R</w:t>
      </w:r>
      <w:r w:rsidR="009371DC" w:rsidRPr="0020401B">
        <w:rPr>
          <w:rStyle w:val="textcolumn"/>
        </w:rPr>
        <w:t xml:space="preserve">ozhodnutím </w:t>
      </w:r>
      <w:r w:rsidR="009371DC" w:rsidRPr="003E2E51">
        <w:t>ze dne 14. 11. 2016</w:t>
      </w:r>
      <w:r w:rsidR="009371DC">
        <w:t xml:space="preserve"> </w:t>
      </w:r>
      <w:r w:rsidR="009371DC">
        <w:rPr>
          <w:rStyle w:val="textcolumn"/>
        </w:rPr>
        <w:t>p</w:t>
      </w:r>
      <w:r w:rsidRPr="0020401B">
        <w:rPr>
          <w:rStyle w:val="textcolumn"/>
        </w:rPr>
        <w:t xml:space="preserve">ředseda Rady stěžovatele rozklad </w:t>
      </w:r>
      <w:r w:rsidR="009371DC" w:rsidRPr="0020401B">
        <w:rPr>
          <w:rStyle w:val="textcolumn"/>
        </w:rPr>
        <w:t>zamítl</w:t>
      </w:r>
      <w:r w:rsidRPr="0020401B">
        <w:rPr>
          <w:rStyle w:val="textcolumn"/>
        </w:rPr>
        <w:t xml:space="preserve">. </w:t>
      </w:r>
      <w:r>
        <w:rPr>
          <w:rStyle w:val="textcolumn"/>
        </w:rPr>
        <w:lastRenderedPageBreak/>
        <w:t>Toto r</w:t>
      </w:r>
      <w:r w:rsidRPr="0020401B">
        <w:rPr>
          <w:rStyle w:val="textcolumn"/>
        </w:rPr>
        <w:t>ozhodnutí napadla žalobkyně žalobou, které Městský soud v Praze vyhověl</w:t>
      </w:r>
      <w:r w:rsidR="009371DC">
        <w:rPr>
          <w:rStyle w:val="textcolumn"/>
        </w:rPr>
        <w:t>.</w:t>
      </w:r>
      <w:r w:rsidRPr="0020401B">
        <w:rPr>
          <w:rStyle w:val="textcolumn"/>
        </w:rPr>
        <w:t xml:space="preserve"> </w:t>
      </w:r>
      <w:r w:rsidR="009371DC">
        <w:rPr>
          <w:rStyle w:val="textcolumn"/>
        </w:rPr>
        <w:t xml:space="preserve">Shora specifikovaným </w:t>
      </w:r>
      <w:r>
        <w:rPr>
          <w:rStyle w:val="textcolumn"/>
        </w:rPr>
        <w:t xml:space="preserve">rozsudkem </w:t>
      </w:r>
      <w:r w:rsidRPr="0020401B">
        <w:rPr>
          <w:rStyle w:val="textcolumn"/>
        </w:rPr>
        <w:t xml:space="preserve">zrušil napadené rozhodnutí a věc vrátil stěžovateli k dalšímu řízení. </w:t>
      </w:r>
    </w:p>
    <w:p w14:paraId="058CC044" w14:textId="06011ED6" w:rsidR="00F90153" w:rsidRPr="00F90153" w:rsidRDefault="00F90153" w:rsidP="00F90153">
      <w:pPr>
        <w:pStyle w:val="Styl1"/>
        <w:ind w:left="0" w:firstLine="0"/>
        <w:rPr>
          <w:rStyle w:val="textcolumn"/>
        </w:rPr>
      </w:pPr>
      <w:r>
        <w:rPr>
          <w:rStyle w:val="textcolumn"/>
        </w:rPr>
        <w:t xml:space="preserve">Městský soud </w:t>
      </w:r>
      <w:r w:rsidR="009371DC">
        <w:rPr>
          <w:rStyle w:val="textcolumn"/>
        </w:rPr>
        <w:t>mj. na základě</w:t>
      </w:r>
      <w:r>
        <w:rPr>
          <w:rStyle w:val="textcolumn"/>
        </w:rPr>
        <w:t> judikatury NSS dovodil, že z</w:t>
      </w:r>
      <w:r w:rsidRPr="00F90153">
        <w:rPr>
          <w:rStyle w:val="textcolumn"/>
        </w:rPr>
        <w:t xml:space="preserve">ákon o poštovních službách rozlišuje mezi </w:t>
      </w:r>
      <w:r w:rsidRPr="00462809">
        <w:rPr>
          <w:rStyle w:val="textcolumn"/>
          <w:i/>
        </w:rPr>
        <w:t>základními</w:t>
      </w:r>
      <w:r w:rsidRPr="00F90153">
        <w:rPr>
          <w:rStyle w:val="textcolumn"/>
        </w:rPr>
        <w:t xml:space="preserve"> poštovními službami, mezi něž řadí všeobecné poštovní služby podle čl</w:t>
      </w:r>
      <w:r w:rsidR="00060B5B" w:rsidRPr="00F90153">
        <w:rPr>
          <w:rStyle w:val="textcolumn"/>
        </w:rPr>
        <w:t>.</w:t>
      </w:r>
      <w:r w:rsidR="00060B5B">
        <w:rPr>
          <w:rStyle w:val="textcolumn"/>
        </w:rPr>
        <w:t> </w:t>
      </w:r>
      <w:r w:rsidRPr="00F90153">
        <w:rPr>
          <w:rStyle w:val="textcolumn"/>
        </w:rPr>
        <w:t xml:space="preserve">3 odst. 4 poštovní směrnice a přidává některé další, a </w:t>
      </w:r>
      <w:r w:rsidRPr="00462809">
        <w:rPr>
          <w:rStyle w:val="textcolumn"/>
          <w:i/>
        </w:rPr>
        <w:t>ostatními</w:t>
      </w:r>
      <w:r w:rsidR="007940CC">
        <w:rPr>
          <w:rStyle w:val="textcolumn"/>
        </w:rPr>
        <w:t xml:space="preserve"> poštovními službami, jež </w:t>
      </w:r>
      <w:r w:rsidRPr="00F90153">
        <w:rPr>
          <w:rStyle w:val="textcolumn"/>
        </w:rPr>
        <w:t xml:space="preserve">nedefinuje. Dopadá však pouze na poštovní služby (zahrnující zpravidla poštovní podání, třídění a přepravu poštovní zásilky), které jsou poskytovány na základě poštovní smlouvy, přičemž uzavření takovéto smlouvy musí být umožněno každému, kdo se dostaví do provozovny a v mezích a způsobem upraveným v poštovních podmínkách její uzavření požaduje. Všem provozovatelům poštovních služeb tak byla zákonem o poštovních službách stanovena kontraktační povinnost. Zákon o poštovních službách tudíž dopadá pouze na služby, které </w:t>
      </w:r>
      <w:r w:rsidRPr="00F90153">
        <w:rPr>
          <w:rStyle w:val="textcolumn"/>
          <w:b/>
        </w:rPr>
        <w:t xml:space="preserve">(i) </w:t>
      </w:r>
      <w:r w:rsidRPr="00F90153">
        <w:rPr>
          <w:rStyle w:val="textcolumn"/>
        </w:rPr>
        <w:t xml:space="preserve">zpravidla zahrnují poštovní podání, třídění a přepravu poštovní zásilky prostřednictvím poštovní sítě a jsou prováděny za účelem dodání poštovní zásilky příjemci (§ 1 odst. 2 věta druhá zákona </w:t>
      </w:r>
      <w:r w:rsidR="00060B5B" w:rsidRPr="00F90153">
        <w:rPr>
          <w:rStyle w:val="textcolumn"/>
        </w:rPr>
        <w:t>o</w:t>
      </w:r>
      <w:r w:rsidR="00060B5B">
        <w:rPr>
          <w:rStyle w:val="textcolumn"/>
        </w:rPr>
        <w:t> </w:t>
      </w:r>
      <w:r w:rsidRPr="00F90153">
        <w:rPr>
          <w:rStyle w:val="textcolumn"/>
        </w:rPr>
        <w:t>poštovních službách)</w:t>
      </w:r>
      <w:r>
        <w:rPr>
          <w:rStyle w:val="textcolumn"/>
        </w:rPr>
        <w:t>. Z</w:t>
      </w:r>
      <w:r w:rsidRPr="00F90153">
        <w:rPr>
          <w:rStyle w:val="textcolumn"/>
        </w:rPr>
        <w:t xml:space="preserve">ároveň </w:t>
      </w:r>
      <w:r w:rsidRPr="00F90153">
        <w:rPr>
          <w:rStyle w:val="textcolumn"/>
          <w:b/>
        </w:rPr>
        <w:t>(ii)</w:t>
      </w:r>
      <w:r w:rsidRPr="00F90153">
        <w:rPr>
          <w:rStyle w:val="textcolumn"/>
        </w:rPr>
        <w:t xml:space="preserve"> jsou poskytovány na zákl</w:t>
      </w:r>
      <w:r w:rsidR="007940CC">
        <w:rPr>
          <w:rStyle w:val="textcolumn"/>
        </w:rPr>
        <w:t>adě poštovní smlouvy každému ve </w:t>
      </w:r>
      <w:r w:rsidRPr="00F90153">
        <w:rPr>
          <w:rStyle w:val="textcolumn"/>
        </w:rPr>
        <w:t>veřejně přístupné provozovně za</w:t>
      </w:r>
      <w:r w:rsidR="007940CC">
        <w:rPr>
          <w:rStyle w:val="textcolumn"/>
        </w:rPr>
        <w:t xml:space="preserve"> předem stanovených podmínek (§ 1 odst. </w:t>
      </w:r>
      <w:r w:rsidRPr="00F90153">
        <w:rPr>
          <w:rStyle w:val="textcolumn"/>
        </w:rPr>
        <w:t>2 věta první zákona o</w:t>
      </w:r>
      <w:r w:rsidR="00060B5B">
        <w:rPr>
          <w:rStyle w:val="textcolumn"/>
        </w:rPr>
        <w:t> </w:t>
      </w:r>
      <w:r w:rsidRPr="00F90153">
        <w:rPr>
          <w:rStyle w:val="textcolumn"/>
        </w:rPr>
        <w:t>poštovních službách ve spojení s § 4 a 5 zákona o poštovních službách).</w:t>
      </w:r>
    </w:p>
    <w:p w14:paraId="03B8A7EE" w14:textId="3E962FDD" w:rsidR="00F90153" w:rsidRPr="00F90153" w:rsidRDefault="00F90153" w:rsidP="00F90153">
      <w:pPr>
        <w:pStyle w:val="Styl1"/>
        <w:ind w:left="0" w:firstLine="0"/>
        <w:rPr>
          <w:rStyle w:val="textcolumn"/>
        </w:rPr>
      </w:pPr>
      <w:r w:rsidRPr="00F90153">
        <w:rPr>
          <w:rStyle w:val="textcolumn"/>
        </w:rPr>
        <w:t>Jelikož povinnosti podle čl. 9 odst. 2 třetího pododstavce poštovní směrnice, včetně povinnosti poskytnout služby každému, lze uložit pouze určenému poskytovateli všeobecných poštovních služeb a zároveň jedním ze znaků poštovních služeb ve smyslu zákona o poštovních službách je povinnost uzavřít poštovní smlouvu s každým (a tedy i poskytnout poštovní službu každému), dopadá zákon o poštovních službách pouze na (základní i ostatní) poštovní služby poskytované určenými poskytovateli všeobecných poštovních služeb, tedy držiteli poštovní licence podle § 21 zákona o poštovních službách (tj. aktuálně pouze na Českou poštu,</w:t>
      </w:r>
      <w:r w:rsidR="004E2E9B">
        <w:rPr>
          <w:rStyle w:val="textcolumn"/>
        </w:rPr>
        <w:t> </w:t>
      </w:r>
      <w:r w:rsidRPr="00F90153">
        <w:rPr>
          <w:rStyle w:val="textcolumn"/>
        </w:rPr>
        <w:t>s.p.). Pokud daná společnost nebyla určeným poskytovatelem poštovních služeb, nemohla poštovní služby poskytovat. Jinak řečeno, nebyla-li povinna poskytovat poštov</w:t>
      </w:r>
      <w:r w:rsidR="007940CC">
        <w:rPr>
          <w:rStyle w:val="textcolumn"/>
        </w:rPr>
        <w:t>ní služby každému, kdo o to </w:t>
      </w:r>
      <w:r w:rsidRPr="00F90153">
        <w:rPr>
          <w:rStyle w:val="textcolumn"/>
        </w:rPr>
        <w:t>požádal, ve veřejně přístupných provozovnách a za předem zveřejněných poštovních podmínek, a ani tak nečinila, nebyly její služby zákonem o poštovních službách vůbec regulovány.</w:t>
      </w:r>
    </w:p>
    <w:p w14:paraId="5E0F03EA" w14:textId="6F241D44" w:rsidR="0024053B" w:rsidRPr="005911F8" w:rsidRDefault="00F90153" w:rsidP="00F90153">
      <w:pPr>
        <w:pStyle w:val="Styl1"/>
        <w:ind w:left="0" w:firstLine="0"/>
        <w:rPr>
          <w:rStyle w:val="textcolumn"/>
        </w:rPr>
      </w:pPr>
      <w:r w:rsidRPr="005911F8">
        <w:rPr>
          <w:rStyle w:val="textcolumn"/>
        </w:rPr>
        <w:t>Městský soud doplnil, že důvodem pro odliš</w:t>
      </w:r>
      <w:r w:rsidR="00BF1979" w:rsidRPr="005911F8">
        <w:rPr>
          <w:rStyle w:val="textcolumn"/>
        </w:rPr>
        <w:t>ný závěr není ani to, že</w:t>
      </w:r>
      <w:r w:rsidRPr="005911F8">
        <w:rPr>
          <w:rStyle w:val="textcolumn"/>
        </w:rPr>
        <w:t xml:space="preserve"> žalobkyně poskytuje </w:t>
      </w:r>
      <w:r w:rsidR="00931DC2" w:rsidRPr="005911F8">
        <w:rPr>
          <w:rStyle w:val="textcolumn"/>
        </w:rPr>
        <w:t xml:space="preserve">služby </w:t>
      </w:r>
      <w:r w:rsidRPr="005911F8">
        <w:rPr>
          <w:rStyle w:val="textcolumn"/>
        </w:rPr>
        <w:t xml:space="preserve">široké veřejnosti. </w:t>
      </w:r>
      <w:r w:rsidR="00931DC2" w:rsidRPr="005911F8">
        <w:rPr>
          <w:rStyle w:val="textcolumn"/>
        </w:rPr>
        <w:t>O</w:t>
      </w:r>
      <w:r w:rsidRPr="005911F8">
        <w:rPr>
          <w:rStyle w:val="textcolumn"/>
        </w:rPr>
        <w:t xml:space="preserve">kruh zákazníků </w:t>
      </w:r>
      <w:r w:rsidR="00931DC2" w:rsidRPr="005911F8">
        <w:rPr>
          <w:rStyle w:val="textcolumn"/>
        </w:rPr>
        <w:t xml:space="preserve">není </w:t>
      </w:r>
      <w:r w:rsidRPr="005911F8">
        <w:rPr>
          <w:rStyle w:val="textcolumn"/>
        </w:rPr>
        <w:t>rozhodný, nebo</w:t>
      </w:r>
      <w:r w:rsidR="007940CC">
        <w:rPr>
          <w:rStyle w:val="textcolumn"/>
        </w:rPr>
        <w:t>ť na žalobkyni nedopadá zákon o </w:t>
      </w:r>
      <w:r w:rsidRPr="005911F8">
        <w:rPr>
          <w:rStyle w:val="textcolumn"/>
        </w:rPr>
        <w:t>poštovních službách. Z principu smluvní autonomie plyne, že za</w:t>
      </w:r>
      <w:r w:rsidR="00F1240D" w:rsidRPr="005911F8">
        <w:rPr>
          <w:rStyle w:val="textcolumn"/>
        </w:rPr>
        <w:t>si</w:t>
      </w:r>
      <w:r w:rsidRPr="005911F8">
        <w:rPr>
          <w:rStyle w:val="textcolumn"/>
        </w:rPr>
        <w:t xml:space="preserve">latelské smlouvy může </w:t>
      </w:r>
      <w:r w:rsidR="00931DC2" w:rsidRPr="005911F8">
        <w:rPr>
          <w:rStyle w:val="textcolumn"/>
        </w:rPr>
        <w:t xml:space="preserve">žalobkyně </w:t>
      </w:r>
      <w:r w:rsidRPr="005911F8">
        <w:rPr>
          <w:rStyle w:val="textcolumn"/>
        </w:rPr>
        <w:t>uzavírat s kýmkoli.</w:t>
      </w:r>
    </w:p>
    <w:p w14:paraId="01161987" w14:textId="77777777" w:rsidR="001B54A5" w:rsidRPr="00DA333E" w:rsidRDefault="001B54A5" w:rsidP="003503D6">
      <w:pPr>
        <w:pStyle w:val="Styl1"/>
        <w:numPr>
          <w:ilvl w:val="0"/>
          <w:numId w:val="0"/>
        </w:numPr>
        <w:ind w:left="360" w:hanging="360"/>
        <w:jc w:val="center"/>
        <w:rPr>
          <w:b/>
          <w:bCs/>
        </w:rPr>
      </w:pPr>
    </w:p>
    <w:p w14:paraId="47DE0AA3" w14:textId="77777777" w:rsidR="003503D6" w:rsidRPr="00DA333E" w:rsidRDefault="003503D6" w:rsidP="003503D6">
      <w:pPr>
        <w:pStyle w:val="Styl1"/>
        <w:numPr>
          <w:ilvl w:val="0"/>
          <w:numId w:val="0"/>
        </w:numPr>
        <w:ind w:left="360" w:hanging="360"/>
        <w:jc w:val="center"/>
        <w:rPr>
          <w:rStyle w:val="textcolumn"/>
          <w:b/>
          <w:bCs/>
          <w:i/>
          <w:iCs/>
        </w:rPr>
      </w:pPr>
      <w:r w:rsidRPr="00DA333E">
        <w:rPr>
          <w:b/>
          <w:bCs/>
        </w:rPr>
        <w:t xml:space="preserve">I. 3. </w:t>
      </w:r>
      <w:r w:rsidRPr="00DA333E">
        <w:rPr>
          <w:b/>
          <w:bCs/>
          <w:i/>
          <w:iCs/>
        </w:rPr>
        <w:t>Stručné shrnutí argumentů kasační stížnosti</w:t>
      </w:r>
      <w:r w:rsidR="00F90153">
        <w:rPr>
          <w:b/>
          <w:bCs/>
          <w:i/>
          <w:iCs/>
        </w:rPr>
        <w:t xml:space="preserve"> a vyjádření </w:t>
      </w:r>
      <w:r w:rsidR="009B57CB">
        <w:rPr>
          <w:b/>
          <w:bCs/>
          <w:i/>
          <w:iCs/>
        </w:rPr>
        <w:t>žalobkyně</w:t>
      </w:r>
    </w:p>
    <w:p w14:paraId="2C4AEAB4" w14:textId="627B3C84" w:rsidR="004A64CF" w:rsidRPr="004A64CF" w:rsidRDefault="00F90153" w:rsidP="004A64CF">
      <w:pPr>
        <w:pStyle w:val="Styl1"/>
        <w:ind w:left="0" w:firstLine="0"/>
        <w:rPr>
          <w:rStyle w:val="textcolumn"/>
        </w:rPr>
      </w:pPr>
      <w:r>
        <w:rPr>
          <w:rStyle w:val="textcolumn"/>
        </w:rPr>
        <w:t>Stěžovatel podal</w:t>
      </w:r>
      <w:r w:rsidR="00422F84" w:rsidRPr="00DA333E">
        <w:rPr>
          <w:rStyle w:val="textcolumn"/>
        </w:rPr>
        <w:t xml:space="preserve"> proti </w:t>
      </w:r>
      <w:r>
        <w:rPr>
          <w:rStyle w:val="textcolumn"/>
        </w:rPr>
        <w:t>rozsudku</w:t>
      </w:r>
      <w:r w:rsidR="00422F84" w:rsidRPr="00DA333E">
        <w:rPr>
          <w:rStyle w:val="textcolumn"/>
        </w:rPr>
        <w:t xml:space="preserve"> městského soudu kasační stížnost</w:t>
      </w:r>
      <w:r w:rsidR="004A64CF">
        <w:rPr>
          <w:rStyle w:val="textcolumn"/>
        </w:rPr>
        <w:t xml:space="preserve"> [d</w:t>
      </w:r>
      <w:r w:rsidR="00422F84" w:rsidRPr="00DA333E">
        <w:rPr>
          <w:rStyle w:val="textcolumn"/>
        </w:rPr>
        <w:t xml:space="preserve">ůvody </w:t>
      </w:r>
      <w:r>
        <w:rPr>
          <w:rStyle w:val="textcolumn"/>
        </w:rPr>
        <w:t xml:space="preserve">kasační stížnosti </w:t>
      </w:r>
      <w:r w:rsidR="00334E45" w:rsidRPr="00DA333E">
        <w:rPr>
          <w:rStyle w:val="textcolumn"/>
        </w:rPr>
        <w:t>lze podřadit</w:t>
      </w:r>
      <w:r w:rsidR="00422F84" w:rsidRPr="00DA333E">
        <w:rPr>
          <w:rStyle w:val="textcolumn"/>
        </w:rPr>
        <w:t xml:space="preserve"> pod § 103 odst. 1 písm. </w:t>
      </w:r>
      <w:r>
        <w:rPr>
          <w:rStyle w:val="textcolumn"/>
        </w:rPr>
        <w:t>a</w:t>
      </w:r>
      <w:r w:rsidR="00422F84" w:rsidRPr="00DA333E">
        <w:rPr>
          <w:rStyle w:val="textcolumn"/>
        </w:rPr>
        <w:t>) s. ř. s.</w:t>
      </w:r>
      <w:r w:rsidR="004A64CF">
        <w:rPr>
          <w:rStyle w:val="textcolumn"/>
        </w:rPr>
        <w:t>]</w:t>
      </w:r>
      <w:r w:rsidR="00613C3E">
        <w:rPr>
          <w:rStyle w:val="textcolumn"/>
        </w:rPr>
        <w:t>.</w:t>
      </w:r>
      <w:r w:rsidR="00422F84" w:rsidRPr="00DA333E">
        <w:rPr>
          <w:rStyle w:val="textcolumn"/>
        </w:rPr>
        <w:t xml:space="preserve"> </w:t>
      </w:r>
      <w:r w:rsidR="00266628">
        <w:rPr>
          <w:rStyle w:val="textcolumn"/>
        </w:rPr>
        <w:t>U</w:t>
      </w:r>
      <w:r w:rsidR="00896E82">
        <w:rPr>
          <w:rStyle w:val="textcolumn"/>
        </w:rPr>
        <w:t>pozorňuje, že p</w:t>
      </w:r>
      <w:r w:rsidR="004A64CF" w:rsidRPr="004A64CF">
        <w:rPr>
          <w:rStyle w:val="textcolumn"/>
        </w:rPr>
        <w:t xml:space="preserve">rovozovatel poštovních služeb je podle § 4 odst. 2 zákona o poštovních službách povinen uzavřít poštovní smlouvu pouze s tím, kdo její uzavření požaduje v mezích poštovních podmínek. Okruh osob, </w:t>
      </w:r>
      <w:r w:rsidR="00060B5B" w:rsidRPr="004A64CF">
        <w:rPr>
          <w:rStyle w:val="textcolumn"/>
        </w:rPr>
        <w:t>s</w:t>
      </w:r>
      <w:r w:rsidR="00060B5B">
        <w:rPr>
          <w:rStyle w:val="textcolumn"/>
        </w:rPr>
        <w:t> </w:t>
      </w:r>
      <w:r w:rsidR="004A64CF" w:rsidRPr="004A64CF">
        <w:rPr>
          <w:rStyle w:val="textcolumn"/>
        </w:rPr>
        <w:t>nimiž je provozovatel povinen smlouvu uzavřít, proto poštovní podm</w:t>
      </w:r>
      <w:r w:rsidR="007940CC">
        <w:rPr>
          <w:rStyle w:val="textcolumn"/>
        </w:rPr>
        <w:t>ínky mohou omezit. Nejedná se o </w:t>
      </w:r>
      <w:r w:rsidR="004A64CF" w:rsidRPr="004A64CF">
        <w:rPr>
          <w:rStyle w:val="textcolumn"/>
        </w:rPr>
        <w:t>znak poštovní služby. Zákon o poštovních službách je zapotřebí v</w:t>
      </w:r>
      <w:r w:rsidR="007940CC">
        <w:rPr>
          <w:rStyle w:val="textcolumn"/>
        </w:rPr>
        <w:t>ykládat v souladu s čl. 2 odst. </w:t>
      </w:r>
      <w:r w:rsidR="004A64CF" w:rsidRPr="004A64CF">
        <w:rPr>
          <w:rStyle w:val="textcolumn"/>
        </w:rPr>
        <w:t xml:space="preserve">1 poštovní směrnice podle povahy poskytované služby, nikoli podle okruhu osob, kterým jsou služby nabízeny. Nelze připustit, aby se výklad pojmu poštovní služby podle poštovní směrnice v jednotlivých členských státech </w:t>
      </w:r>
      <w:r w:rsidR="00896E82">
        <w:rPr>
          <w:rStyle w:val="textcolumn"/>
        </w:rPr>
        <w:t xml:space="preserve">EU </w:t>
      </w:r>
      <w:r w:rsidR="004A64CF" w:rsidRPr="004A64CF">
        <w:rPr>
          <w:rStyle w:val="textcolumn"/>
        </w:rPr>
        <w:t>lišil.</w:t>
      </w:r>
    </w:p>
    <w:p w14:paraId="511AD860" w14:textId="6A4CC246" w:rsidR="004A64CF" w:rsidRPr="004A64CF" w:rsidRDefault="004A64CF" w:rsidP="004A64CF">
      <w:pPr>
        <w:pStyle w:val="Styl1"/>
        <w:ind w:left="0" w:firstLine="0"/>
        <w:rPr>
          <w:rStyle w:val="textcolumn"/>
        </w:rPr>
      </w:pPr>
      <w:r w:rsidRPr="004A64CF">
        <w:rPr>
          <w:rStyle w:val="textcolumn"/>
        </w:rPr>
        <w:t>Projev vůle provozovatele poskytnout službu každému není podstatnou nálež</w:t>
      </w:r>
      <w:r w:rsidR="007940CC">
        <w:rPr>
          <w:rStyle w:val="textcolumn"/>
        </w:rPr>
        <w:t>itostí poštovní smlouvy podle § 5 odst. </w:t>
      </w:r>
      <w:r w:rsidRPr="004A64CF">
        <w:rPr>
          <w:rStyle w:val="textcolumn"/>
        </w:rPr>
        <w:t>1 zákona o poštovních službách. Pošt</w:t>
      </w:r>
      <w:r w:rsidR="007940CC">
        <w:rPr>
          <w:rStyle w:val="textcolumn"/>
        </w:rPr>
        <w:t>ovní smlouvou je </w:t>
      </w:r>
      <w:r w:rsidRPr="004A64CF">
        <w:rPr>
          <w:rStyle w:val="textcolumn"/>
        </w:rPr>
        <w:t>smlouva, jejímž obsahem je poskytování poštovní služby, tedy služby zahrnující podání, třídění, přepravu a dodání poštovní zásilky prostřednictvím pošto</w:t>
      </w:r>
      <w:r w:rsidR="007940CC">
        <w:rPr>
          <w:rStyle w:val="textcolumn"/>
        </w:rPr>
        <w:t>vní sítě. Stěžovatel odkázal na </w:t>
      </w:r>
      <w:r w:rsidRPr="004A64CF">
        <w:rPr>
          <w:rStyle w:val="textcolumn"/>
        </w:rPr>
        <w:t>důvodovou zprávu k novele zákona o poštovních službách provedené zákonem č. 221/2012 Sb., podle níž bylo cílem §</w:t>
      </w:r>
      <w:r w:rsidR="00266628">
        <w:rPr>
          <w:rStyle w:val="textcolumn"/>
        </w:rPr>
        <w:t> </w:t>
      </w:r>
      <w:r w:rsidRPr="004A64CF">
        <w:rPr>
          <w:rStyle w:val="textcolumn"/>
        </w:rPr>
        <w:t xml:space="preserve">5 odst. 1 věty druhé zákona o poštovních službách znemožnit dřívější možnost volby právního režimu. </w:t>
      </w:r>
    </w:p>
    <w:p w14:paraId="0DEBC4AD" w14:textId="46D7524C" w:rsidR="004A64CF" w:rsidRPr="004A64CF" w:rsidRDefault="004A64CF" w:rsidP="004A64CF">
      <w:pPr>
        <w:pStyle w:val="Styl1"/>
        <w:ind w:left="0" w:firstLine="0"/>
        <w:rPr>
          <w:rStyle w:val="textcolumn"/>
        </w:rPr>
      </w:pPr>
      <w:r w:rsidRPr="004A64CF">
        <w:rPr>
          <w:rStyle w:val="textcolumn"/>
        </w:rPr>
        <w:lastRenderedPageBreak/>
        <w:t>Dle městského soudu není zas</w:t>
      </w:r>
      <w:r w:rsidR="00F1240D">
        <w:rPr>
          <w:rStyle w:val="textcolumn"/>
        </w:rPr>
        <w:t>i</w:t>
      </w:r>
      <w:r w:rsidRPr="004A64CF">
        <w:rPr>
          <w:rStyle w:val="textcolumn"/>
        </w:rPr>
        <w:t>latelství provozováním poštovní služby. Soud se však nezabýval tím, zda činnost žalobkyně odpovídá zas</w:t>
      </w:r>
      <w:r w:rsidR="00F1240D">
        <w:rPr>
          <w:rStyle w:val="textcolumn"/>
        </w:rPr>
        <w:t>i</w:t>
      </w:r>
      <w:r w:rsidRPr="004A64CF">
        <w:rPr>
          <w:rStyle w:val="textcolumn"/>
        </w:rPr>
        <w:t xml:space="preserve">latelství. Dle nařízení vlády č. 278/2008 Sb., </w:t>
      </w:r>
      <w:r w:rsidR="00060B5B" w:rsidRPr="004A64CF">
        <w:rPr>
          <w:rStyle w:val="textcolumn"/>
        </w:rPr>
        <w:t>o</w:t>
      </w:r>
      <w:r w:rsidR="00060B5B">
        <w:rPr>
          <w:rStyle w:val="textcolumn"/>
        </w:rPr>
        <w:t> </w:t>
      </w:r>
      <w:r w:rsidRPr="004A64CF">
        <w:rPr>
          <w:rStyle w:val="textcolumn"/>
        </w:rPr>
        <w:t>obsahových náplních jednotlivých živností</w:t>
      </w:r>
      <w:r w:rsidR="00896E82">
        <w:rPr>
          <w:rStyle w:val="textcolumn"/>
        </w:rPr>
        <w:t>,</w:t>
      </w:r>
      <w:r w:rsidRPr="004A64CF">
        <w:rPr>
          <w:rStyle w:val="textcolumn"/>
        </w:rPr>
        <w:t xml:space="preserve"> není zas</w:t>
      </w:r>
      <w:r w:rsidR="00F1240D">
        <w:rPr>
          <w:rStyle w:val="textcolumn"/>
        </w:rPr>
        <w:t>i</w:t>
      </w:r>
      <w:r w:rsidRPr="004A64CF">
        <w:rPr>
          <w:rStyle w:val="textcolumn"/>
        </w:rPr>
        <w:t xml:space="preserve">latelstvím vlastní přeprava nákladů. </w:t>
      </w:r>
      <w:r w:rsidR="00060B5B" w:rsidRPr="004A64CF">
        <w:rPr>
          <w:rStyle w:val="textcolumn"/>
        </w:rPr>
        <w:t>Z</w:t>
      </w:r>
      <w:r w:rsidR="00060B5B">
        <w:rPr>
          <w:rStyle w:val="textcolumn"/>
        </w:rPr>
        <w:t> </w:t>
      </w:r>
      <w:r w:rsidRPr="004A64CF">
        <w:rPr>
          <w:rStyle w:val="textcolumn"/>
        </w:rPr>
        <w:t xml:space="preserve">podkladů, které jsou součástí správního spisu, však plyne, že žalobkyně zabezpečuje rovněž samotnou přepravu zásilek. </w:t>
      </w:r>
    </w:p>
    <w:p w14:paraId="28E4E69C" w14:textId="570A5ACD" w:rsidR="004A64CF" w:rsidRPr="004A64CF" w:rsidRDefault="004A64CF" w:rsidP="004A64CF">
      <w:pPr>
        <w:pStyle w:val="Styl1"/>
        <w:ind w:left="0" w:firstLine="0"/>
        <w:rPr>
          <w:rStyle w:val="textcolumn"/>
        </w:rPr>
      </w:pPr>
      <w:r w:rsidRPr="004A64CF">
        <w:rPr>
          <w:rStyle w:val="textcolumn"/>
        </w:rPr>
        <w:t xml:space="preserve">Ve vyjádření ke kasační stížnosti žalobkyně </w:t>
      </w:r>
      <w:r w:rsidR="009B57CB">
        <w:rPr>
          <w:rStyle w:val="textcolumn"/>
        </w:rPr>
        <w:t>uvádí, že</w:t>
      </w:r>
      <w:r w:rsidRPr="004A64CF">
        <w:rPr>
          <w:rStyle w:val="textcolumn"/>
        </w:rPr>
        <w:t xml:space="preserve"> opakovaně deklarovala, že není poskytovatelem poštovních služeb a nepodniká v režimu zákona o poštovních službách, nýbrž v</w:t>
      </w:r>
      <w:r w:rsidR="00060B5B">
        <w:rPr>
          <w:rStyle w:val="textcolumn"/>
        </w:rPr>
        <w:t> </w:t>
      </w:r>
      <w:r w:rsidRPr="004A64CF">
        <w:rPr>
          <w:rStyle w:val="textcolumn"/>
        </w:rPr>
        <w:t xml:space="preserve">souladu s živnostenským oprávněním v režimu obchodního zákoníku. </w:t>
      </w:r>
      <w:r w:rsidR="007940CC">
        <w:rPr>
          <w:rStyle w:val="textcolumn"/>
        </w:rPr>
        <w:t>Z judikatury plyne, že </w:t>
      </w:r>
      <w:r w:rsidR="00386191">
        <w:rPr>
          <w:rStyle w:val="textcolumn"/>
        </w:rPr>
        <w:t>p</w:t>
      </w:r>
      <w:r w:rsidRPr="004A64CF">
        <w:rPr>
          <w:rStyle w:val="textcolumn"/>
        </w:rPr>
        <w:t>ovahu poskytovaných služeb je vždy nutné odvozovat od vůle provozovatele.</w:t>
      </w:r>
      <w:r w:rsidR="000F405A">
        <w:rPr>
          <w:rStyle w:val="textcolumn"/>
        </w:rPr>
        <w:t xml:space="preserve"> Městský s</w:t>
      </w:r>
      <w:r w:rsidRPr="004A64CF">
        <w:rPr>
          <w:rStyle w:val="textcolumn"/>
        </w:rPr>
        <w:t xml:space="preserve">oud </w:t>
      </w:r>
      <w:r w:rsidR="000F405A">
        <w:rPr>
          <w:rStyle w:val="textcolumn"/>
        </w:rPr>
        <w:t xml:space="preserve">nemusel </w:t>
      </w:r>
      <w:r w:rsidRPr="004A64CF">
        <w:rPr>
          <w:rStyle w:val="textcolumn"/>
        </w:rPr>
        <w:t>posuzovat, zda jeho činnost odpovídá službám zas</w:t>
      </w:r>
      <w:r w:rsidR="00F1240D">
        <w:rPr>
          <w:rStyle w:val="textcolumn"/>
        </w:rPr>
        <w:t>i</w:t>
      </w:r>
      <w:r w:rsidRPr="004A64CF">
        <w:rPr>
          <w:rStyle w:val="textcolumn"/>
        </w:rPr>
        <w:t>latels</w:t>
      </w:r>
      <w:r w:rsidR="007940CC">
        <w:rPr>
          <w:rStyle w:val="textcolumn"/>
        </w:rPr>
        <w:t>tví. Tuto činnost má zapsanou v </w:t>
      </w:r>
      <w:r w:rsidRPr="004A64CF">
        <w:rPr>
          <w:rStyle w:val="textcolumn"/>
        </w:rPr>
        <w:t>obchodním rejstříku. Přeprava zásilek je prováděna výlučně prostřednictvím subdodavatelů. Přepravu pouze obstará a neprovádí ji vlastními zaměstnanci.</w:t>
      </w:r>
    </w:p>
    <w:p w14:paraId="706FA644" w14:textId="3D84ECA9" w:rsidR="004A64CF" w:rsidRPr="004A64CF" w:rsidRDefault="004A64CF" w:rsidP="004A64CF">
      <w:pPr>
        <w:pStyle w:val="Styl1"/>
        <w:ind w:left="0" w:firstLine="0"/>
        <w:rPr>
          <w:rStyle w:val="textcolumn"/>
        </w:rPr>
      </w:pPr>
      <w:r w:rsidRPr="004A64CF">
        <w:rPr>
          <w:rStyle w:val="textcolumn"/>
        </w:rPr>
        <w:t>V doplnění kasační stížnosti stěžovatel odkázal na rozs</w:t>
      </w:r>
      <w:r w:rsidR="007940CC">
        <w:rPr>
          <w:rStyle w:val="textcolumn"/>
        </w:rPr>
        <w:t>udek SDEU ze dne 31. 5. 2018 ve </w:t>
      </w:r>
      <w:r w:rsidRPr="004A64CF">
        <w:rPr>
          <w:rStyle w:val="textcolumn"/>
        </w:rPr>
        <w:t xml:space="preserve">spojených věcech </w:t>
      </w:r>
      <w:r w:rsidRPr="00066785">
        <w:rPr>
          <w:rStyle w:val="textcolumn"/>
          <w:i/>
        </w:rPr>
        <w:t>Confetra a další</w:t>
      </w:r>
      <w:r w:rsidRPr="004A64CF">
        <w:rPr>
          <w:rStyle w:val="textcolumn"/>
        </w:rPr>
        <w:t>, C-259/16 a C-260/16,</w:t>
      </w:r>
      <w:r w:rsidR="00060B5B">
        <w:rPr>
          <w:rStyle w:val="textcolumn"/>
        </w:rPr>
        <w:t xml:space="preserve"> </w:t>
      </w:r>
      <w:r w:rsidR="00060B5B">
        <w:rPr>
          <w:rStyle w:val="outputecli"/>
        </w:rPr>
        <w:t>EU:C:2018:370,</w:t>
      </w:r>
      <w:r w:rsidRPr="004A64CF">
        <w:rPr>
          <w:rStyle w:val="textcolumn"/>
        </w:rPr>
        <w:t xml:space="preserve"> podle něhož je poštovní službou výběr, třídění, přeprava a dodání poštovní zásilky (čl. 2 odst. 1 poštovní směrnice) </w:t>
      </w:r>
      <w:r w:rsidR="00060B5B" w:rsidRPr="004A64CF">
        <w:rPr>
          <w:rStyle w:val="textcolumn"/>
        </w:rPr>
        <w:t>a</w:t>
      </w:r>
      <w:r w:rsidR="00060B5B">
        <w:rPr>
          <w:rStyle w:val="textcolumn"/>
        </w:rPr>
        <w:t> </w:t>
      </w:r>
      <w:r w:rsidRPr="004A64CF">
        <w:rPr>
          <w:rStyle w:val="textcolumn"/>
        </w:rPr>
        <w:t xml:space="preserve">poskytovatelem poštovních služeb je ten, kdo poskytuje alespoň jednu z uvedených služeb, ledaže se jedná výlučně o přepravu. </w:t>
      </w:r>
      <w:r w:rsidR="00066785">
        <w:rPr>
          <w:rStyle w:val="textcolumn"/>
        </w:rPr>
        <w:t>Soudní dvůr</w:t>
      </w:r>
      <w:r w:rsidRPr="004A64CF">
        <w:rPr>
          <w:rStyle w:val="textcolumn"/>
        </w:rPr>
        <w:t xml:space="preserve"> tedy poštovní služby odlišil od jiných služeb na základě jejich obsahu. Ke shodnému závěru dospěla též Evropská komise; stěžovatel přiložil její přípis ze dne 29.</w:t>
      </w:r>
      <w:r w:rsidR="00636CBF">
        <w:rPr>
          <w:rStyle w:val="textcolumn"/>
        </w:rPr>
        <w:t> </w:t>
      </w:r>
      <w:r w:rsidRPr="004A64CF">
        <w:rPr>
          <w:rStyle w:val="textcolumn"/>
        </w:rPr>
        <w:t>5.</w:t>
      </w:r>
      <w:r w:rsidR="00636CBF">
        <w:rPr>
          <w:rStyle w:val="textcolumn"/>
        </w:rPr>
        <w:t> </w:t>
      </w:r>
      <w:r w:rsidRPr="004A64CF">
        <w:rPr>
          <w:rStyle w:val="textcolumn"/>
        </w:rPr>
        <w:t>2018 zaslaný k žádosti Minister</w:t>
      </w:r>
      <w:r w:rsidR="007940CC">
        <w:rPr>
          <w:rStyle w:val="textcolumn"/>
        </w:rPr>
        <w:t>stva průmyslu a obchodu, jež se </w:t>
      </w:r>
      <w:r w:rsidRPr="004A64CF">
        <w:rPr>
          <w:rStyle w:val="textcolumn"/>
        </w:rPr>
        <w:t>primárně týkala výkladu některých otázek v souvislosti s přijetím nařízení Evropského parlamentu a Rady (EU) 2018/644 ze dne 18. 4. 2018 o službách přeshraničního dodávání balíků.</w:t>
      </w:r>
      <w:r w:rsidR="00066785" w:rsidRPr="00066785">
        <w:rPr>
          <w:rStyle w:val="Znakapoznpodarou"/>
        </w:rPr>
        <w:footnoteReference w:customMarkFollows="1" w:id="3"/>
        <w:sym w:font="Symbol" w:char="F02A"/>
      </w:r>
      <w:r w:rsidR="00066785" w:rsidRPr="00066785">
        <w:rPr>
          <w:rStyle w:val="Znakapoznpodarou"/>
        </w:rPr>
        <w:sym w:font="Symbol" w:char="F02A"/>
      </w:r>
      <w:r w:rsidRPr="004A64CF">
        <w:rPr>
          <w:rStyle w:val="textcolumn"/>
        </w:rPr>
        <w:t xml:space="preserve"> Napadený rozsudek městského soudu i </w:t>
      </w:r>
      <w:r w:rsidR="00066785">
        <w:rPr>
          <w:rStyle w:val="textcolumn"/>
        </w:rPr>
        <w:t>judikatura NSS jsou</w:t>
      </w:r>
      <w:r w:rsidRPr="004A64CF">
        <w:rPr>
          <w:rStyle w:val="textcolumn"/>
        </w:rPr>
        <w:t xml:space="preserve"> proto nesprávn</w:t>
      </w:r>
      <w:r w:rsidR="00066785">
        <w:rPr>
          <w:rStyle w:val="textcolumn"/>
        </w:rPr>
        <w:t>é</w:t>
      </w:r>
      <w:r w:rsidRPr="004A64CF">
        <w:rPr>
          <w:rStyle w:val="textcolumn"/>
        </w:rPr>
        <w:t xml:space="preserve">. Poštovní služby </w:t>
      </w:r>
      <w:r w:rsidR="009371DC" w:rsidRPr="004A64CF">
        <w:rPr>
          <w:rStyle w:val="textcolumn"/>
        </w:rPr>
        <w:t xml:space="preserve">je </w:t>
      </w:r>
      <w:r w:rsidRPr="004A64CF">
        <w:rPr>
          <w:rStyle w:val="textcolumn"/>
        </w:rPr>
        <w:t>totiž zapotřebí vymezit na základě věcného kritéria. Má</w:t>
      </w:r>
      <w:r w:rsidR="007940CC">
        <w:rPr>
          <w:rStyle w:val="textcolumn"/>
        </w:rPr>
        <w:t>-li soud i přesto pochybnosti o </w:t>
      </w:r>
      <w:r w:rsidRPr="004A64CF">
        <w:rPr>
          <w:rStyle w:val="textcolumn"/>
        </w:rPr>
        <w:t xml:space="preserve">výkladu pojmu poštovní služby, měl by se obrátit na </w:t>
      </w:r>
      <w:r w:rsidR="00066785">
        <w:rPr>
          <w:rStyle w:val="textcolumn"/>
        </w:rPr>
        <w:t>Soudní dvůr</w:t>
      </w:r>
      <w:r w:rsidRPr="004A64CF">
        <w:rPr>
          <w:rStyle w:val="textcolumn"/>
        </w:rPr>
        <w:t>.</w:t>
      </w:r>
    </w:p>
    <w:p w14:paraId="064A765E" w14:textId="38B69306" w:rsidR="004A64CF" w:rsidRPr="004A64CF" w:rsidRDefault="004A64CF" w:rsidP="004A64CF">
      <w:pPr>
        <w:pStyle w:val="Styl1"/>
        <w:ind w:left="0" w:firstLine="0"/>
        <w:rPr>
          <w:rStyle w:val="textcolumn"/>
        </w:rPr>
      </w:pPr>
      <w:r w:rsidRPr="004A64CF">
        <w:rPr>
          <w:rStyle w:val="textcolumn"/>
        </w:rPr>
        <w:t xml:space="preserve">Ve vyjádření k doplnění kasační stížnosti žalobkyně uvedla, že z rozsudku SDEU </w:t>
      </w:r>
      <w:r w:rsidRPr="00066785">
        <w:rPr>
          <w:rStyle w:val="textcolumn"/>
          <w:i/>
        </w:rPr>
        <w:t>Confetra</w:t>
      </w:r>
      <w:r w:rsidRPr="004A64CF">
        <w:rPr>
          <w:rStyle w:val="textcolumn"/>
        </w:rPr>
        <w:t xml:space="preserve"> plyne, že poštovní směrnice nebrání tomu, aby italská právní úprava dopadala též na poskytování služeb silniční dopravy, spedičních služeb a expresních doručovacích služeb. Poštovní směrnice členským státům neukládá, aby zajistily soulad ve vymezení pojmu poštovních služeb. Směrnice poštovní služby nedefinuje. Jejich vymezení je věcí vnitrostátního práva. Podle zákona </w:t>
      </w:r>
      <w:r w:rsidR="00E57364" w:rsidRPr="004A64CF">
        <w:rPr>
          <w:rStyle w:val="textcolumn"/>
        </w:rPr>
        <w:t>o</w:t>
      </w:r>
      <w:r w:rsidR="00E57364">
        <w:rPr>
          <w:rStyle w:val="textcolumn"/>
        </w:rPr>
        <w:t> </w:t>
      </w:r>
      <w:r w:rsidRPr="004A64CF">
        <w:rPr>
          <w:rStyle w:val="textcolumn"/>
        </w:rPr>
        <w:t xml:space="preserve">poštovních službách je poštovní službou činnost prováděná podle poštovní smlouvy. Toto vymezení se nezměnilo ani po přijetí novely zákona o poštovních službách </w:t>
      </w:r>
      <w:r w:rsidR="00066785">
        <w:rPr>
          <w:rStyle w:val="textcolumn"/>
        </w:rPr>
        <w:t>č.</w:t>
      </w:r>
      <w:r w:rsidR="00DB773C">
        <w:rPr>
          <w:rStyle w:val="textcolumn"/>
        </w:rPr>
        <w:t> </w:t>
      </w:r>
      <w:r w:rsidR="00066785">
        <w:rPr>
          <w:rStyle w:val="textcolumn"/>
        </w:rPr>
        <w:t>221/2012 Sb.</w:t>
      </w:r>
      <w:r w:rsidRPr="004A64CF">
        <w:rPr>
          <w:rStyle w:val="textcolumn"/>
        </w:rPr>
        <w:t xml:space="preserve"> </w:t>
      </w:r>
      <w:r w:rsidR="00066785">
        <w:rPr>
          <w:rStyle w:val="textcolumn"/>
        </w:rPr>
        <w:t>V</w:t>
      </w:r>
      <w:r w:rsidRPr="004A64CF">
        <w:rPr>
          <w:rStyle w:val="textcolumn"/>
        </w:rPr>
        <w:t>ěcné krit</w:t>
      </w:r>
      <w:r w:rsidR="00066785">
        <w:rPr>
          <w:rStyle w:val="textcolumn"/>
        </w:rPr>
        <w:t>é</w:t>
      </w:r>
      <w:r w:rsidRPr="004A64CF">
        <w:rPr>
          <w:rStyle w:val="textcolumn"/>
        </w:rPr>
        <w:t xml:space="preserve">rium pro vymezení poštovních služeb zákon o poštovních službách nadále neobsahuje a rozšíření působnosti zákona na jiné smluvní typy vyústilo pouze </w:t>
      </w:r>
      <w:r w:rsidR="00E57364" w:rsidRPr="004A64CF">
        <w:rPr>
          <w:rStyle w:val="textcolumn"/>
        </w:rPr>
        <w:t>v</w:t>
      </w:r>
      <w:r w:rsidR="00E57364">
        <w:rPr>
          <w:rStyle w:val="textcolumn"/>
        </w:rPr>
        <w:t> </w:t>
      </w:r>
      <w:r w:rsidRPr="004A64CF">
        <w:rPr>
          <w:rStyle w:val="textcolumn"/>
        </w:rPr>
        <w:t xml:space="preserve">neaplikovatelnou definici kruhem. Definice poštovních služeb není v rozporu </w:t>
      </w:r>
      <w:r w:rsidR="007940CC">
        <w:rPr>
          <w:rStyle w:val="textcolumn"/>
        </w:rPr>
        <w:t>s poštovní směrnicí. Odkázala v </w:t>
      </w:r>
      <w:r w:rsidRPr="004A64CF">
        <w:rPr>
          <w:rStyle w:val="textcolumn"/>
        </w:rPr>
        <w:t xml:space="preserve">tomto ohledu na souhrnnou zprávu Evropské komise zpracovanou </w:t>
      </w:r>
      <w:r w:rsidR="00E57364" w:rsidRPr="004A64CF">
        <w:rPr>
          <w:rStyle w:val="textcolumn"/>
        </w:rPr>
        <w:t>v</w:t>
      </w:r>
      <w:r w:rsidR="00E57364">
        <w:rPr>
          <w:rStyle w:val="textcolumn"/>
        </w:rPr>
        <w:t> </w:t>
      </w:r>
      <w:r w:rsidR="007940CC">
        <w:rPr>
          <w:rStyle w:val="textcolumn"/>
        </w:rPr>
        <w:t>souvislosti s </w:t>
      </w:r>
      <w:r w:rsidRPr="004A64CF">
        <w:rPr>
          <w:rStyle w:val="textcolumn"/>
        </w:rPr>
        <w:t>přistoupením Č</w:t>
      </w:r>
      <w:r w:rsidR="00636CBF">
        <w:rPr>
          <w:rStyle w:val="textcolumn"/>
        </w:rPr>
        <w:t>R</w:t>
      </w:r>
      <w:r w:rsidRPr="004A64CF">
        <w:rPr>
          <w:rStyle w:val="textcolumn"/>
        </w:rPr>
        <w:t xml:space="preserve"> do EU. Pro eurokonformní výklad pojmu</w:t>
      </w:r>
      <w:r w:rsidR="007940CC">
        <w:rPr>
          <w:rStyle w:val="textcolumn"/>
        </w:rPr>
        <w:t xml:space="preserve"> poštovní služba podle zákona o </w:t>
      </w:r>
      <w:r w:rsidRPr="004A64CF">
        <w:rPr>
          <w:rStyle w:val="textcolumn"/>
        </w:rPr>
        <w:t xml:space="preserve">poštovních službách není prostor, jelikož zákon o poštovních službách je v tomto ohledu určitý, jasný, srozumitelný a v souladu s poštovní směrnicí. </w:t>
      </w:r>
      <w:r w:rsidR="00636CBF">
        <w:rPr>
          <w:rStyle w:val="textcolumn"/>
        </w:rPr>
        <w:t>A</w:t>
      </w:r>
      <w:r w:rsidRPr="004A64CF">
        <w:rPr>
          <w:rStyle w:val="textcolumn"/>
        </w:rPr>
        <w:t>ni přímý účinek poštovní směrnice nepřipadá v úvahu.</w:t>
      </w:r>
    </w:p>
    <w:p w14:paraId="71ABAAC5" w14:textId="0509265D" w:rsidR="00730344" w:rsidRPr="00DA333E" w:rsidRDefault="004A64CF" w:rsidP="0001761E">
      <w:pPr>
        <w:pStyle w:val="Styl1"/>
        <w:ind w:left="0" w:firstLine="0"/>
      </w:pPr>
      <w:r w:rsidRPr="004A64CF">
        <w:rPr>
          <w:rStyle w:val="textcolumn"/>
        </w:rPr>
        <w:t>Stěžovatel</w:t>
      </w:r>
      <w:r w:rsidR="00066785">
        <w:rPr>
          <w:rStyle w:val="textcolumn"/>
        </w:rPr>
        <w:t xml:space="preserve"> v dalším doplnění kasační</w:t>
      </w:r>
      <w:r w:rsidRPr="004A64CF">
        <w:rPr>
          <w:rStyle w:val="textcolumn"/>
        </w:rPr>
        <w:t xml:space="preserve"> </w:t>
      </w:r>
      <w:r w:rsidR="00066785">
        <w:rPr>
          <w:rStyle w:val="textcolumn"/>
        </w:rPr>
        <w:t xml:space="preserve">stížnosti </w:t>
      </w:r>
      <w:r w:rsidRPr="004A64CF">
        <w:rPr>
          <w:rStyle w:val="textcolumn"/>
        </w:rPr>
        <w:t xml:space="preserve">odkázal </w:t>
      </w:r>
      <w:r w:rsidR="0001761E">
        <w:rPr>
          <w:rStyle w:val="textcolumn"/>
        </w:rPr>
        <w:t xml:space="preserve">též na judikaturu </w:t>
      </w:r>
      <w:r w:rsidRPr="004A64CF">
        <w:rPr>
          <w:rStyle w:val="textcolumn"/>
        </w:rPr>
        <w:t>zvláštního senátu</w:t>
      </w:r>
      <w:r w:rsidR="0001761E">
        <w:rPr>
          <w:rStyle w:val="textcolumn"/>
        </w:rPr>
        <w:t xml:space="preserve"> (u</w:t>
      </w:r>
      <w:r w:rsidR="0001761E" w:rsidRPr="0001761E">
        <w:rPr>
          <w:rStyle w:val="textcolumn"/>
        </w:rPr>
        <w:t xml:space="preserve">snesení zvláštního senátu </w:t>
      </w:r>
      <w:r w:rsidR="0001761E">
        <w:rPr>
          <w:rStyle w:val="textcolumn"/>
        </w:rPr>
        <w:t>sp</w:t>
      </w:r>
      <w:r w:rsidR="0001761E" w:rsidRPr="0001761E">
        <w:rPr>
          <w:rStyle w:val="textcolumn"/>
        </w:rPr>
        <w:t xml:space="preserve">. </w:t>
      </w:r>
      <w:r w:rsidR="0001761E">
        <w:rPr>
          <w:rStyle w:val="textcolumn"/>
        </w:rPr>
        <w:t xml:space="preserve">zn. </w:t>
      </w:r>
      <w:r w:rsidR="0001761E" w:rsidRPr="0001761E">
        <w:rPr>
          <w:rStyle w:val="textcolumn"/>
        </w:rPr>
        <w:t>Konf 14/2019</w:t>
      </w:r>
      <w:r w:rsidR="0001761E">
        <w:rPr>
          <w:rStyle w:val="textcolumn"/>
        </w:rPr>
        <w:t>)</w:t>
      </w:r>
      <w:r w:rsidRPr="004A64CF">
        <w:rPr>
          <w:rStyle w:val="textcolumn"/>
        </w:rPr>
        <w:t xml:space="preserve">. Zvláštní senát </w:t>
      </w:r>
      <w:r w:rsidR="0001761E">
        <w:rPr>
          <w:rStyle w:val="textcolumn"/>
        </w:rPr>
        <w:t>totiž</w:t>
      </w:r>
      <w:r w:rsidR="009371DC">
        <w:rPr>
          <w:rStyle w:val="textcolumn"/>
        </w:rPr>
        <w:t xml:space="preserve"> považoval</w:t>
      </w:r>
      <w:r w:rsidRPr="004A64CF">
        <w:rPr>
          <w:rStyle w:val="textcolumn"/>
        </w:rPr>
        <w:t xml:space="preserve"> definici poštovní služby v zákoně </w:t>
      </w:r>
      <w:r w:rsidR="009371DC">
        <w:rPr>
          <w:rStyle w:val="textcolumn"/>
        </w:rPr>
        <w:t xml:space="preserve">za </w:t>
      </w:r>
      <w:r w:rsidRPr="004A64CF">
        <w:rPr>
          <w:rStyle w:val="textcolumn"/>
        </w:rPr>
        <w:t>určitou a dostatečnou.</w:t>
      </w:r>
    </w:p>
    <w:p w14:paraId="61C3315D" w14:textId="77777777" w:rsidR="00FC407F" w:rsidRPr="00DA333E" w:rsidRDefault="00FC407F" w:rsidP="00FC407F">
      <w:pPr>
        <w:pStyle w:val="Styl1"/>
        <w:numPr>
          <w:ilvl w:val="0"/>
          <w:numId w:val="0"/>
        </w:numPr>
      </w:pPr>
    </w:p>
    <w:p w14:paraId="1849A8E9" w14:textId="77777777" w:rsidR="00422F84" w:rsidRPr="00DA333E" w:rsidRDefault="00E417DA" w:rsidP="00422F84">
      <w:pPr>
        <w:keepNext/>
        <w:spacing w:after="240"/>
        <w:jc w:val="center"/>
        <w:outlineLvl w:val="0"/>
        <w:rPr>
          <w:rFonts w:ascii="Garamond" w:eastAsia="Calibri" w:hAnsi="Garamond"/>
          <w:b/>
          <w:lang w:eastAsia="en-US"/>
        </w:rPr>
      </w:pPr>
      <w:r w:rsidRPr="00DA333E">
        <w:rPr>
          <w:rFonts w:ascii="Garamond" w:eastAsia="Calibri" w:hAnsi="Garamond"/>
          <w:b/>
          <w:lang w:eastAsia="en-US"/>
        </w:rPr>
        <w:t>II. Důvody pro postoupení věci rozšířenému senát</w:t>
      </w:r>
      <w:r w:rsidR="00422F84" w:rsidRPr="00DA333E">
        <w:rPr>
          <w:rFonts w:ascii="Garamond" w:eastAsia="Calibri" w:hAnsi="Garamond"/>
          <w:b/>
          <w:lang w:eastAsia="en-US"/>
        </w:rPr>
        <w:t>u</w:t>
      </w:r>
    </w:p>
    <w:p w14:paraId="5CE1AA3D" w14:textId="71F2BA81" w:rsidR="00066785" w:rsidRDefault="00066785" w:rsidP="00066785">
      <w:pPr>
        <w:pStyle w:val="Styl1"/>
        <w:ind w:left="0" w:firstLine="0"/>
      </w:pPr>
      <w:r>
        <w:t xml:space="preserve">Při předběžném posouzení věci dospěl osmý senát k závěru, že v judikatuře NSS jsou rozpory v otázce definice poštovní služby. Zároveň </w:t>
      </w:r>
      <w:r w:rsidR="00D31350">
        <w:t xml:space="preserve">osmý senát </w:t>
      </w:r>
      <w:r>
        <w:t>zastává i jiný názor</w:t>
      </w:r>
      <w:r w:rsidR="00587F54">
        <w:t>,</w:t>
      </w:r>
      <w:r>
        <w:t xml:space="preserve"> než</w:t>
      </w:r>
      <w:r w:rsidR="007940CC">
        <w:t> </w:t>
      </w:r>
      <w:r w:rsidR="00D31350">
        <w:t>dosavadní judikatura</w:t>
      </w:r>
      <w:r>
        <w:t xml:space="preserve">. Osmý senát identifikoval celkem </w:t>
      </w:r>
      <w:r w:rsidR="007940CC">
        <w:t>tři rozsudky NSS, které jsou ve </w:t>
      </w:r>
      <w:r>
        <w:t xml:space="preserve">vzájemném rozporu. Dále zjistil, že </w:t>
      </w:r>
      <w:r w:rsidR="00DB773C">
        <w:t xml:space="preserve">se některým nyní sporným otázkám věnuje </w:t>
      </w:r>
      <w:r>
        <w:t xml:space="preserve">i usnesení zvláštního senátu, ale </w:t>
      </w:r>
      <w:r w:rsidR="00DB773C">
        <w:t xml:space="preserve">ani </w:t>
      </w:r>
      <w:r>
        <w:t>tyto závěry ne</w:t>
      </w:r>
      <w:r w:rsidR="00DB773C">
        <w:t xml:space="preserve">ovlivnily </w:t>
      </w:r>
      <w:r>
        <w:t>pozdější rozhodovací prax</w:t>
      </w:r>
      <w:r w:rsidR="00577FCC">
        <w:t>i</w:t>
      </w:r>
      <w:r>
        <w:t xml:space="preserve"> NSS.</w:t>
      </w:r>
    </w:p>
    <w:p w14:paraId="584CDDD2" w14:textId="6AB74282" w:rsidR="00066785" w:rsidRDefault="00066785" w:rsidP="00066785">
      <w:pPr>
        <w:pStyle w:val="Styl1"/>
        <w:ind w:left="0" w:firstLine="0"/>
      </w:pPr>
      <w:r>
        <w:t xml:space="preserve">Druhý senát v bodech 41 a 45 rozsudku </w:t>
      </w:r>
      <w:r w:rsidR="00AE7919" w:rsidRPr="006F4274">
        <w:t xml:space="preserve">ze dne 21. 9. 2017, čj. 2 As 121/2016-71, ve věci </w:t>
      </w:r>
      <w:r w:rsidR="00AE7919" w:rsidRPr="00AE7919">
        <w:rPr>
          <w:i/>
        </w:rPr>
        <w:t>Geis Parcel CZ</w:t>
      </w:r>
      <w:r w:rsidR="00AE7919">
        <w:t>,</w:t>
      </w:r>
      <w:r w:rsidR="00AE7919" w:rsidRPr="006F4274">
        <w:t xml:space="preserve"> </w:t>
      </w:r>
      <w:r>
        <w:t xml:space="preserve">dospěl k následujícím závěrům: </w:t>
      </w:r>
      <w:r w:rsidR="00AE7919">
        <w:t>„</w:t>
      </w:r>
      <w:r w:rsidRPr="00AE7919">
        <w:rPr>
          <w:i/>
        </w:rPr>
        <w:t>zákonem o poštovních službách jsou regulovány pouze takové služby, které A) zpravidla zahrnují poštovní podání, třídění a přepravu poštovní zásilky prostřednictvím poštovní sítě a jsou prováděny za účelem dodání poštovní zásilky příjemci (§ 1 odst. 2 věta druhá předmětného zákona) a které současně B) musí být poskytnuty na základě poštovní smlouvy každému ve veřejně přístupné provozovně za předem stanovených podmínek (§ 1 odst. 2 věta první ve spojen</w:t>
      </w:r>
      <w:r w:rsidR="007940CC">
        <w:rPr>
          <w:i/>
        </w:rPr>
        <w:t>í s § 4 a § 5 téhož zákona). Od </w:t>
      </w:r>
      <w:r w:rsidRPr="00AE7919">
        <w:rPr>
          <w:i/>
        </w:rPr>
        <w:t>druhého ze jmenovaných rysů poštovních služeb tak, jak je chápe český zákon, nelze odhlédnout právě proto, že jazykové vyjádření i sledovaný účel nenechávají prostor pro pochybnosti o tom</w:t>
      </w:r>
      <w:r w:rsidR="007940CC">
        <w:rPr>
          <w:i/>
        </w:rPr>
        <w:t>, že se jedná o rys podstatný a </w:t>
      </w:r>
      <w:r w:rsidRPr="00AE7919">
        <w:rPr>
          <w:i/>
        </w:rPr>
        <w:t>zákonodárcem zamýšlený.</w:t>
      </w:r>
      <w:r>
        <w:t xml:space="preserve"> [...] </w:t>
      </w:r>
      <w:r w:rsidRPr="00AE7919">
        <w:rPr>
          <w:i/>
        </w:rPr>
        <w:t>Vzhledem k tomu, že jedním z obligatorních znaků poštovních služeb ve smyslu zákona o poštovních službách je povinnost uzavřít poštovní smlouvu s každým, a tedy i poskytnout poštovní službu každému (s výjimkou těch, kteří nerespektují poštovní podmínky, v nic</w:t>
      </w:r>
      <w:r w:rsidR="007940CC">
        <w:rPr>
          <w:i/>
        </w:rPr>
        <w:t>hž však povinnost kontraktace s </w:t>
      </w:r>
      <w:r w:rsidRPr="00AE7919">
        <w:rPr>
          <w:i/>
        </w:rPr>
        <w:t>každým vyloučit nelze), je třeba vykládat § 1 odst. 2 zákona o poštovních službách ve spojení s jeho § 4 a § 5 tak, že tento zákon dopadá pouze na poštovní služby poskytované tzv. určenými poskytovateli všeobecných poštovních služeb ve smyslu poštovní směrnice.</w:t>
      </w:r>
      <w:r w:rsidR="00AE7919">
        <w:t>“</w:t>
      </w:r>
      <w:r>
        <w:t xml:space="preserve"> Určeným poskytovatelem všeobecných poštovních služeb dle poštovní směrnice je dle zákona o poštovních službách držitel licence k poskytování základních služeb, kterým byla a v současné době stále je Česká pošta, s. p.</w:t>
      </w:r>
    </w:p>
    <w:p w14:paraId="17E69E34" w14:textId="073135EA" w:rsidR="00066785" w:rsidRDefault="00066785" w:rsidP="00066785">
      <w:pPr>
        <w:pStyle w:val="Styl1"/>
        <w:ind w:left="0" w:firstLine="0"/>
      </w:pPr>
      <w:r>
        <w:t xml:space="preserve">První senát v bodech 54, 56 a 57 rozsudku </w:t>
      </w:r>
      <w:r w:rsidR="00AE7919" w:rsidRPr="006F4274">
        <w:rPr>
          <w:spacing w:val="-4"/>
        </w:rPr>
        <w:t>ze dne 13. 12.</w:t>
      </w:r>
      <w:r w:rsidR="007940CC">
        <w:rPr>
          <w:spacing w:val="-4"/>
        </w:rPr>
        <w:t xml:space="preserve"> 2017, čj. 1 As 207/2017-61, ve </w:t>
      </w:r>
      <w:r w:rsidR="00AE7919" w:rsidRPr="006F4274">
        <w:rPr>
          <w:spacing w:val="-4"/>
        </w:rPr>
        <w:t xml:space="preserve">věci </w:t>
      </w:r>
      <w:r w:rsidR="00AE7919" w:rsidRPr="00AE7919">
        <w:rPr>
          <w:i/>
          <w:spacing w:val="-4"/>
        </w:rPr>
        <w:t>IN TIME SPEDICE</w:t>
      </w:r>
      <w:r w:rsidR="00AE7919" w:rsidRPr="006F4274">
        <w:rPr>
          <w:spacing w:val="-4"/>
        </w:rPr>
        <w:t>,</w:t>
      </w:r>
      <w:r w:rsidR="00AE7919">
        <w:t xml:space="preserve"> </w:t>
      </w:r>
      <w:r>
        <w:t xml:space="preserve">uvedl, že </w:t>
      </w:r>
      <w:r w:rsidR="00AE7919">
        <w:t>„</w:t>
      </w:r>
      <w:r w:rsidRPr="00AE7919">
        <w:rPr>
          <w:i/>
        </w:rPr>
        <w:t>výše citovaný § 4 zákona o poštovních službách míří k odlišnému cíli než je zajištění všeobecné dostupnosti základních (tj. všeobecných) služeb. Opačný výklad by z něj činil ustanovení obsahově duplicitní k výše citovaným § 3, § 21 a § 22 téhož zákona, především však § 4 nestanoví požadavek na kvalitu, dostupné ceny apod., ale ukládá provozovateli poštovních sl</w:t>
      </w:r>
      <w:r w:rsidR="007940CC">
        <w:rPr>
          <w:i/>
        </w:rPr>
        <w:t>užeb uzavřít poštovní smlouvu s </w:t>
      </w:r>
      <w:r w:rsidRPr="00AE7919">
        <w:rPr>
          <w:i/>
        </w:rPr>
        <w:t>každým, kdo požádá o její uzavření v mezích poštovních podmínek a způsobem v nich stanoveným. Tato povinnost se vztahuje na všechny provozovatele poštovních služeb, nejen na určené držitele poštovní licence, neboť zákon takové omezení nestanoví (srov. např. § 33 zákona o poštovních službách, který ukládá zvláštní povinnosti výslovně pouze držitelům poštovní licence).</w:t>
      </w:r>
      <w:r>
        <w:t xml:space="preserve"> [...] </w:t>
      </w:r>
      <w:r w:rsidRPr="00AE7919">
        <w:rPr>
          <w:i/>
        </w:rPr>
        <w:t>kontraktační povinnost</w:t>
      </w:r>
      <w:r w:rsidR="007940CC">
        <w:rPr>
          <w:i/>
        </w:rPr>
        <w:t xml:space="preserve"> ve smyslu § 4 odst. 2 zákona o </w:t>
      </w:r>
      <w:r w:rsidRPr="00AE7919">
        <w:rPr>
          <w:i/>
        </w:rPr>
        <w:t>poštovních službách nelze považovat za kritérium, které by bylo způsobilé odlišit poštovní služby od služeb jiných. Kromě výše zmíněné skutečnosti, že se jedná o čistě vnitrostátní p</w:t>
      </w:r>
      <w:r w:rsidR="007940CC">
        <w:rPr>
          <w:i/>
        </w:rPr>
        <w:t>ožadavek na poštovní služby, je </w:t>
      </w:r>
      <w:r w:rsidRPr="00AE7919">
        <w:rPr>
          <w:i/>
        </w:rPr>
        <w:t>kontraktační povinnost až sekundárním důsledkem poskytování poštovní služby, nikoliv primárním kritériem, které by umožňovalo odlišit poštovní služby od jiných věcně shodných služeb. Zákon ukládá kontraktační povinnost tomu, kdo je provozovatelem poštovních služeb, tzn. že provozovatel poštovních služeb je povinen dodržet požadavky stanovené v § 4 zákona o poštovních službách. Pokud je nedodrží (i třebas proto, že se mylně domnívá, že takovou povinností není vázán), porušuje své zákonem stanovené p</w:t>
      </w:r>
      <w:r w:rsidR="007940CC">
        <w:rPr>
          <w:i/>
        </w:rPr>
        <w:t>ovinnosti, ale neznamená to, že </w:t>
      </w:r>
      <w:r w:rsidRPr="00AE7919">
        <w:rPr>
          <w:i/>
        </w:rPr>
        <w:t>není provozovatelem poštovních služeb. Jinými slovy, § 4 zákona o poštovních službách stanoví povinnost, která je charakteristická pro poštovní služby, ale není vodítkem pro rozlišení, kdo je pro</w:t>
      </w:r>
      <w:r w:rsidR="007940CC">
        <w:rPr>
          <w:i/>
        </w:rPr>
        <w:t>vozovatelem poštovních služeb a </w:t>
      </w:r>
      <w:r w:rsidRPr="00AE7919">
        <w:rPr>
          <w:i/>
        </w:rPr>
        <w:t>kdo nikoliv.</w:t>
      </w:r>
      <w:r>
        <w:t xml:space="preserve"> </w:t>
      </w:r>
      <w:r w:rsidRPr="00AE7919">
        <w:t xml:space="preserve">[...] </w:t>
      </w:r>
      <w:r w:rsidRPr="00AE7919">
        <w:rPr>
          <w:i/>
        </w:rPr>
        <w:t>kritérium věcné charakteristiky činností (spočívajících v podán</w:t>
      </w:r>
      <w:r w:rsidR="007940CC">
        <w:rPr>
          <w:i/>
        </w:rPr>
        <w:t>í, třídění, přepravě a dodávání </w:t>
      </w:r>
      <w:r w:rsidRPr="00AE7919">
        <w:rPr>
          <w:i/>
        </w:rPr>
        <w:t xml:space="preserve">poštovních zásilek), o které stěžovatel opřel své rozhodnutí, k definici poštovní služby postačovat nemůže. Tím spíše nemohou postačovat ani stěžovatelem tvrzené dílčí věcné charakteristiky služeb poskytovaných žalobkyní </w:t>
      </w:r>
      <w:r w:rsidR="00AE7919" w:rsidRPr="00AE7919">
        <w:t>[...]</w:t>
      </w:r>
      <w:r w:rsidRPr="00AE7919">
        <w:rPr>
          <w:i/>
        </w:rPr>
        <w:t>, neboť klíčovou otázkou je určitost právní úpravy. Zákon o poštovních službách ani unijní úprava však jiné kritérium, které by umožňovalo poštovní služby jednoznačně definovat, neobsahuje</w:t>
      </w:r>
      <w:r>
        <w:t>.</w:t>
      </w:r>
      <w:r w:rsidR="00815148">
        <w:t>“</w:t>
      </w:r>
    </w:p>
    <w:p w14:paraId="054FED5D" w14:textId="43C69BCC" w:rsidR="00066785" w:rsidRDefault="00066785" w:rsidP="00066785">
      <w:pPr>
        <w:pStyle w:val="Styl1"/>
        <w:ind w:left="0" w:firstLine="0"/>
      </w:pPr>
      <w:r>
        <w:t xml:space="preserve">Z výše uvedených citací plyne, že druhý senát považoval </w:t>
      </w:r>
      <w:r w:rsidR="001A64C8">
        <w:t xml:space="preserve">kontraktační povinnost poskytovatele poštovních služeb </w:t>
      </w:r>
      <w:r w:rsidR="000B6132">
        <w:t xml:space="preserve">za </w:t>
      </w:r>
      <w:r>
        <w:t xml:space="preserve">definiční znak poštovní služby </w:t>
      </w:r>
      <w:r w:rsidR="001A64C8">
        <w:t xml:space="preserve">podle zákona o poštovních službách </w:t>
      </w:r>
      <w:r>
        <w:t xml:space="preserve">a dovodil, že zákon </w:t>
      </w:r>
      <w:r w:rsidR="00E57364">
        <w:t>o </w:t>
      </w:r>
      <w:r>
        <w:t xml:space="preserve">poštovních službách se </w:t>
      </w:r>
      <w:r w:rsidR="00E57364">
        <w:t xml:space="preserve">proto může vztahovat </w:t>
      </w:r>
      <w:r>
        <w:t>pouze na držitele poštovní licence (Česká pošta, s. p.). První senát naopak uvedl, že kontraktační povinnost nemůže být definičním znakem poštovní služby, poštovní zákon se vztahuje i na ostatní poskytovatele poštovních služeb, nejenom na držitele poštovní licence</w:t>
      </w:r>
      <w:r w:rsidR="000C0C4E">
        <w:t>. Dle prvního senátu však</w:t>
      </w:r>
      <w:r w:rsidR="000C0C4E" w:rsidRPr="000C0C4E">
        <w:t xml:space="preserve"> </w:t>
      </w:r>
      <w:r w:rsidR="000C0C4E">
        <w:t>není dostatečná</w:t>
      </w:r>
      <w:r>
        <w:t xml:space="preserve"> definice poštovní služby v zákoně o poštovních službách</w:t>
      </w:r>
      <w:r w:rsidR="000C0C4E">
        <w:t>, tím méně</w:t>
      </w:r>
      <w:r>
        <w:t xml:space="preserve"> v poštovní směrnici.</w:t>
      </w:r>
    </w:p>
    <w:p w14:paraId="6651AC4D" w14:textId="3018FEED" w:rsidR="00066785" w:rsidRDefault="00066785" w:rsidP="0001761E">
      <w:pPr>
        <w:pStyle w:val="Styl1"/>
        <w:ind w:left="0" w:firstLine="0"/>
      </w:pPr>
      <w:r>
        <w:t>Zvláštní senát v</w:t>
      </w:r>
      <w:r w:rsidR="007B5106">
        <w:t xml:space="preserve"> </w:t>
      </w:r>
      <w:r>
        <w:t xml:space="preserve">bodech 11, 12, 16 a 17 usnesení </w:t>
      </w:r>
      <w:r w:rsidR="0001761E" w:rsidRPr="0001761E">
        <w:rPr>
          <w:rStyle w:val="textcolumn"/>
        </w:rPr>
        <w:t>ze dne 8. 10. 2019, čj. Konf 14/2019-14</w:t>
      </w:r>
      <w:r w:rsidR="007B5106">
        <w:rPr>
          <w:rStyle w:val="textcolumn"/>
        </w:rPr>
        <w:t xml:space="preserve">, </w:t>
      </w:r>
      <w:r w:rsidR="0001761E">
        <w:rPr>
          <w:rStyle w:val="textcolumn"/>
        </w:rPr>
        <w:t>č. 3943/2019 Sb. NSS,</w:t>
      </w:r>
      <w:r w:rsidR="0055071B">
        <w:rPr>
          <w:rStyle w:val="textcolumn"/>
        </w:rPr>
        <w:t xml:space="preserve"> ve věci</w:t>
      </w:r>
      <w:r w:rsidR="0001761E">
        <w:rPr>
          <w:rStyle w:val="textcolumn"/>
        </w:rPr>
        <w:t xml:space="preserve"> </w:t>
      </w:r>
      <w:r w:rsidRPr="007B5106">
        <w:rPr>
          <w:i/>
        </w:rPr>
        <w:t>ATC industry trade moravia</w:t>
      </w:r>
      <w:r w:rsidR="007B5106">
        <w:t xml:space="preserve">, uvedl, že </w:t>
      </w:r>
      <w:r>
        <w:t xml:space="preserve">je-li </w:t>
      </w:r>
      <w:r w:rsidR="007B5106">
        <w:t>„</w:t>
      </w:r>
      <w:r w:rsidRPr="007B5106">
        <w:rPr>
          <w:i/>
        </w:rPr>
        <w:t>předmětem smlouvy poskytnutí poštovní služby, jedná se vždy o poštovní smlouvu, jak plyne z § 5 odst. 1 zákona o poštovních službách. Volit právní režim poskytování poštovních služeb tedy není</w:t>
      </w:r>
      <w:r w:rsidR="007940CC">
        <w:rPr>
          <w:i/>
        </w:rPr>
        <w:t xml:space="preserve"> možné (srov. Buzek, L. Zákon o </w:t>
      </w:r>
      <w:r w:rsidRPr="007B5106">
        <w:rPr>
          <w:i/>
        </w:rPr>
        <w:t>poštovních službách. Komentář. Praha: WoltersKluwer, 2018, k § 1 odst. 2). Podstatnými náležitostmi poštovní smlouvy jsou dodání poštovní zásilky nebo peněžní částky z místa poštovního podání sjednaným způsobem příjemci do místa uvedeného v adrese za dohodnutou cenu. Poštovní zásilkou je dle § 2 písm. a) zákona o poštovních službách adresná zásilka v konečné podobě, ve které má být provozovatelem dodána; poštovní zásilkou se rozumí i poštovní balík.</w:t>
      </w:r>
      <w:r>
        <w:t xml:space="preserve"> [...]</w:t>
      </w:r>
      <w:r w:rsidR="007B5106">
        <w:t xml:space="preserve"> </w:t>
      </w:r>
      <w:r w:rsidRPr="007B5106">
        <w:rPr>
          <w:i/>
        </w:rPr>
        <w:t xml:space="preserve">Podstatné pro věc není ani to, že </w:t>
      </w:r>
      <w:r w:rsidR="007940CC">
        <w:rPr>
          <w:i/>
        </w:rPr>
        <w:t>dle Obchodních podmínek není na </w:t>
      </w:r>
      <w:r w:rsidRPr="007B5106">
        <w:rPr>
          <w:i/>
        </w:rPr>
        <w:t>uzavření Dohody právní nárok. Navrhovatel z uvedeného dovodil, že Dohoda ani smlouvy z roku 2015 nemohou být poštovními smlouvami, protože to odporuje zákonu o poštovních</w:t>
      </w:r>
      <w:r w:rsidR="007940CC">
        <w:rPr>
          <w:i/>
        </w:rPr>
        <w:t xml:space="preserve"> službách, který stanoví, že na </w:t>
      </w:r>
      <w:r w:rsidRPr="007B5106">
        <w:rPr>
          <w:i/>
        </w:rPr>
        <w:t>uzavření poštovní smlouvy je právní nárok. Dle zvláštního senátu lze z výše</w:t>
      </w:r>
      <w:r w:rsidR="007940CC">
        <w:rPr>
          <w:i/>
        </w:rPr>
        <w:t xml:space="preserve"> uvedeného dovodit pouze to, že </w:t>
      </w:r>
      <w:r w:rsidRPr="007B5106">
        <w:rPr>
          <w:i/>
        </w:rPr>
        <w:t>Obchodní podmínky byly zřejmě v rozporu se zákonem o poštovních slu</w:t>
      </w:r>
      <w:r w:rsidR="007940CC">
        <w:rPr>
          <w:i/>
        </w:rPr>
        <w:t>žbách. Dle § 1 odst. 2 zákona o </w:t>
      </w:r>
      <w:r w:rsidRPr="007B5106">
        <w:rPr>
          <w:i/>
        </w:rPr>
        <w:t>poštovních službách je poštovní službou činnost prováděná podle poštovní smlouvy. Smluvní strany uzavřely poštovní smlouvu; činnost na jejím základě prováděná tedy byla poštovní službou. Dle citovaného ustanovení zahrnuje poštovní služba zpravidla poštovní podání, třídění a přepravu poštovní zásilky prostřednictvím poštovní sítě a je prováděna za účelem dodání poštovní zásilky příjemci</w:t>
      </w:r>
      <w:r w:rsidR="006A581E">
        <w:rPr>
          <w:i/>
        </w:rPr>
        <w:t>.</w:t>
      </w:r>
      <w:r w:rsidR="007B5106">
        <w:t>“</w:t>
      </w:r>
    </w:p>
    <w:p w14:paraId="664BE38E" w14:textId="61B130D6" w:rsidR="00066785" w:rsidRDefault="00066785" w:rsidP="00066785">
      <w:pPr>
        <w:pStyle w:val="Styl1"/>
        <w:ind w:left="0" w:firstLine="0"/>
      </w:pPr>
      <w:r>
        <w:t>Zvláštní senát tedy dospěl k závěru, že v projednávané věci byla poskytována poštovní služba. Musel tedy mít za to, že definice poštovní služby uvedená v zákoně o poštovních službách je dostatečná. Z uvedeného usnesení zároveň plyne, že povinnost uzavřít poštovní smlouvu není definičním znakem poštovní služby. Pokud v daném smluvním vztahu strany vyloučily povinnost a jemu odpovídající nárok na uzavření pošto</w:t>
      </w:r>
      <w:r w:rsidR="007940CC">
        <w:t>vní smlouvy, jedná se podle něj </w:t>
      </w:r>
      <w:r>
        <w:t>o porušení zákona o poštovních službách.</w:t>
      </w:r>
    </w:p>
    <w:p w14:paraId="0865B9C6" w14:textId="3EE7977D" w:rsidR="003F7FA0" w:rsidRDefault="00E97A53" w:rsidP="007324DF">
      <w:pPr>
        <w:pStyle w:val="Styl1"/>
        <w:ind w:left="0" w:firstLine="0"/>
      </w:pPr>
      <w:r>
        <w:t xml:space="preserve">Osmý senát dále citoval rozsudek Soudního dvora </w:t>
      </w:r>
      <w:r w:rsidR="00066785" w:rsidRPr="007B5106">
        <w:rPr>
          <w:i/>
        </w:rPr>
        <w:t>Confetra</w:t>
      </w:r>
      <w:r w:rsidR="00066785">
        <w:t>,</w:t>
      </w:r>
      <w:r w:rsidR="007B5106" w:rsidRPr="007B5106">
        <w:rPr>
          <w:rStyle w:val="textcolumn"/>
        </w:rPr>
        <w:t xml:space="preserve"> </w:t>
      </w:r>
      <w:r w:rsidR="007B5106" w:rsidRPr="004A64CF">
        <w:rPr>
          <w:rStyle w:val="textcolumn"/>
        </w:rPr>
        <w:t>C-259/16 a C-260/16</w:t>
      </w:r>
      <w:r>
        <w:rPr>
          <w:rStyle w:val="textcolumn"/>
        </w:rPr>
        <w:t>.</w:t>
      </w:r>
      <w:r w:rsidR="00066785">
        <w:t xml:space="preserve"> </w:t>
      </w:r>
      <w:bookmarkStart w:id="1" w:name="_Ref77194777"/>
      <w:r w:rsidR="007940CC">
        <w:t>Se </w:t>
      </w:r>
      <w:r w:rsidR="00066785">
        <w:t xml:space="preserve">závěry vyslovenými v rozsudku </w:t>
      </w:r>
      <w:r w:rsidR="00055ED4" w:rsidRPr="006F4274">
        <w:t>2 As 121/2016</w:t>
      </w:r>
      <w:r w:rsidR="00055ED4">
        <w:t xml:space="preserve">, </w:t>
      </w:r>
      <w:r w:rsidR="00066785" w:rsidRPr="007324DF">
        <w:rPr>
          <w:i/>
        </w:rPr>
        <w:t>Geis Parcel CZ</w:t>
      </w:r>
      <w:r w:rsidR="00055ED4">
        <w:t>,</w:t>
      </w:r>
      <w:r w:rsidR="00066785">
        <w:t xml:space="preserve"> se </w:t>
      </w:r>
      <w:r w:rsidR="007324DF">
        <w:t xml:space="preserve">však </w:t>
      </w:r>
      <w:r w:rsidR="00066785">
        <w:t xml:space="preserve">i po vydání rozsudku </w:t>
      </w:r>
      <w:r w:rsidR="00066785" w:rsidRPr="007324DF">
        <w:rPr>
          <w:i/>
        </w:rPr>
        <w:t>Confetra</w:t>
      </w:r>
      <w:r w:rsidR="00066785">
        <w:t xml:space="preserve"> ztotožnil čtvrtý senát </w:t>
      </w:r>
      <w:r w:rsidR="00055ED4">
        <w:t>NSS</w:t>
      </w:r>
      <w:r w:rsidR="00066785">
        <w:t xml:space="preserve"> v rozsudku ze dne 18. 12. 2019, čj. 4 As 61/2019-49, ve věci </w:t>
      </w:r>
      <w:r w:rsidR="00066785" w:rsidRPr="007324DF">
        <w:rPr>
          <w:i/>
        </w:rPr>
        <w:t>General Logistics Systems</w:t>
      </w:r>
      <w:r w:rsidR="00066785">
        <w:t xml:space="preserve">. </w:t>
      </w:r>
      <w:r w:rsidR="003F7FA0">
        <w:t>Dle</w:t>
      </w:r>
      <w:r w:rsidR="00066785">
        <w:t xml:space="preserve"> čtvrt</w:t>
      </w:r>
      <w:r w:rsidR="003F7FA0">
        <w:t>ého</w:t>
      </w:r>
      <w:r w:rsidR="00066785">
        <w:t xml:space="preserve"> senát</w:t>
      </w:r>
      <w:r w:rsidR="003F7FA0">
        <w:t>u</w:t>
      </w:r>
      <w:r w:rsidR="00066785">
        <w:t xml:space="preserve"> rozsud</w:t>
      </w:r>
      <w:r w:rsidR="003F7FA0">
        <w:t>e</w:t>
      </w:r>
      <w:r w:rsidR="00066785">
        <w:t>k</w:t>
      </w:r>
      <w:r w:rsidR="003F7FA0">
        <w:t xml:space="preserve"> </w:t>
      </w:r>
      <w:r w:rsidR="00066785" w:rsidRPr="007324DF">
        <w:rPr>
          <w:i/>
        </w:rPr>
        <w:t>Confetra</w:t>
      </w:r>
      <w:r w:rsidR="003F7FA0">
        <w:t xml:space="preserve"> </w:t>
      </w:r>
      <w:r w:rsidR="00066785">
        <w:t xml:space="preserve">není podstatný, jelikož definice poštovní služby v zákoně o poštovních službách je odlišná od té, která je užita </w:t>
      </w:r>
      <w:r w:rsidR="001A64C8">
        <w:t>v </w:t>
      </w:r>
      <w:r w:rsidR="00066785">
        <w:t xml:space="preserve">poštovní směrnici a </w:t>
      </w:r>
      <w:r w:rsidR="0055071B">
        <w:t xml:space="preserve">nebyl </w:t>
      </w:r>
      <w:r w:rsidR="001A64C8">
        <w:t xml:space="preserve">zde </w:t>
      </w:r>
      <w:r w:rsidR="00066785">
        <w:t xml:space="preserve">možný eurokonformní výklad zákona o poštovních službách. </w:t>
      </w:r>
    </w:p>
    <w:p w14:paraId="419485B8" w14:textId="04D0C5E1" w:rsidR="00055ED4" w:rsidRDefault="00066785" w:rsidP="007324DF">
      <w:pPr>
        <w:pStyle w:val="Styl1"/>
        <w:ind w:left="0" w:firstLine="0"/>
      </w:pPr>
      <w:r>
        <w:t>K usnesení zvláštního senátu</w:t>
      </w:r>
      <w:r w:rsidR="003F7FA0">
        <w:t xml:space="preserve"> </w:t>
      </w:r>
      <w:r w:rsidR="003F7FA0" w:rsidRPr="0001761E">
        <w:rPr>
          <w:rStyle w:val="textcolumn"/>
        </w:rPr>
        <w:t>Konf 14/2019</w:t>
      </w:r>
      <w:r w:rsidR="003F7FA0">
        <w:rPr>
          <w:rStyle w:val="textcolumn"/>
        </w:rPr>
        <w:t>,</w:t>
      </w:r>
      <w:r>
        <w:t xml:space="preserve"> </w:t>
      </w:r>
      <w:r w:rsidRPr="007324DF">
        <w:rPr>
          <w:i/>
        </w:rPr>
        <w:t>ATC industry trade moravia</w:t>
      </w:r>
      <w:r w:rsidR="003F7FA0">
        <w:rPr>
          <w:i/>
        </w:rPr>
        <w:t>,</w:t>
      </w:r>
      <w:r>
        <w:t xml:space="preserve"> čtvrtý senát uvedl následující: </w:t>
      </w:r>
      <w:r w:rsidR="00055ED4">
        <w:t>„</w:t>
      </w:r>
      <w:r w:rsidRPr="007324DF">
        <w:rPr>
          <w:i/>
        </w:rPr>
        <w:t>Zvláštní senát</w:t>
      </w:r>
      <w:r>
        <w:t xml:space="preserve"> [...] </w:t>
      </w:r>
      <w:r w:rsidRPr="007324DF">
        <w:rPr>
          <w:i/>
        </w:rPr>
        <w:t>dospěl k závěru, že je-li předmětem smlouvy poskytnutí poštovní služby, jedná se vždy o poštovní smlouvu podle 5 odst. 1 zákona o poštovních službách. Nicméně tento závěr byl učiněn ve sporu o příslušnost k rozhodnutí o právech a povinnostech vyplývajících z poštovní s</w:t>
      </w:r>
      <w:r w:rsidR="007940CC">
        <w:rPr>
          <w:i/>
        </w:rPr>
        <w:t>mlouvy, které mají souvislost s </w:t>
      </w:r>
      <w:r w:rsidRPr="007324DF">
        <w:rPr>
          <w:i/>
        </w:rPr>
        <w:t>reklamovanou poštovní službou, když tu navíc měla poskytnout Česká pošta, což byl v rozhodné době jediný určený poskytovatel všeobecných poštovních služeb. V tomto judikátu proto a</w:t>
      </w:r>
      <w:r w:rsidR="007940CC">
        <w:rPr>
          <w:i/>
        </w:rPr>
        <w:t>ni nebyla řešena otázka, zda se </w:t>
      </w:r>
      <w:r w:rsidRPr="007324DF">
        <w:rPr>
          <w:i/>
        </w:rPr>
        <w:t>poštovní směrnice vztahuje i na ostatní poskytovatele poštovních služeb ve smyslu poštovní směrnice.</w:t>
      </w:r>
      <w:r w:rsidR="00055ED4" w:rsidRPr="00055ED4">
        <w:t>“</w:t>
      </w:r>
      <w:bookmarkEnd w:id="1"/>
      <w:r>
        <w:t xml:space="preserve"> </w:t>
      </w:r>
    </w:p>
    <w:p w14:paraId="79DAC4CC" w14:textId="21E2889D" w:rsidR="00066785" w:rsidRDefault="00066785" w:rsidP="00066785">
      <w:pPr>
        <w:pStyle w:val="Styl1"/>
        <w:ind w:left="0" w:firstLine="0"/>
      </w:pPr>
      <w:r>
        <w:t xml:space="preserve">Ačkoli osmý senát zvažoval, zda nebyly vyřešeny některé předkládané otázky v pozdější judikatuře, kterou by byl i každý senát </w:t>
      </w:r>
      <w:r w:rsidR="00055ED4">
        <w:t>NSS</w:t>
      </w:r>
      <w:r>
        <w:t xml:space="preserve"> povinen respektovat, konkrétně v tomto případě rozsud</w:t>
      </w:r>
      <w:r w:rsidR="0055071B">
        <w:t>kem</w:t>
      </w:r>
      <w:r>
        <w:t xml:space="preserve"> SDEU a usnesením zvláštního senátu, je zřejmé, že č</w:t>
      </w:r>
      <w:r w:rsidR="007940CC">
        <w:t>tvrtý senát dospěl k závěru, že </w:t>
      </w:r>
      <w:r>
        <w:t xml:space="preserve">tato rozhodnutí nemají na posouzení rozhodných otázek vliv. Minimálně tedy hrozí, že </w:t>
      </w:r>
      <w:r w:rsidR="0055071B">
        <w:t xml:space="preserve">správní orgány či soudy </w:t>
      </w:r>
      <w:r>
        <w:t>bud</w:t>
      </w:r>
      <w:r w:rsidR="0055071B">
        <w:t>ou</w:t>
      </w:r>
      <w:r>
        <w:t xml:space="preserve"> </w:t>
      </w:r>
      <w:r w:rsidR="0055071B">
        <w:t xml:space="preserve">nadále </w:t>
      </w:r>
      <w:r>
        <w:t xml:space="preserve">odlišně </w:t>
      </w:r>
      <w:r w:rsidR="0055071B">
        <w:t>interpretovat výše cit. rozsudky</w:t>
      </w:r>
      <w:r>
        <w:t>.</w:t>
      </w:r>
    </w:p>
    <w:p w14:paraId="58BCC7F5" w14:textId="10D1B90E" w:rsidR="00066785" w:rsidRDefault="00066785" w:rsidP="00066785">
      <w:pPr>
        <w:pStyle w:val="Styl1"/>
        <w:ind w:left="0" w:firstLine="0"/>
      </w:pPr>
      <w:r>
        <w:t>Jak plyne z výše uvedeného, v judikatuře N</w:t>
      </w:r>
      <w:r w:rsidR="00055ED4">
        <w:t>SS</w:t>
      </w:r>
      <w:r>
        <w:t xml:space="preserve"> </w:t>
      </w:r>
      <w:r w:rsidR="00C030D9">
        <w:t xml:space="preserve">panuje </w:t>
      </w:r>
      <w:r>
        <w:t>rozpor mezi chápáním definice poštovní služby, a to 1) zda se zákon o poštovních službách vztahuje i na ostatní poskytovatele poštovních služeb, 2) zda je definice poštovní služby dostatečná a 3) zda je definičním znakem poštovní služby kontraktační povinnost.</w:t>
      </w:r>
    </w:p>
    <w:p w14:paraId="5D4FF9F6" w14:textId="2DE5CA9B" w:rsidR="00E32D8B" w:rsidRDefault="00066785" w:rsidP="00066785">
      <w:pPr>
        <w:pStyle w:val="Styl1"/>
        <w:ind w:left="0" w:firstLine="0"/>
      </w:pPr>
      <w:r>
        <w:t xml:space="preserve">Druhý senát v bodě 46 rozsudku </w:t>
      </w:r>
      <w:r w:rsidRPr="00055ED4">
        <w:rPr>
          <w:i/>
        </w:rPr>
        <w:t>Geis Parcel CZ</w:t>
      </w:r>
      <w:r>
        <w:t xml:space="preserve"> uvedl, že bude-li </w:t>
      </w:r>
      <w:r w:rsidR="00055ED4">
        <w:t>„</w:t>
      </w:r>
      <w:r w:rsidRPr="00055ED4">
        <w:rPr>
          <w:i/>
        </w:rPr>
        <w:t>zákon o poštovních službách interpretován jako zákon regulující činnost tzv. určených poskytovatelů poštovních služeb v České republice, bude současně možné konstatovat, že Česká republika dostála své povinnosti zajistit, aby uživatelé mohli využívat práva na všeobecnou službu ve smyslu čl. 3 poštovní směrnice, což byl hlavní cíl, kterého mělo být unijní regulací poštovních služeb dosaženo</w:t>
      </w:r>
      <w:r w:rsidRPr="005911F8">
        <w:rPr>
          <w:i/>
        </w:rPr>
        <w:t>.</w:t>
      </w:r>
      <w:r w:rsidR="00055ED4" w:rsidRPr="005911F8">
        <w:t>“</w:t>
      </w:r>
      <w:r w:rsidRPr="005911F8">
        <w:t xml:space="preserve"> To však podle osmého senátu není dostatečné pro naplnění požadavků po</w:t>
      </w:r>
      <w:r w:rsidR="00B5762E" w:rsidRPr="005911F8">
        <w:t>štovní směrnice. Česk</w:t>
      </w:r>
      <w:r w:rsidR="005911F8" w:rsidRPr="00B94877">
        <w:t>á republika</w:t>
      </w:r>
      <w:r w:rsidRPr="005911F8">
        <w:t xml:space="preserve"> měl</w:t>
      </w:r>
      <w:r w:rsidR="005911F8" w:rsidRPr="005911F8">
        <w:t>a</w:t>
      </w:r>
      <w:r w:rsidRPr="005911F8">
        <w:t xml:space="preserve"> povinnost zavést všechna opatření, která byla ve směrnici požadována. Pokud by</w:t>
      </w:r>
      <w:r>
        <w:t xml:space="preserve"> byl akceptován závěr druhého senátu, znamenalo by to, že čl.</w:t>
      </w:r>
      <w:r w:rsidR="00B5762E">
        <w:t> </w:t>
      </w:r>
      <w:r>
        <w:t xml:space="preserve">22a (informační povinnost poskytovatelů poštovních služeb národnímu regulačnímu úřadu) by nebyl vůbec proveden. Tato povinnost je totiž upravena pouze v zákoně o poštovních službách </w:t>
      </w:r>
      <w:r w:rsidR="001A64C8">
        <w:t>v </w:t>
      </w:r>
      <w:r>
        <w:t xml:space="preserve">jeho </w:t>
      </w:r>
      <w:r w:rsidR="00094A58">
        <w:t>§ </w:t>
      </w:r>
      <w:r>
        <w:t>32a. Osmý senát dále uvádí, že povinnost daná poskytovatelům poštovních služeb v čl</w:t>
      </w:r>
      <w:r w:rsidR="001A64C8">
        <w:t>. </w:t>
      </w:r>
      <w:r>
        <w:t>19 odst. 1 poštovní směrnice (povinnost zpřístupnění transparentních, jednoduchých a nenákladných způsobů reklamace) je ve vztahu k uživatelům poštovních služeb, kteří jsou považován</w:t>
      </w:r>
      <w:r w:rsidR="00B5762E">
        <w:t>i</w:t>
      </w:r>
      <w:r>
        <w:t xml:space="preserve"> za spotřebitele, provedena již v § 13 a násl. zákona č. 634/1992 Sb., o ochraně spotřebitele. Ve vztahu ke všem uživatelům poštovních služeb (i </w:t>
      </w:r>
      <w:r w:rsidR="0055071B">
        <w:t xml:space="preserve">těm, kteří nejsou </w:t>
      </w:r>
      <w:r>
        <w:t>spotřebitel</w:t>
      </w:r>
      <w:r w:rsidR="00F1240D">
        <w:t>i</w:t>
      </w:r>
      <w:r>
        <w:t>) je tato povinnost provedena alespoň částečně v § 6 odst. 2 písm. i) zákona o poštovních službách.</w:t>
      </w:r>
      <w:r w:rsidR="00E16CCD">
        <w:t xml:space="preserve"> </w:t>
      </w:r>
    </w:p>
    <w:p w14:paraId="60354B26" w14:textId="55A77928" w:rsidR="00066785" w:rsidRDefault="00066785" w:rsidP="00066785">
      <w:pPr>
        <w:pStyle w:val="Styl1"/>
        <w:ind w:left="0" w:firstLine="0"/>
      </w:pPr>
      <w:r>
        <w:t xml:space="preserve">Názor druhého senátu je chybný i z toho důvodu, že jedním z cílů poštovní směrnice bylo otevřít poštovní trh veřejnosti. Pokud by se však zákon o poštovních službách vztahoval pouze na držitele poštovní licence (Českou poštu, s. p.), nebyl by tento cíl naplněn, jelikož by ostatní subjekty nemohly uzavírat poštovní smlouvu podle zákona o poštovních službách (§ 1 odst. 2 daného zákona: </w:t>
      </w:r>
      <w:r w:rsidRPr="00E32D8B">
        <w:rPr>
          <w:i/>
        </w:rPr>
        <w:t>poštovní službou je činnost prováděná podle poštovní smlouvy a za podmínek stanovených tímto zákonem</w:t>
      </w:r>
      <w:r>
        <w:t>). To samo o sobě je v rozporu s poslední větou § 5 odst. 1 zákona o poštovních službách, dle které je poštovní smlouv</w:t>
      </w:r>
      <w:r w:rsidR="0055071B">
        <w:t>ou</w:t>
      </w:r>
      <w:r>
        <w:t xml:space="preserve"> jakákoli smlouva, jejímž předmětem je poskytnutí poštovní služby.</w:t>
      </w:r>
    </w:p>
    <w:p w14:paraId="7790E983" w14:textId="7195A735" w:rsidR="00066785" w:rsidRPr="005911F8" w:rsidRDefault="00066785" w:rsidP="00066785">
      <w:pPr>
        <w:pStyle w:val="Styl1"/>
        <w:ind w:left="0" w:firstLine="0"/>
      </w:pPr>
      <w:r w:rsidRPr="005911F8">
        <w:t>Povinností soudu v případě aplikace právní úpr</w:t>
      </w:r>
      <w:r w:rsidR="007940CC">
        <w:t>avy, která byla transponována z </w:t>
      </w:r>
      <w:r w:rsidRPr="005911F8">
        <w:t>evropských směrnic, je vykládat ji euroko</w:t>
      </w:r>
      <w:r w:rsidR="009E6199" w:rsidRPr="005911F8">
        <w:t>n</w:t>
      </w:r>
      <w:r w:rsidRPr="005911F8">
        <w:t>formním způsobem. Měl by totiž být volen takový výklad, který povede k tomu, že Česk</w:t>
      </w:r>
      <w:r w:rsidR="005911F8" w:rsidRPr="00B94877">
        <w:t>á republika</w:t>
      </w:r>
      <w:r w:rsidRPr="005911F8">
        <w:t xml:space="preserve"> dodrží své povinnosti vyplývající z poštovní směrnice. Ty budou dodrženy tehdy, pokud budou dodrže</w:t>
      </w:r>
      <w:r w:rsidR="007940CC">
        <w:t>ny i závazky uvedené shora. Dle </w:t>
      </w:r>
      <w:r w:rsidRPr="005911F8">
        <w:t>osmého senátu je možn</w:t>
      </w:r>
      <w:r w:rsidR="0055071B" w:rsidRPr="005911F8">
        <w:t>é</w:t>
      </w:r>
      <w:r w:rsidRPr="005911F8">
        <w:t xml:space="preserve"> zákon o poštovních službách vyložit</w:t>
      </w:r>
      <w:r w:rsidR="005719B5" w:rsidRPr="005911F8">
        <w:t xml:space="preserve"> eurokonformně</w:t>
      </w:r>
      <w:r w:rsidRPr="005911F8">
        <w:t>.</w:t>
      </w:r>
    </w:p>
    <w:p w14:paraId="0D5B3856" w14:textId="77777777" w:rsidR="00066785" w:rsidRDefault="00066785" w:rsidP="00066785">
      <w:pPr>
        <w:pStyle w:val="Styl1"/>
        <w:ind w:left="0" w:firstLine="0"/>
      </w:pPr>
      <w:r>
        <w:t xml:space="preserve">Osmý senát se neztotožňuje s názorem vysloveným v předchozích rozhodnutích </w:t>
      </w:r>
      <w:r w:rsidR="00E32D8B">
        <w:t>NSS</w:t>
      </w:r>
      <w:r>
        <w:t xml:space="preserve">, dle kterých se v případě definice poštovních služeb jedná o definici kruhem, ani že definice poštovní služby je nedostatečná. Osmý senát se tak kloní k názoru vyjádřenému v usnesení zvláštního senátu </w:t>
      </w:r>
      <w:r w:rsidRPr="00EB279E">
        <w:rPr>
          <w:i/>
        </w:rPr>
        <w:t>ATC industry trade moravia</w:t>
      </w:r>
      <w:r>
        <w:t xml:space="preserve"> (bod 12 daného usnesení). Jak vyplývá z výše uvedeného rozsudku SDEU </w:t>
      </w:r>
      <w:r w:rsidRPr="00EB279E">
        <w:rPr>
          <w:i/>
        </w:rPr>
        <w:t>Confetra</w:t>
      </w:r>
      <w:r>
        <w:t xml:space="preserve"> (zejména citovaný bod 34), SDEU vykládá poskytování poštovních služeb podle poštovní směrnice obdobným způsobem, jak to nyní provedl osmý senát.</w:t>
      </w:r>
    </w:p>
    <w:p w14:paraId="7F8CE486" w14:textId="7A5C9E0D" w:rsidR="00066785" w:rsidRDefault="00066785" w:rsidP="00EB279E">
      <w:pPr>
        <w:pStyle w:val="Styl1"/>
        <w:ind w:left="0" w:firstLine="0"/>
      </w:pPr>
      <w:r>
        <w:t xml:space="preserve">Druhá věta § 5 odst. 1 zákona o poštovních službách </w:t>
      </w:r>
      <w:r w:rsidR="00EB279E">
        <w:t>(</w:t>
      </w:r>
      <w:r w:rsidR="00EB279E" w:rsidRPr="00EB279E">
        <w:rPr>
          <w:i/>
        </w:rPr>
        <w:t>Za poštovní smlouvu se považuje jakákoliv smlouva, jejímž předmětem je poskytnutí poštovní služby</w:t>
      </w:r>
      <w:r w:rsidR="00EB279E">
        <w:t>)</w:t>
      </w:r>
      <w:r>
        <w:t xml:space="preserve"> není definičním znakem</w:t>
      </w:r>
      <w:r w:rsidR="005719B5">
        <w:t xml:space="preserve">. Vyjadřuje </w:t>
      </w:r>
      <w:r>
        <w:t xml:space="preserve">vůli zákonodárce, aby byl režim zákona o poštovních službách vynucen. Obdobné uvádí i důvodová zpráva k novele zákona č. 221/2012 Sb., která § 5 odst. 1 zákona o poštovních službách změnila: </w:t>
      </w:r>
      <w:r w:rsidR="00EB279E">
        <w:t>„</w:t>
      </w:r>
      <w:r w:rsidRPr="00EB279E">
        <w:rPr>
          <w:i/>
        </w:rPr>
        <w:t>Zároveň se poslední větou odstraňuje za pomoci ostatních definičních znaků poštovní služby možnost volby právního režimu.</w:t>
      </w:r>
      <w:r w:rsidR="00EB279E">
        <w:t>“</w:t>
      </w:r>
      <w:r>
        <w:t xml:space="preserve"> Lze dodat, že ani věta druhá § 1 odst. 2 zákona o poštovních službách </w:t>
      </w:r>
      <w:r w:rsidR="00EB279E">
        <w:t>(</w:t>
      </w:r>
      <w:r w:rsidR="00EB279E" w:rsidRPr="00EB279E">
        <w:rPr>
          <w:i/>
        </w:rPr>
        <w:t>Poštovní služba zpravidla zahrnuje poštovní podání, třídění a přepravu poštovní zásilky prostřednictvím poštovní sítě a je prováděna za účelem dodání poštovní zásilky příjemci.</w:t>
      </w:r>
      <w:r w:rsidR="00EB279E">
        <w:t xml:space="preserve">) </w:t>
      </w:r>
      <w:r>
        <w:t xml:space="preserve">není definicí poštovní služby, jelikož obsahuje slovo </w:t>
      </w:r>
      <w:r w:rsidR="001A64C8">
        <w:t>„</w:t>
      </w:r>
      <w:r>
        <w:t>zpravidla</w:t>
      </w:r>
      <w:r w:rsidR="001A64C8">
        <w:t>“.</w:t>
      </w:r>
    </w:p>
    <w:p w14:paraId="5B27EC1A" w14:textId="1538BA6C" w:rsidR="00066785" w:rsidRDefault="00066785" w:rsidP="00066785">
      <w:pPr>
        <w:pStyle w:val="Styl1"/>
        <w:ind w:left="0" w:firstLine="0"/>
      </w:pPr>
      <w:r>
        <w:t>Ohledně kontraktační povinnosti osmý senát souh</w:t>
      </w:r>
      <w:r w:rsidR="007940CC">
        <w:t>lasí s názorem prvního senátu a </w:t>
      </w:r>
      <w:r>
        <w:t>zvláštního senátu, že tato povinnost sice existuje pro každého provozovatele poštovních služeb (§</w:t>
      </w:r>
      <w:r w:rsidR="00EB279E">
        <w:t> </w:t>
      </w:r>
      <w:r>
        <w:t>4 odst. 2 zákona o poštovních službách), avšak nejedná se o definiční znak poštovních služeb.</w:t>
      </w:r>
    </w:p>
    <w:p w14:paraId="2599925D" w14:textId="77777777" w:rsidR="00066785" w:rsidRDefault="00066785" w:rsidP="00066785">
      <w:pPr>
        <w:pStyle w:val="Styl1"/>
        <w:ind w:left="0" w:firstLine="0"/>
      </w:pPr>
      <w:r>
        <w:t xml:space="preserve">Osmý senát </w:t>
      </w:r>
      <w:r w:rsidR="001D0143">
        <w:t xml:space="preserve">dále vysvětluje, jak se poštovní služby liší od živnosti zasilatelství. </w:t>
      </w:r>
    </w:p>
    <w:p w14:paraId="0F90C95D" w14:textId="71C9E974" w:rsidR="00066785" w:rsidRDefault="001D0143" w:rsidP="00066785">
      <w:pPr>
        <w:pStyle w:val="Styl1"/>
        <w:ind w:left="0" w:firstLine="0"/>
      </w:pPr>
      <w:r>
        <w:t>O</w:t>
      </w:r>
      <w:r w:rsidR="00066785">
        <w:t xml:space="preserve">smý senát </w:t>
      </w:r>
      <w:r>
        <w:t>uzavírá</w:t>
      </w:r>
      <w:r w:rsidR="00066785">
        <w:t>, že 1)</w:t>
      </w:r>
      <w:r w:rsidR="00FF5E16">
        <w:t> </w:t>
      </w:r>
      <w:r w:rsidR="00066785">
        <w:t>zákon o poštovních službách v</w:t>
      </w:r>
      <w:r w:rsidR="007940CC">
        <w:t xml:space="preserve"> rozhodném znění se vztahoval i </w:t>
      </w:r>
      <w:r w:rsidR="00066785">
        <w:t>na ostatní poskytovatele poštovních služeb, 2)</w:t>
      </w:r>
      <w:r w:rsidR="00FF5E16">
        <w:t> </w:t>
      </w:r>
      <w:r w:rsidR="00066785">
        <w:t>definice po</w:t>
      </w:r>
      <w:r w:rsidR="007940CC">
        <w:t>štovní služby byla dostatečná a </w:t>
      </w:r>
      <w:r w:rsidR="00066785">
        <w:t>3)</w:t>
      </w:r>
      <w:r w:rsidR="00FF5E16">
        <w:t> </w:t>
      </w:r>
      <w:r w:rsidR="00066785">
        <w:t>definičním znakem nebyla kontraktační povinnost.</w:t>
      </w:r>
    </w:p>
    <w:p w14:paraId="4089A484" w14:textId="5A5EF9AD" w:rsidR="00066785" w:rsidRDefault="00066785" w:rsidP="00066785">
      <w:pPr>
        <w:pStyle w:val="Styl1"/>
        <w:ind w:left="0" w:firstLine="0"/>
      </w:pPr>
      <w:r>
        <w:t>Osmý senát poznamenává, že vycházel ze zněn</w:t>
      </w:r>
      <w:r w:rsidR="007940CC">
        <w:t>í poštovního zákona účinného do </w:t>
      </w:r>
      <w:r>
        <w:t>30</w:t>
      </w:r>
      <w:r w:rsidR="009E6199">
        <w:t>. </w:t>
      </w:r>
      <w:r>
        <w:t>6</w:t>
      </w:r>
      <w:r w:rsidR="009E6199">
        <w:t>. </w:t>
      </w:r>
      <w:r>
        <w:t>2017, tedy znění účinného v době rozhodování žalovaného. Znění rozhodných ustanovení zůstalo nicméně nezměněno až do 14. 4. 2020. Ke dni 15. 4. 2020 nabyla účinnosti novela zákona o poštovních službách provedená zákonem č. 164/2020 Sb. Ta</w:t>
      </w:r>
      <w:r w:rsidR="00FF5E16">
        <w:t>to novela</w:t>
      </w:r>
      <w:r>
        <w:t xml:space="preserve"> částečně </w:t>
      </w:r>
      <w:r w:rsidR="001C026C">
        <w:t xml:space="preserve">změnila </w:t>
      </w:r>
      <w:r>
        <w:t xml:space="preserve">definici </w:t>
      </w:r>
      <w:r w:rsidR="00991B31">
        <w:t>poštovní služby, ačkoli</w:t>
      </w:r>
      <w:r>
        <w:t xml:space="preserve"> se zdá, že nikoli zásadně. Důvodová zpráva </w:t>
      </w:r>
      <w:r w:rsidR="007940CC">
        <w:t>uvádí, že se o </w:t>
      </w:r>
      <w:r>
        <w:t>věcnou změnu nejedná. Pro posouzení sporné otázky je n</w:t>
      </w:r>
      <w:r w:rsidR="007940CC">
        <w:t>icméně rozhodné znění do 14. 4. </w:t>
      </w:r>
      <w:r>
        <w:t xml:space="preserve">2020.    </w:t>
      </w:r>
    </w:p>
    <w:p w14:paraId="7B792A7A" w14:textId="7F49489B" w:rsidR="00991B31" w:rsidRDefault="00066785" w:rsidP="00991B31">
      <w:pPr>
        <w:pStyle w:val="Styl1"/>
        <w:ind w:left="0" w:firstLine="0"/>
      </w:pPr>
      <w:r>
        <w:t xml:space="preserve">Na základě shora uvedeného má osmý senát za to, že </w:t>
      </w:r>
      <w:r w:rsidR="007940CC">
        <w:t>jsou splněny zákonné důvody pro </w:t>
      </w:r>
      <w:r>
        <w:t xml:space="preserve">předložení věci rozšířenému senátu dle § 17 s. ř. s. </w:t>
      </w:r>
      <w:r w:rsidR="00991B31">
        <w:t xml:space="preserve">Proto předkládá rozšířenému senátu k rozhodnutí následující otázky: </w:t>
      </w:r>
    </w:p>
    <w:p w14:paraId="725F71F2" w14:textId="33CEC52F" w:rsidR="00991B31" w:rsidRPr="001C026C" w:rsidRDefault="00991B31" w:rsidP="00991B31">
      <w:pPr>
        <w:pStyle w:val="Styl1"/>
        <w:numPr>
          <w:ilvl w:val="0"/>
          <w:numId w:val="13"/>
        </w:numPr>
        <w:ind w:right="848"/>
        <w:rPr>
          <w:b/>
          <w:i/>
        </w:rPr>
      </w:pPr>
      <w:r w:rsidRPr="001C026C">
        <w:rPr>
          <w:b/>
          <w:i/>
        </w:rPr>
        <w:t>Vztahoval se zákon o poštovních služ</w:t>
      </w:r>
      <w:r w:rsidR="007940CC">
        <w:rPr>
          <w:b/>
          <w:i/>
        </w:rPr>
        <w:t>bách ve znění účinném do 14. 4. </w:t>
      </w:r>
      <w:r w:rsidRPr="001C026C">
        <w:rPr>
          <w:b/>
          <w:i/>
        </w:rPr>
        <w:t>2020 i na ostatní poskytovatele</w:t>
      </w:r>
      <w:r w:rsidR="007940CC">
        <w:rPr>
          <w:b/>
          <w:i/>
        </w:rPr>
        <w:t xml:space="preserve"> poštovních služeb a nejenom na </w:t>
      </w:r>
      <w:r w:rsidRPr="001C026C">
        <w:rPr>
          <w:b/>
          <w:i/>
        </w:rPr>
        <w:t>držitele poštovní licence?</w:t>
      </w:r>
    </w:p>
    <w:p w14:paraId="52A332D8" w14:textId="11593AED" w:rsidR="00991B31" w:rsidRPr="001C026C" w:rsidRDefault="00991B31" w:rsidP="00991B31">
      <w:pPr>
        <w:pStyle w:val="Styl1"/>
        <w:numPr>
          <w:ilvl w:val="0"/>
          <w:numId w:val="13"/>
        </w:numPr>
        <w:ind w:right="848"/>
        <w:rPr>
          <w:b/>
          <w:i/>
        </w:rPr>
      </w:pPr>
      <w:r w:rsidRPr="001C026C">
        <w:rPr>
          <w:b/>
          <w:i/>
        </w:rPr>
        <w:t xml:space="preserve">Byla definice poštovní služby uvedená v </w:t>
      </w:r>
      <w:r w:rsidR="007940CC">
        <w:rPr>
          <w:b/>
          <w:i/>
        </w:rPr>
        <w:t>zákoně o poštovních službách ve </w:t>
      </w:r>
      <w:r w:rsidRPr="001C026C">
        <w:rPr>
          <w:b/>
          <w:i/>
        </w:rPr>
        <w:t>znění účinném do 14. 4. 2020 dostatečně určitá?</w:t>
      </w:r>
    </w:p>
    <w:p w14:paraId="59E271E4" w14:textId="4839B6DB" w:rsidR="00991B31" w:rsidRPr="001C026C" w:rsidRDefault="00991B31" w:rsidP="00991B31">
      <w:pPr>
        <w:pStyle w:val="Styl1"/>
        <w:numPr>
          <w:ilvl w:val="0"/>
          <w:numId w:val="13"/>
        </w:numPr>
        <w:ind w:right="848"/>
        <w:rPr>
          <w:b/>
          <w:i/>
        </w:rPr>
      </w:pPr>
      <w:r w:rsidRPr="001C026C">
        <w:rPr>
          <w:b/>
          <w:i/>
        </w:rPr>
        <w:t>Byla definičním znakem poštovní služby kontraktační povinnost provozovatele poštovních služeb</w:t>
      </w:r>
      <w:r w:rsidR="007940CC">
        <w:rPr>
          <w:b/>
          <w:i/>
        </w:rPr>
        <w:t xml:space="preserve"> ve smyslu § 4 odst. 2 zákona o </w:t>
      </w:r>
      <w:r w:rsidRPr="001C026C">
        <w:rPr>
          <w:b/>
          <w:i/>
        </w:rPr>
        <w:t>poštovních službách ve znění účinném do 14. 4. 2020?</w:t>
      </w:r>
    </w:p>
    <w:p w14:paraId="5F382778" w14:textId="77777777" w:rsidR="005204B0" w:rsidRPr="001C026C" w:rsidRDefault="005204B0" w:rsidP="005204B0">
      <w:pPr>
        <w:pStyle w:val="Styl1"/>
        <w:numPr>
          <w:ilvl w:val="0"/>
          <w:numId w:val="0"/>
        </w:numPr>
        <w:rPr>
          <w:rFonts w:eastAsia="Calibri"/>
          <w:lang w:eastAsia="en-US"/>
        </w:rPr>
      </w:pPr>
    </w:p>
    <w:p w14:paraId="084F192A" w14:textId="77777777" w:rsidR="00991B31" w:rsidRPr="00DA333E" w:rsidRDefault="00991B31" w:rsidP="00991B31">
      <w:pPr>
        <w:keepNext/>
        <w:keepLines/>
        <w:tabs>
          <w:tab w:val="num" w:pos="720"/>
        </w:tabs>
        <w:jc w:val="center"/>
        <w:rPr>
          <w:rFonts w:ascii="Garamond" w:hAnsi="Garamond"/>
          <w:b/>
        </w:rPr>
      </w:pPr>
      <w:r w:rsidRPr="00DA333E">
        <w:rPr>
          <w:rFonts w:ascii="Garamond" w:hAnsi="Garamond"/>
          <w:b/>
        </w:rPr>
        <w:t>I</w:t>
      </w:r>
      <w:r>
        <w:rPr>
          <w:rFonts w:ascii="Garamond" w:hAnsi="Garamond"/>
          <w:b/>
        </w:rPr>
        <w:t>II</w:t>
      </w:r>
      <w:r w:rsidRPr="00DA333E">
        <w:rPr>
          <w:rFonts w:ascii="Garamond" w:hAnsi="Garamond"/>
          <w:b/>
        </w:rPr>
        <w:t xml:space="preserve">. </w:t>
      </w:r>
      <w:r>
        <w:rPr>
          <w:rFonts w:ascii="Garamond" w:hAnsi="Garamond"/>
          <w:b/>
        </w:rPr>
        <w:t>Další vyjádření stěžovatele</w:t>
      </w:r>
    </w:p>
    <w:p w14:paraId="5D850951" w14:textId="77777777" w:rsidR="00991B31" w:rsidRDefault="00991B31" w:rsidP="00991B31">
      <w:pPr>
        <w:pStyle w:val="Styl1"/>
        <w:numPr>
          <w:ilvl w:val="0"/>
          <w:numId w:val="0"/>
        </w:numPr>
        <w:spacing w:before="0" w:after="0"/>
      </w:pPr>
    </w:p>
    <w:p w14:paraId="53C356F2" w14:textId="11400098" w:rsidR="007443FE" w:rsidRDefault="005719B5" w:rsidP="007443FE">
      <w:pPr>
        <w:pStyle w:val="Styl1"/>
        <w:ind w:left="0" w:firstLine="0"/>
      </w:pPr>
      <w:r>
        <w:t>Stěžovatel</w:t>
      </w:r>
      <w:r w:rsidR="00991B31">
        <w:t xml:space="preserve"> </w:t>
      </w:r>
      <w:r w:rsidR="00377703">
        <w:t>využil možnosti vyjádřit se k řízení před rozšířeným senátem</w:t>
      </w:r>
      <w:r w:rsidR="00991B31">
        <w:t xml:space="preserve">. </w:t>
      </w:r>
      <w:r w:rsidR="007940CC">
        <w:t xml:space="preserve"> Ve vyjádření se </w:t>
      </w:r>
      <w:r w:rsidR="003949CB">
        <w:t>plně ztotožňuje s názorem osmého senátu.</w:t>
      </w:r>
    </w:p>
    <w:p w14:paraId="07EB58AF" w14:textId="5EE47EB4" w:rsidR="00991B31" w:rsidRDefault="00991B31" w:rsidP="00946408">
      <w:pPr>
        <w:pStyle w:val="Styl1"/>
        <w:ind w:left="0" w:firstLine="0"/>
      </w:pPr>
      <w:r>
        <w:t xml:space="preserve">Podle názoru stěžovatele podléhají režimu zákona o poštovních službách všichni poskytovatelé poštovních služeb. Tento výklad potvrzuje </w:t>
      </w:r>
      <w:r w:rsidR="007940CC">
        <w:t>i záměr zákonodárce vyjádřený v </w:t>
      </w:r>
      <w:r>
        <w:t xml:space="preserve">důvodové zprávě k </w:t>
      </w:r>
      <w:r w:rsidR="00236B6C">
        <w:t>novele</w:t>
      </w:r>
      <w:r>
        <w:t xml:space="preserve"> č. 221/2012 Sb</w:t>
      </w:r>
      <w:r w:rsidR="00236B6C">
        <w:t>. Z</w:t>
      </w:r>
      <w:r>
        <w:t xml:space="preserve">áměrem </w:t>
      </w:r>
      <w:r w:rsidR="00236B6C">
        <w:t xml:space="preserve">této novely </w:t>
      </w:r>
      <w:r>
        <w:t>bylo podřídit režimu zákona o poštovních službách všechny subjekty, které poštovní služby poskytují.</w:t>
      </w:r>
      <w:r w:rsidR="00946408">
        <w:t xml:space="preserve"> </w:t>
      </w:r>
      <w:r>
        <w:t xml:space="preserve">Uvedený výklad odpovídá i cílům poštovní směrnice, mezi něž patří dotvoření jednotného trhu poštovních služeb, tedy zajištění rovných podmínek pro všechny subjekty poskytující věcně totožné služby. </w:t>
      </w:r>
    </w:p>
    <w:p w14:paraId="6AB5F216" w14:textId="3ED2D88C" w:rsidR="00991B31" w:rsidRDefault="00991B31" w:rsidP="00946408">
      <w:pPr>
        <w:pStyle w:val="Styl1"/>
        <w:ind w:left="0" w:firstLine="0"/>
      </w:pPr>
      <w:r>
        <w:t xml:space="preserve">Pro posouzení otázky určitosti vymezení poštovní služby v zákoně o poštovních službách považuje stěžovatel za směrodatný zejména rozsudek </w:t>
      </w:r>
      <w:r w:rsidRPr="00B77AED">
        <w:rPr>
          <w:i/>
        </w:rPr>
        <w:t>Confetra</w:t>
      </w:r>
      <w:r w:rsidR="007940CC">
        <w:t>, kterým bylo rozhodnuto o </w:t>
      </w:r>
      <w:r>
        <w:t>předběžných otázkách týkajících se výkladu poštovní směrnice.</w:t>
      </w:r>
      <w:r w:rsidR="00C75E53">
        <w:t xml:space="preserve"> </w:t>
      </w:r>
      <w:r>
        <w:t>Pochybnosti o neurčitosti nebo nedokonalosti definice poštovní služby Soudní dvůr neměl. Vzhledem k uvedenému není důvod pochybovat ani o určitosti obdobně konstruované definice v zákoně o poštovních službách.</w:t>
      </w:r>
      <w:r w:rsidR="00946408">
        <w:t xml:space="preserve"> </w:t>
      </w:r>
      <w:r w:rsidR="00551B39">
        <w:t>V neposlední řadě</w:t>
      </w:r>
      <w:r>
        <w:t xml:space="preserve"> i zvláštní senát ve výše uvedeném usnesení Konf 14/2019</w:t>
      </w:r>
      <w:r w:rsidR="00551B39">
        <w:t xml:space="preserve">, </w:t>
      </w:r>
      <w:r w:rsidR="00551B39" w:rsidRPr="00946408">
        <w:rPr>
          <w:i/>
        </w:rPr>
        <w:t>ATC industry trade moravia</w:t>
      </w:r>
      <w:r w:rsidR="00551B39">
        <w:t xml:space="preserve">, </w:t>
      </w:r>
      <w:r>
        <w:t>shledal definici poštovní služby v zákoně o poštovních službách určitou a dostatečnou.</w:t>
      </w:r>
    </w:p>
    <w:p w14:paraId="61151EE4" w14:textId="12F06B84" w:rsidR="00991B31" w:rsidRDefault="00991B31" w:rsidP="00862C7B">
      <w:pPr>
        <w:pStyle w:val="Styl1"/>
        <w:ind w:left="0" w:firstLine="0"/>
      </w:pPr>
      <w:r>
        <w:t xml:space="preserve">Stěžovatel </w:t>
      </w:r>
      <w:r w:rsidR="00551B39">
        <w:t xml:space="preserve">se konečně v poslední </w:t>
      </w:r>
      <w:r>
        <w:t xml:space="preserve">otázce ztotožňuje se závěrem </w:t>
      </w:r>
      <w:r w:rsidR="00551B39">
        <w:t>prv</w:t>
      </w:r>
      <w:r w:rsidR="009E6199">
        <w:t>ní</w:t>
      </w:r>
      <w:r w:rsidR="00551B39">
        <w:t xml:space="preserve">ho senátu ve věci </w:t>
      </w:r>
      <w:r>
        <w:t>1</w:t>
      </w:r>
      <w:r w:rsidR="00172961">
        <w:t> </w:t>
      </w:r>
      <w:r>
        <w:t>As</w:t>
      </w:r>
      <w:r w:rsidR="00172961">
        <w:t> </w:t>
      </w:r>
      <w:r>
        <w:t>207/2017</w:t>
      </w:r>
      <w:r w:rsidR="00551B39">
        <w:t>,</w:t>
      </w:r>
      <w:r>
        <w:t xml:space="preserve"> </w:t>
      </w:r>
      <w:r w:rsidRPr="00551B39">
        <w:rPr>
          <w:i/>
        </w:rPr>
        <w:t>IN TIME SPEDICE</w:t>
      </w:r>
      <w:r>
        <w:t>, že z kontraktačn</w:t>
      </w:r>
      <w:r w:rsidR="007940CC">
        <w:t>í povinnosti podle § 4 zákona o </w:t>
      </w:r>
      <w:r>
        <w:t xml:space="preserve">poštovních službách nelze činit kritérium pro odlišení poštovních služeb od služeb jiných. </w:t>
      </w:r>
      <w:r w:rsidR="00084E46">
        <w:t>P</w:t>
      </w:r>
      <w:r>
        <w:t>oštovní směrnice ani zákon o poštovních službách nestanoví, že by definičním znakem poštovní služby a poštovní smlouvy byla vůle provozovatele nabízet poštovní služby každému.</w:t>
      </w:r>
    </w:p>
    <w:p w14:paraId="024EF60F" w14:textId="592CEAC7" w:rsidR="00991B31" w:rsidRDefault="00991B31" w:rsidP="00991B31">
      <w:pPr>
        <w:pStyle w:val="Styl1"/>
        <w:ind w:left="0" w:firstLine="0"/>
      </w:pPr>
      <w:r>
        <w:t>Stěžovatel připomíná, že právní úprava poskytování poštovních služeb je veřejnoprávní regulací uskutečňovanou ve veřejném zájmu. Nelze ak</w:t>
      </w:r>
      <w:r w:rsidR="007940CC">
        <w:t>ceptovat takový výklad zákona o </w:t>
      </w:r>
      <w:r>
        <w:t>poštovních službách, jenž by poskytovatelům poštovních služeb umožňoval aplikaci této regulace jednostranně vyloučit. Bylo by proti smyslu právní úpravy, pokud by definičním znakem poštovní služby byla kontraktační povinnost, neboť v takovém případě by poskytovatelé poštovních služeb mohli veřejnoprávní úpravu jednoduše obejít tím, že by závazek uzavřít smlouvu s každým odmítli.</w:t>
      </w:r>
      <w:r w:rsidR="00084E46">
        <w:t xml:space="preserve"> </w:t>
      </w:r>
    </w:p>
    <w:p w14:paraId="2A426023" w14:textId="1B11AA11" w:rsidR="00991B31" w:rsidRDefault="00991B31" w:rsidP="00084E46">
      <w:pPr>
        <w:pStyle w:val="Styl1"/>
        <w:ind w:left="0" w:firstLine="0"/>
      </w:pPr>
      <w:r>
        <w:t xml:space="preserve">Konečně i z konstatování Soudního dvora v rozsudku </w:t>
      </w:r>
      <w:r w:rsidRPr="00172961">
        <w:rPr>
          <w:i/>
          <w:iCs/>
        </w:rPr>
        <w:t>Confetra</w:t>
      </w:r>
      <w:r>
        <w:t>, že „</w:t>
      </w:r>
      <w:r w:rsidRPr="00084E46">
        <w:rPr>
          <w:i/>
        </w:rPr>
        <w:t>každý podnik, který poskytuje alespoň jednu ze služeb uvedených v čl. 2 odst. 1 poštovní směrnice, je poskytovatelem poštovních služeb</w:t>
      </w:r>
      <w:r>
        <w:t xml:space="preserve">“, jasně vyplývá, že kritériem pro rozlišení poštovních služeb od služeb jiných je věcná náplň takové činnosti, tzn. že je klíčové zkoumat, zdali daný podnik </w:t>
      </w:r>
      <w:r w:rsidR="007940CC">
        <w:t>poskytuje služby spočívající ve </w:t>
      </w:r>
      <w:r>
        <w:t>výběru, třídění, přepravě a dodávání poštovních zásilek. Rozhodně nelze přistoupit na názor, že rozhodujícím kritériem</w:t>
      </w:r>
      <w:r w:rsidR="005719B5">
        <w:t>, které</w:t>
      </w:r>
      <w:r>
        <w:t xml:space="preserve"> </w:t>
      </w:r>
      <w:r w:rsidR="005719B5">
        <w:t xml:space="preserve">odlišuje </w:t>
      </w:r>
      <w:r>
        <w:t>poštovní služby od služeb jiných</w:t>
      </w:r>
      <w:r w:rsidR="005719B5">
        <w:t>,</w:t>
      </w:r>
      <w:r>
        <w:t xml:space="preserve"> je projev vůle poskytovatele poskytnout službu každému.</w:t>
      </w:r>
    </w:p>
    <w:p w14:paraId="68FF09AF" w14:textId="20654FB3" w:rsidR="00991B31" w:rsidRPr="007940CC" w:rsidRDefault="00991B31" w:rsidP="007940CC">
      <w:pPr>
        <w:pStyle w:val="Styl1"/>
        <w:ind w:left="0" w:firstLine="0"/>
      </w:pPr>
      <w:r>
        <w:t>Stěžovatel pro úplnost podotýká, že zákon o poštovních službách neupravuje kontraktační povinnost provozovatele vůči každému subjek</w:t>
      </w:r>
      <w:r w:rsidR="007940CC">
        <w:t>tu, který se rozhodne smlouvu s </w:t>
      </w:r>
      <w:r>
        <w:t xml:space="preserve">provozovatelem uzavřít. Ustanovení § 4 odst. 1 stanoví povinnost </w:t>
      </w:r>
      <w:r w:rsidR="005719B5">
        <w:t xml:space="preserve">zveřejnit </w:t>
      </w:r>
      <w:r>
        <w:t xml:space="preserve">poštovní podmínky, v odstavci 2 je pak stanoveno, že provozovatel je povinen uzavřít poštovní smlouvu s každým, kdo její uzavření v mezích poštovních podmínek a způsobem v nich stanoveným požaduje. Soudy dosud zcela opomíjenou podmínkou je, že smlouvu lze uzavřít jen v mezích (předem objektivně nastavených) poštovních podmínek. Je tedy na poskytovateli služeb, jak </w:t>
      </w:r>
      <w:r w:rsidR="005911F8">
        <w:t xml:space="preserve">tyto </w:t>
      </w:r>
      <w:r>
        <w:t>meze nastaví.</w:t>
      </w:r>
    </w:p>
    <w:p w14:paraId="1B237FAE" w14:textId="77777777" w:rsidR="005204B0" w:rsidRPr="00DA333E" w:rsidRDefault="005204B0" w:rsidP="005204B0">
      <w:pPr>
        <w:keepNext/>
        <w:keepLines/>
        <w:tabs>
          <w:tab w:val="num" w:pos="720"/>
        </w:tabs>
        <w:jc w:val="center"/>
        <w:rPr>
          <w:rFonts w:ascii="Garamond" w:hAnsi="Garamond"/>
          <w:b/>
        </w:rPr>
      </w:pPr>
      <w:r w:rsidRPr="00DA333E">
        <w:rPr>
          <w:rFonts w:ascii="Garamond" w:hAnsi="Garamond"/>
          <w:b/>
        </w:rPr>
        <w:t>I</w:t>
      </w:r>
      <w:r w:rsidR="00991B31">
        <w:rPr>
          <w:rFonts w:ascii="Garamond" w:hAnsi="Garamond"/>
          <w:b/>
        </w:rPr>
        <w:t>V</w:t>
      </w:r>
      <w:r w:rsidRPr="00DA333E">
        <w:rPr>
          <w:rFonts w:ascii="Garamond" w:hAnsi="Garamond"/>
          <w:b/>
        </w:rPr>
        <w:t>. Posouzení věci rozšířeným senátem</w:t>
      </w:r>
    </w:p>
    <w:p w14:paraId="3BE5E86A" w14:textId="77777777" w:rsidR="005204B0" w:rsidRPr="00DA333E" w:rsidRDefault="005204B0" w:rsidP="005204B0">
      <w:pPr>
        <w:keepNext/>
        <w:keepLines/>
        <w:tabs>
          <w:tab w:val="num" w:pos="720"/>
        </w:tabs>
        <w:rPr>
          <w:rFonts w:ascii="Garamond" w:hAnsi="Garamond"/>
          <w:b/>
        </w:rPr>
      </w:pPr>
    </w:p>
    <w:p w14:paraId="7E11F8CE" w14:textId="77777777" w:rsidR="005204B0" w:rsidRPr="00DA333E" w:rsidRDefault="005204B0" w:rsidP="005204B0">
      <w:pPr>
        <w:keepNext/>
        <w:keepLines/>
        <w:tabs>
          <w:tab w:val="num" w:pos="720"/>
        </w:tabs>
        <w:jc w:val="center"/>
        <w:rPr>
          <w:rFonts w:ascii="Garamond" w:hAnsi="Garamond"/>
          <w:b/>
          <w:i/>
        </w:rPr>
      </w:pPr>
      <w:r w:rsidRPr="00DA333E">
        <w:rPr>
          <w:rFonts w:ascii="Garamond" w:hAnsi="Garamond"/>
          <w:b/>
        </w:rPr>
        <w:t>I</w:t>
      </w:r>
      <w:r w:rsidR="00991B31">
        <w:rPr>
          <w:rFonts w:ascii="Garamond" w:hAnsi="Garamond"/>
          <w:b/>
        </w:rPr>
        <w:t>V</w:t>
      </w:r>
      <w:r w:rsidRPr="00DA333E">
        <w:rPr>
          <w:rFonts w:ascii="Garamond" w:hAnsi="Garamond"/>
          <w:b/>
        </w:rPr>
        <w:t xml:space="preserve">. 1. </w:t>
      </w:r>
      <w:r w:rsidRPr="00DA333E">
        <w:rPr>
          <w:rFonts w:ascii="Garamond" w:hAnsi="Garamond"/>
          <w:b/>
          <w:i/>
        </w:rPr>
        <w:t>Pravomoc rozšířeného senátu</w:t>
      </w:r>
    </w:p>
    <w:p w14:paraId="1282EFEC" w14:textId="77777777" w:rsidR="005204B0" w:rsidRPr="00DA333E" w:rsidRDefault="005204B0" w:rsidP="005204B0">
      <w:pPr>
        <w:jc w:val="both"/>
        <w:rPr>
          <w:rFonts w:ascii="Garamond" w:hAnsi="Garamond"/>
        </w:rPr>
      </w:pPr>
    </w:p>
    <w:p w14:paraId="443AF897" w14:textId="77777777" w:rsidR="005204B0" w:rsidRPr="00DA333E" w:rsidRDefault="005204B0" w:rsidP="005204B0">
      <w:pPr>
        <w:pStyle w:val="Styl1"/>
        <w:spacing w:before="0" w:after="0"/>
        <w:ind w:left="0" w:firstLine="0"/>
      </w:pPr>
      <w:r w:rsidRPr="00DA333E">
        <w:t xml:space="preserve">Podle § 17 odst. 1 s. ř. s., dospěl-li senát NSS při svém rozhodování k právnímu názoru, který je odlišný od právního názoru již vyjádřeného v rozhodnutí NSS, postoupí věc </w:t>
      </w:r>
      <w:r w:rsidR="00004F3D" w:rsidRPr="00DA333E">
        <w:t>k </w:t>
      </w:r>
      <w:r w:rsidRPr="00DA333E">
        <w:t>rozhodnutí rozšířenému senátu.</w:t>
      </w:r>
    </w:p>
    <w:p w14:paraId="255F9A1D" w14:textId="03E8ED9D" w:rsidR="00350B91" w:rsidRPr="00DA333E" w:rsidRDefault="005204B0" w:rsidP="00350B91">
      <w:pPr>
        <w:pStyle w:val="Styl1"/>
        <w:ind w:left="0" w:firstLine="0"/>
      </w:pPr>
      <w:r w:rsidRPr="00DA333E">
        <w:t xml:space="preserve">V nynější věci </w:t>
      </w:r>
      <w:r w:rsidR="00C32997">
        <w:t>osmý</w:t>
      </w:r>
      <w:r w:rsidRPr="00DA333E">
        <w:t xml:space="preserve"> senát dospěl k názoru odlišnému od názoru </w:t>
      </w:r>
      <w:r w:rsidR="00C32997">
        <w:t>druhého</w:t>
      </w:r>
      <w:r w:rsidR="00CD5ABA" w:rsidRPr="00DA333E">
        <w:t xml:space="preserve"> senátu, jak ho vyjádřil v</w:t>
      </w:r>
      <w:r w:rsidR="00C32997">
        <w:t xml:space="preserve">e shora citovaném rozsudku </w:t>
      </w:r>
      <w:r w:rsidR="00C32997" w:rsidRPr="006F4274">
        <w:t>2 As 121/2016</w:t>
      </w:r>
      <w:r w:rsidR="00C32997">
        <w:t xml:space="preserve">, </w:t>
      </w:r>
      <w:r w:rsidR="00C32997" w:rsidRPr="00055ED4">
        <w:rPr>
          <w:i/>
        </w:rPr>
        <w:t>Geis Parcel CZ</w:t>
      </w:r>
      <w:r w:rsidRPr="00DA333E">
        <w:t>.</w:t>
      </w:r>
      <w:r w:rsidR="00CD5ABA" w:rsidRPr="00DA333E">
        <w:t xml:space="preserve"> Podle </w:t>
      </w:r>
      <w:r w:rsidR="00C32997">
        <w:t xml:space="preserve">druhého </w:t>
      </w:r>
      <w:r w:rsidR="00C32997" w:rsidRPr="00C32997">
        <w:t xml:space="preserve">senátu </w:t>
      </w:r>
      <w:r w:rsidR="009E6199">
        <w:t xml:space="preserve">je </w:t>
      </w:r>
      <w:r w:rsidR="00C32997" w:rsidRPr="00C32997">
        <w:t>třeba vykládat § 1 odst. 2 zákona o poštovních službách ve spojení s jeho § 4 a § 5 tak, že tento zákon dopadá pouze na poštovní služby poskytované tzv. určenými poskytovateli všeobecných poštovních služeb ve smyslu poštovní směrnice</w:t>
      </w:r>
      <w:r w:rsidR="00C32997">
        <w:t>, tedy Českou poštou</w:t>
      </w:r>
      <w:r w:rsidR="00542BEE" w:rsidRPr="00DA333E">
        <w:t>.</w:t>
      </w:r>
      <w:r w:rsidR="00C32997">
        <w:t xml:space="preserve"> S tímto závěrem osmý senát nesouhlasí.</w:t>
      </w:r>
      <w:r w:rsidR="00E77E1D">
        <w:t xml:space="preserve"> </w:t>
      </w:r>
    </w:p>
    <w:p w14:paraId="5FA81B88" w14:textId="77777777" w:rsidR="00E77E1D" w:rsidRDefault="0057410F" w:rsidP="00E77E1D">
      <w:pPr>
        <w:pStyle w:val="Styl1"/>
        <w:ind w:left="0" w:firstLine="0"/>
        <w:rPr>
          <w:rStyle w:val="textcolumn"/>
        </w:rPr>
      </w:pPr>
      <w:r>
        <w:rPr>
          <w:rStyle w:val="textcolumn"/>
        </w:rPr>
        <w:t xml:space="preserve">Osmý senát správně upozornil též na rozpor mezi závěrem druhého senátu v </w:t>
      </w:r>
      <w:r>
        <w:t xml:space="preserve">rozsudku </w:t>
      </w:r>
      <w:r w:rsidRPr="006F4274">
        <w:t>2</w:t>
      </w:r>
      <w:r w:rsidR="002211B6">
        <w:t> </w:t>
      </w:r>
      <w:r w:rsidRPr="006F4274">
        <w:t>As 121/2016</w:t>
      </w:r>
      <w:r>
        <w:t xml:space="preserve">, </w:t>
      </w:r>
      <w:r w:rsidRPr="00055ED4">
        <w:rPr>
          <w:i/>
        </w:rPr>
        <w:t>Geis Parcel CZ</w:t>
      </w:r>
      <w:r>
        <w:rPr>
          <w:rStyle w:val="textcolumn"/>
        </w:rPr>
        <w:t>, a závěrem prvního senátu v</w:t>
      </w:r>
      <w:r w:rsidR="00E77E1D">
        <w:rPr>
          <w:rStyle w:val="textcolumn"/>
        </w:rPr>
        <w:t xml:space="preserve"> </w:t>
      </w:r>
      <w:r w:rsidRPr="0057410F">
        <w:rPr>
          <w:rStyle w:val="textcolumn"/>
        </w:rPr>
        <w:t xml:space="preserve">rozsudku 1 As 207/2017, </w:t>
      </w:r>
      <w:r w:rsidRPr="0057410F">
        <w:rPr>
          <w:rStyle w:val="textcolumn"/>
          <w:i/>
        </w:rPr>
        <w:t>IN TIME SPEDICE</w:t>
      </w:r>
      <w:r>
        <w:rPr>
          <w:rStyle w:val="textcolumn"/>
        </w:rPr>
        <w:t xml:space="preserve">. Zatímco podle </w:t>
      </w:r>
      <w:r w:rsidR="00E77E1D">
        <w:rPr>
          <w:rStyle w:val="textcolumn"/>
        </w:rPr>
        <w:t>druhého</w:t>
      </w:r>
      <w:r>
        <w:rPr>
          <w:rStyle w:val="textcolumn"/>
        </w:rPr>
        <w:t xml:space="preserve"> senátu </w:t>
      </w:r>
      <w:r w:rsidR="00E77E1D" w:rsidRPr="0057410F">
        <w:rPr>
          <w:rStyle w:val="textcolumn"/>
        </w:rPr>
        <w:t xml:space="preserve">za definiční znak poštovní služby </w:t>
      </w:r>
      <w:r w:rsidR="00E77E1D">
        <w:rPr>
          <w:rStyle w:val="textcolumn"/>
        </w:rPr>
        <w:t xml:space="preserve">je třeba považovat </w:t>
      </w:r>
      <w:r w:rsidR="00E77E1D" w:rsidRPr="0057410F">
        <w:rPr>
          <w:rStyle w:val="textcolumn"/>
        </w:rPr>
        <w:t>kontraktační povinnost poskytovatele poštovních služeb</w:t>
      </w:r>
      <w:r w:rsidR="00E77E1D">
        <w:rPr>
          <w:rStyle w:val="textcolumn"/>
        </w:rPr>
        <w:t xml:space="preserve">, podle prvního senátu tomu tak není (viz </w:t>
      </w:r>
      <w:r w:rsidR="00E77E1D" w:rsidRPr="006F4274">
        <w:t>2 As 121/2016</w:t>
      </w:r>
      <w:r w:rsidR="00E77E1D">
        <w:t xml:space="preserve">, </w:t>
      </w:r>
      <w:r w:rsidR="00E77E1D" w:rsidRPr="00055ED4">
        <w:rPr>
          <w:i/>
        </w:rPr>
        <w:t>Geis Parcel CZ</w:t>
      </w:r>
      <w:r w:rsidR="00E77E1D">
        <w:rPr>
          <w:rStyle w:val="textcolumn"/>
        </w:rPr>
        <w:t>, bod</w:t>
      </w:r>
      <w:r w:rsidR="006A77EE">
        <w:rPr>
          <w:rStyle w:val="textcolumn"/>
        </w:rPr>
        <w:t>y 41 a 45</w:t>
      </w:r>
      <w:r w:rsidR="00E77E1D">
        <w:rPr>
          <w:rStyle w:val="textcolumn"/>
        </w:rPr>
        <w:t xml:space="preserve">, versus </w:t>
      </w:r>
      <w:r w:rsidR="00E77E1D" w:rsidRPr="0057410F">
        <w:rPr>
          <w:rStyle w:val="textcolumn"/>
        </w:rPr>
        <w:t xml:space="preserve">1 As 207/2017, </w:t>
      </w:r>
      <w:r w:rsidR="00E77E1D" w:rsidRPr="0057410F">
        <w:rPr>
          <w:rStyle w:val="textcolumn"/>
          <w:i/>
        </w:rPr>
        <w:t>IN TIME SPEDICE</w:t>
      </w:r>
      <w:r w:rsidR="00E77E1D">
        <w:rPr>
          <w:rStyle w:val="textcolumn"/>
        </w:rPr>
        <w:t xml:space="preserve">, bod </w:t>
      </w:r>
      <w:r w:rsidR="006A77EE">
        <w:rPr>
          <w:rStyle w:val="textcolumn"/>
        </w:rPr>
        <w:t>56</w:t>
      </w:r>
      <w:r w:rsidR="00E77E1D">
        <w:rPr>
          <w:rStyle w:val="textcolumn"/>
        </w:rPr>
        <w:t xml:space="preserve">). </w:t>
      </w:r>
      <w:r w:rsidR="00E77E1D" w:rsidRPr="0057410F">
        <w:rPr>
          <w:rStyle w:val="textcolumn"/>
        </w:rPr>
        <w:t xml:space="preserve"> </w:t>
      </w:r>
    </w:p>
    <w:p w14:paraId="4F3517CF" w14:textId="276F4855" w:rsidR="00E77E1D" w:rsidRDefault="00E77E1D" w:rsidP="00E77E1D">
      <w:pPr>
        <w:pStyle w:val="Styl1"/>
        <w:ind w:left="0" w:firstLine="0"/>
      </w:pPr>
      <w:r>
        <w:rPr>
          <w:rStyle w:val="textcolumn"/>
        </w:rPr>
        <w:t>Osmý senát konečně nesouhlasí ani se závěrem prv</w:t>
      </w:r>
      <w:r w:rsidR="005719B5">
        <w:rPr>
          <w:rStyle w:val="textcolumn"/>
        </w:rPr>
        <w:t>ní</w:t>
      </w:r>
      <w:r>
        <w:rPr>
          <w:rStyle w:val="textcolumn"/>
        </w:rPr>
        <w:t xml:space="preserve">ho senátu ve věci </w:t>
      </w:r>
      <w:r w:rsidRPr="0057410F">
        <w:rPr>
          <w:rStyle w:val="textcolumn"/>
          <w:i/>
        </w:rPr>
        <w:t>IN TIME SPEDICE</w:t>
      </w:r>
      <w:r>
        <w:rPr>
          <w:rStyle w:val="textcolumn"/>
        </w:rPr>
        <w:t xml:space="preserve">, podle něhož </w:t>
      </w:r>
      <w:r w:rsidR="0057410F" w:rsidRPr="0057410F">
        <w:rPr>
          <w:rStyle w:val="textcolumn"/>
        </w:rPr>
        <w:t>definice poštovní služby není dostatečná</w:t>
      </w:r>
      <w:r w:rsidR="009E6199">
        <w:rPr>
          <w:rStyle w:val="textcolumn"/>
        </w:rPr>
        <w:t>,</w:t>
      </w:r>
      <w:r w:rsidR="0057410F" w:rsidRPr="0057410F">
        <w:rPr>
          <w:rStyle w:val="textcolumn"/>
        </w:rPr>
        <w:t xml:space="preserve"> ani v zákoně o poštovních službách ani v poštovní směrnici</w:t>
      </w:r>
      <w:r w:rsidR="00A76005" w:rsidRPr="00DA333E">
        <w:rPr>
          <w:rStyle w:val="textcolumn"/>
        </w:rPr>
        <w:t>.</w:t>
      </w:r>
      <w:r w:rsidR="005204B0" w:rsidRPr="00DA333E">
        <w:t xml:space="preserve"> </w:t>
      </w:r>
    </w:p>
    <w:p w14:paraId="42DF2D27" w14:textId="36045915" w:rsidR="00E60A0E" w:rsidRDefault="00E77E1D" w:rsidP="00F17A43">
      <w:pPr>
        <w:pStyle w:val="Styl1"/>
        <w:ind w:left="0" w:firstLine="0"/>
      </w:pPr>
      <w:r>
        <w:t xml:space="preserve">Rozšířený senát dále zvážil, zda judikaturní rozpor nebyl odstraněn rozhodnutími Soudního dvora EU. </w:t>
      </w:r>
      <w:r w:rsidR="00F17A43">
        <w:t xml:space="preserve">Rozšířený senát totiž není povolán k řešení takových konfliktů v judikatuře uvnitř NSS, pokud o </w:t>
      </w:r>
      <w:r w:rsidR="00E60A0E">
        <w:t>sporné</w:t>
      </w:r>
      <w:r w:rsidR="00F17A43" w:rsidRPr="00F17A43">
        <w:t xml:space="preserve"> právní otázce </w:t>
      </w:r>
      <w:r w:rsidR="00F17A43">
        <w:t xml:space="preserve">určitým způsobem rozhodne </w:t>
      </w:r>
      <w:r w:rsidR="009B56B2">
        <w:t>mj.</w:t>
      </w:r>
      <w:r w:rsidR="00F17A43" w:rsidRPr="00F17A43">
        <w:t xml:space="preserve"> </w:t>
      </w:r>
      <w:r w:rsidR="00703716">
        <w:t>S</w:t>
      </w:r>
      <w:r w:rsidR="00F17A43" w:rsidRPr="00F17A43">
        <w:t>oudní dvůr</w:t>
      </w:r>
      <w:r w:rsidR="00703716">
        <w:t xml:space="preserve"> </w:t>
      </w:r>
      <w:r w:rsidR="002D56DD" w:rsidRPr="002D56DD">
        <w:t xml:space="preserve">(srov. </w:t>
      </w:r>
      <w:r w:rsidR="002D56DD">
        <w:t>již</w:t>
      </w:r>
      <w:r w:rsidR="002D56DD" w:rsidRPr="002D56DD">
        <w:t xml:space="preserve"> usnesení rozšířeného senátu ze dne 8. 7. 2008, čj. 9 Afs 59/2007-56, č. 1723/2008 Sb. NSS</w:t>
      </w:r>
      <w:r w:rsidR="002D56DD">
        <w:t xml:space="preserve">, respektive </w:t>
      </w:r>
      <w:r w:rsidR="002D56DD" w:rsidRPr="002D56DD">
        <w:t>usnesení rozšířeného senátu ze dne 28. 7. 2009, čj. 2 As 35/2008-56, č.</w:t>
      </w:r>
      <w:r w:rsidR="002D56DD">
        <w:t> </w:t>
      </w:r>
      <w:r w:rsidR="002D56DD" w:rsidRPr="002D56DD">
        <w:t>1948/2009 Sb. NSS)</w:t>
      </w:r>
      <w:r w:rsidR="002D56DD">
        <w:t>.</w:t>
      </w:r>
      <w:r w:rsidR="005204B0" w:rsidRPr="00DA333E">
        <w:t xml:space="preserve"> </w:t>
      </w:r>
      <w:r w:rsidR="00703716">
        <w:t xml:space="preserve">V nynějším případě ovšem judikatura </w:t>
      </w:r>
      <w:r w:rsidR="009B56B2">
        <w:t>SDEU</w:t>
      </w:r>
      <w:r w:rsidR="00703716">
        <w:t xml:space="preserve"> nepřispěla ke sjednocení judikatury NSS, </w:t>
      </w:r>
      <w:r w:rsidR="007940CC">
        <w:t>na </w:t>
      </w:r>
      <w:r w:rsidR="003D2B69">
        <w:t xml:space="preserve">což upozornil osmý senát. Čtvrtý senát totiž v rozsudku 4 As 61/2019, </w:t>
      </w:r>
      <w:r w:rsidR="003D2B69" w:rsidRPr="00055ED4">
        <w:rPr>
          <w:i/>
        </w:rPr>
        <w:t>General Logistics Systems</w:t>
      </w:r>
      <w:r w:rsidR="003D2B69">
        <w:t>, s judikaturou SDEU pracoval, dospěl však k závěru, že na řešen</w:t>
      </w:r>
      <w:r w:rsidR="007940CC">
        <w:t>é problémy nemá přímý vliv (viz </w:t>
      </w:r>
      <w:r w:rsidR="003D2B69">
        <w:t xml:space="preserve">bod </w:t>
      </w:r>
      <w:r w:rsidR="003D2B69">
        <w:fldChar w:fldCharType="begin"/>
      </w:r>
      <w:r w:rsidR="003D2B69">
        <w:instrText xml:space="preserve"> REF _Ref77194777 \r \h </w:instrText>
      </w:r>
      <w:r w:rsidR="003D2B69">
        <w:fldChar w:fldCharType="separate"/>
      </w:r>
      <w:r w:rsidR="00765BA1">
        <w:t>[19]</w:t>
      </w:r>
      <w:r w:rsidR="003D2B69">
        <w:fldChar w:fldCharType="end"/>
      </w:r>
      <w:r w:rsidR="003D2B69">
        <w:t xml:space="preserve"> shora). </w:t>
      </w:r>
    </w:p>
    <w:p w14:paraId="06D3F98D" w14:textId="6738063B" w:rsidR="00C85E42" w:rsidRDefault="00E60A0E" w:rsidP="002771BD">
      <w:pPr>
        <w:pStyle w:val="Styl1"/>
        <w:ind w:left="0" w:firstLine="0"/>
        <w:rPr>
          <w:b/>
          <w:sz w:val="20"/>
          <w:szCs w:val="20"/>
        </w:rPr>
      </w:pPr>
      <w:r>
        <w:t xml:space="preserve">K sporným otázkám se vyjádřil též zvláštní senát </w:t>
      </w:r>
      <w:r w:rsidRPr="004A64CF">
        <w:rPr>
          <w:rStyle w:val="textcolumn"/>
        </w:rPr>
        <w:t>zřízen</w:t>
      </w:r>
      <w:r>
        <w:rPr>
          <w:rStyle w:val="textcolumn"/>
        </w:rPr>
        <w:t>ý</w:t>
      </w:r>
      <w:r w:rsidRPr="004A64CF">
        <w:rPr>
          <w:rStyle w:val="textcolumn"/>
        </w:rPr>
        <w:t xml:space="preserve"> podle zákona č. 131/2002 Sb., </w:t>
      </w:r>
      <w:r w:rsidR="00BB3162" w:rsidRPr="004A64CF">
        <w:rPr>
          <w:rStyle w:val="textcolumn"/>
        </w:rPr>
        <w:t>o</w:t>
      </w:r>
      <w:r w:rsidR="00BB3162">
        <w:rPr>
          <w:rStyle w:val="textcolumn"/>
        </w:rPr>
        <w:t> </w:t>
      </w:r>
      <w:r w:rsidRPr="004A64CF">
        <w:rPr>
          <w:rStyle w:val="textcolumn"/>
        </w:rPr>
        <w:t>rozhodování některých kompetenčních sporů</w:t>
      </w:r>
      <w:r>
        <w:rPr>
          <w:rStyle w:val="textcolumn"/>
        </w:rPr>
        <w:t xml:space="preserve">. </w:t>
      </w:r>
      <w:r w:rsidR="002771BD">
        <w:rPr>
          <w:rStyle w:val="textcolumn"/>
        </w:rPr>
        <w:t>V</w:t>
      </w:r>
      <w:r w:rsidR="0001761E">
        <w:rPr>
          <w:rStyle w:val="textcolumn"/>
        </w:rPr>
        <w:t xml:space="preserve">e shora cit. věci </w:t>
      </w:r>
      <w:r w:rsidR="0001761E" w:rsidRPr="0001761E">
        <w:rPr>
          <w:rStyle w:val="textcolumn"/>
        </w:rPr>
        <w:t>Konf 14/2019</w:t>
      </w:r>
      <w:r w:rsidR="0001761E">
        <w:rPr>
          <w:rStyle w:val="textcolumn"/>
        </w:rPr>
        <w:t xml:space="preserve">, </w:t>
      </w:r>
      <w:r w:rsidR="0001761E" w:rsidRPr="0083790D">
        <w:rPr>
          <w:i/>
        </w:rPr>
        <w:t>ATC industry trade moravia</w:t>
      </w:r>
      <w:r w:rsidR="0001761E">
        <w:t xml:space="preserve">, zvláštní senát posuzoval kompetenční spor mezi Českým telekomunikačním úřadem a  civilními soudy o to, </w:t>
      </w:r>
      <w:r w:rsidR="0083790D">
        <w:t xml:space="preserve">kdo měl rozhodovat požadavek obchodní společnosti na </w:t>
      </w:r>
      <w:r w:rsidR="0001761E">
        <w:t>náhrad</w:t>
      </w:r>
      <w:r w:rsidR="0083790D">
        <w:t>u</w:t>
      </w:r>
      <w:r w:rsidR="0001761E">
        <w:t xml:space="preserve"> škody po </w:t>
      </w:r>
      <w:r w:rsidR="0083790D">
        <w:t>České poště</w:t>
      </w:r>
      <w:r w:rsidR="0001761E">
        <w:t>.</w:t>
      </w:r>
      <w:r w:rsidR="0083790D">
        <w:t xml:space="preserve"> </w:t>
      </w:r>
      <w:r w:rsidR="002771BD">
        <w:t xml:space="preserve">Ani toto rozhodnutí zvláštního senátu však nesjednotilo judikaturu. Čtvrtý senát </w:t>
      </w:r>
      <w:r w:rsidR="002771BD" w:rsidRPr="002771BD">
        <w:t>ve věci 4 As 61/2019</w:t>
      </w:r>
      <w:r w:rsidR="002771BD">
        <w:t xml:space="preserve">, </w:t>
      </w:r>
      <w:r w:rsidR="002771BD" w:rsidRPr="00055ED4">
        <w:rPr>
          <w:i/>
        </w:rPr>
        <w:t>General Logistics Systems</w:t>
      </w:r>
      <w:r w:rsidR="002771BD" w:rsidRPr="002771BD">
        <w:t xml:space="preserve">, </w:t>
      </w:r>
      <w:r w:rsidR="002771BD">
        <w:t xml:space="preserve">totiž vyložil závěry zvláštního senátu restriktivně (viz bod </w:t>
      </w:r>
      <w:r w:rsidR="002771BD" w:rsidRPr="002771BD">
        <w:t>23</w:t>
      </w:r>
      <w:r w:rsidR="002771BD">
        <w:t xml:space="preserve"> rozsudku</w:t>
      </w:r>
      <w:r w:rsidR="00173DC4">
        <w:t>,</w:t>
      </w:r>
      <w:r w:rsidR="00DF6A3E">
        <w:t xml:space="preserve"> dle</w:t>
      </w:r>
      <w:r w:rsidR="002771BD">
        <w:t xml:space="preserve"> </w:t>
      </w:r>
      <w:r w:rsidR="00173DC4">
        <w:t>něhož</w:t>
      </w:r>
      <w:r w:rsidR="00DF6A3E">
        <w:t xml:space="preserve"> z</w:t>
      </w:r>
      <w:r w:rsidR="002771BD" w:rsidRPr="002771BD">
        <w:t xml:space="preserve">vláštní senát </w:t>
      </w:r>
      <w:r w:rsidR="002771BD" w:rsidRPr="00DF6A3E">
        <w:rPr>
          <w:iCs/>
        </w:rPr>
        <w:t>sice</w:t>
      </w:r>
      <w:r w:rsidR="002771BD" w:rsidRPr="002771BD">
        <w:rPr>
          <w:i/>
        </w:rPr>
        <w:t xml:space="preserve"> </w:t>
      </w:r>
      <w:r w:rsidR="00DF6A3E" w:rsidRPr="00DF6A3E">
        <w:rPr>
          <w:iCs/>
        </w:rPr>
        <w:t>„</w:t>
      </w:r>
      <w:r w:rsidR="002771BD" w:rsidRPr="002771BD">
        <w:rPr>
          <w:i/>
        </w:rPr>
        <w:t>dospěl k závěru, že je-li předmětem smlouvy poskytnutí poštovní služby, jedná se vždy o poštovní smlouvu podle 5 odst. 1 zákona o poštovních službách. Nicméně tento závěr byl učiněn ve sporu o příslušnost k rozhodnutí o právech</w:t>
      </w:r>
      <w:r w:rsidR="007940CC">
        <w:rPr>
          <w:i/>
        </w:rPr>
        <w:t xml:space="preserve"> a povinnostech vyplývajících z </w:t>
      </w:r>
      <w:r w:rsidR="002771BD" w:rsidRPr="002771BD">
        <w:rPr>
          <w:i/>
        </w:rPr>
        <w:t>poštovní smlouvy, které mají souvislost s reklamovanou poštovní službou, když tu navíc měla poskytnout Česká pošta, což byl v rozhodné době jediný určený poskytovatel všeobecných poštovních služeb. V tomto judikátu proto ani nebyla řešena otázka, zda se poštovní směrnice vztahuje i na ostatní poskytovatele poštovních služeb ve smyslu poštovní směrnice</w:t>
      </w:r>
      <w:r w:rsidR="002771BD" w:rsidRPr="002771BD">
        <w:t>.“</w:t>
      </w:r>
      <w:r w:rsidR="00804B45">
        <w:t>).</w:t>
      </w:r>
    </w:p>
    <w:p w14:paraId="0D195B89" w14:textId="77777777" w:rsidR="00F17D3E" w:rsidRPr="00DA333E" w:rsidRDefault="00417EE1" w:rsidP="005204B0">
      <w:pPr>
        <w:pStyle w:val="Styl1"/>
        <w:ind w:left="0" w:firstLine="0"/>
      </w:pPr>
      <w:r>
        <w:t>N</w:t>
      </w:r>
      <w:r w:rsidR="00084E46">
        <w:t>ení sporné, že všechny předložené</w:t>
      </w:r>
      <w:r w:rsidR="005204B0" w:rsidRPr="00DA333E">
        <w:t xml:space="preserve"> otázk</w:t>
      </w:r>
      <w:r w:rsidR="00084E46">
        <w:t>y</w:t>
      </w:r>
      <w:r w:rsidR="005204B0" w:rsidRPr="00DA333E">
        <w:t xml:space="preserve"> j</w:t>
      </w:r>
      <w:r w:rsidR="00084E46">
        <w:t>sou</w:t>
      </w:r>
      <w:r w:rsidR="005204B0" w:rsidRPr="00DA333E">
        <w:t xml:space="preserve"> významn</w:t>
      </w:r>
      <w:r w:rsidR="00084E46">
        <w:t>é</w:t>
      </w:r>
      <w:r w:rsidR="005204B0" w:rsidRPr="00DA333E">
        <w:t xml:space="preserve"> pro řešení posuzované kauzy. </w:t>
      </w:r>
    </w:p>
    <w:p w14:paraId="20D94AEC" w14:textId="77777777" w:rsidR="005204B0" w:rsidRPr="00DA333E" w:rsidRDefault="005204B0" w:rsidP="005204B0">
      <w:pPr>
        <w:pStyle w:val="Styl1"/>
        <w:ind w:left="0" w:firstLine="0"/>
      </w:pPr>
      <w:r w:rsidRPr="00DA333E">
        <w:t>Pravomoc rozšířeného senátu je tedy dána.</w:t>
      </w:r>
    </w:p>
    <w:p w14:paraId="4B1C0365" w14:textId="77777777" w:rsidR="005C4056" w:rsidRPr="00DA333E" w:rsidRDefault="005C4056" w:rsidP="00A76005">
      <w:pPr>
        <w:pStyle w:val="Styl1"/>
        <w:numPr>
          <w:ilvl w:val="0"/>
          <w:numId w:val="0"/>
        </w:numPr>
        <w:ind w:left="360" w:hanging="360"/>
        <w:jc w:val="center"/>
        <w:rPr>
          <w:b/>
          <w:bCs/>
        </w:rPr>
      </w:pPr>
    </w:p>
    <w:p w14:paraId="0CBB145C" w14:textId="77777777" w:rsidR="00A76005" w:rsidRDefault="00084E46" w:rsidP="007940CC">
      <w:pPr>
        <w:pStyle w:val="Styl1"/>
        <w:numPr>
          <w:ilvl w:val="0"/>
          <w:numId w:val="0"/>
        </w:numPr>
        <w:spacing w:before="0" w:after="0"/>
        <w:ind w:left="360" w:hanging="360"/>
        <w:jc w:val="center"/>
        <w:rPr>
          <w:b/>
          <w:bCs/>
          <w:i/>
          <w:iCs/>
        </w:rPr>
      </w:pPr>
      <w:r>
        <w:rPr>
          <w:b/>
          <w:bCs/>
        </w:rPr>
        <w:t>IV</w:t>
      </w:r>
      <w:r w:rsidR="00CD5ABA" w:rsidRPr="00DA333E">
        <w:rPr>
          <w:b/>
          <w:bCs/>
        </w:rPr>
        <w:t xml:space="preserve">. 2. </w:t>
      </w:r>
      <w:r w:rsidR="00CD5ABA" w:rsidRPr="00DA333E">
        <w:rPr>
          <w:b/>
          <w:bCs/>
          <w:i/>
          <w:iCs/>
        </w:rPr>
        <w:t>Právní názor rozšířeného senátu</w:t>
      </w:r>
    </w:p>
    <w:p w14:paraId="6B53E869" w14:textId="77777777" w:rsidR="007940CC" w:rsidRDefault="007940CC" w:rsidP="007940CC">
      <w:pPr>
        <w:pStyle w:val="Styl1"/>
        <w:numPr>
          <w:ilvl w:val="0"/>
          <w:numId w:val="0"/>
        </w:numPr>
        <w:spacing w:before="0" w:after="0"/>
        <w:ind w:left="360" w:hanging="360"/>
        <w:jc w:val="center"/>
        <w:rPr>
          <w:b/>
          <w:bCs/>
          <w:i/>
          <w:iCs/>
        </w:rPr>
      </w:pPr>
    </w:p>
    <w:p w14:paraId="0008B8A9" w14:textId="0DD27E44" w:rsidR="001E23CD" w:rsidRDefault="001E23CD" w:rsidP="007940CC">
      <w:pPr>
        <w:pStyle w:val="Styl1"/>
        <w:spacing w:before="0" w:after="0"/>
        <w:ind w:left="0" w:firstLine="0"/>
      </w:pPr>
      <w:r>
        <w:t>Z</w:t>
      </w:r>
      <w:r w:rsidRPr="00184926">
        <w:t>ákon č.</w:t>
      </w:r>
      <w:r>
        <w:t> </w:t>
      </w:r>
      <w:r w:rsidRPr="00184926">
        <w:t>29/2000 Sb., o poštovních službách</w:t>
      </w:r>
      <w:r>
        <w:t>, k</w:t>
      </w:r>
      <w:r w:rsidR="007940CC">
        <w:t>terý vstoupil v účinnost dne 1. 7. </w:t>
      </w:r>
      <w:r>
        <w:t xml:space="preserve">2000, zrušil a nahradil v té době již beznadějně zastaralý </w:t>
      </w:r>
      <w:r w:rsidRPr="002771BD">
        <w:t>zákon č. 222/1946 Sb., o poště (poštovní zákon)</w:t>
      </w:r>
      <w:r>
        <w:t>. Důvodová zpráva k vládnímu návrhu zákona o poštovních službách ze dne 26. 5. 1999 (tisk č. 248, dostupný v digitálním repozitáři Poslanecké s</w:t>
      </w:r>
      <w:r w:rsidR="007940CC">
        <w:t>němovny PČR) k tomu uváděla, že </w:t>
      </w:r>
      <w:r w:rsidR="00000E06">
        <w:t>úkolem</w:t>
      </w:r>
      <w:r>
        <w:t xml:space="preserve"> nového zákona je začlenit </w:t>
      </w:r>
      <w:r w:rsidR="00417EE1">
        <w:t xml:space="preserve">poštovní </w:t>
      </w:r>
      <w:r>
        <w:t>služb</w:t>
      </w:r>
      <w:r w:rsidR="00000E06">
        <w:t>y</w:t>
      </w:r>
      <w:r>
        <w:t xml:space="preserve"> do tržního hospodářství. Oblast pošty byla totiž za socialismu značně deformována. </w:t>
      </w:r>
      <w:r w:rsidRPr="00000E06">
        <w:rPr>
          <w:iCs/>
        </w:rPr>
        <w:t>Pošta byla pojímána jako úřad, pojetí poštovních služeb jako podnikatelské činnosti bylo potlačeno.</w:t>
      </w:r>
      <w:r>
        <w:t xml:space="preserve"> Praxe ukázala, že pošta jako úřad nedokáže optimálním způsobem uspokojit potřeby veřejnosti. Zatímco podn</w:t>
      </w:r>
      <w:r w:rsidR="007940CC">
        <w:t>ikatel musí vycházet z toho, co </w:t>
      </w:r>
      <w:r>
        <w:t xml:space="preserve">jeho zákazníci </w:t>
      </w:r>
      <w:r w:rsidRPr="00E10124">
        <w:rPr>
          <w:i/>
        </w:rPr>
        <w:t>potřebují</w:t>
      </w:r>
      <w:r>
        <w:t xml:space="preserve">, úřad </w:t>
      </w:r>
      <w:r w:rsidR="00CA2A50">
        <w:t xml:space="preserve">rozhoduje </w:t>
      </w:r>
      <w:r>
        <w:t xml:space="preserve">o tom, co podle jeho názoru </w:t>
      </w:r>
      <w:r w:rsidRPr="00E10124">
        <w:rPr>
          <w:i/>
        </w:rPr>
        <w:t>mají potřebovat</w:t>
      </w:r>
      <w:r>
        <w:t xml:space="preserve">. Nežádoucí nadřazenost </w:t>
      </w:r>
      <w:r w:rsidR="00E10124">
        <w:t>pošty (</w:t>
      </w:r>
      <w:r>
        <w:t>úřadu</w:t>
      </w:r>
      <w:r w:rsidR="00E10124">
        <w:t>)</w:t>
      </w:r>
      <w:r>
        <w:t xml:space="preserve"> nad občanem se v praxi projevila i systémovým podceňováním kvality poskytovaných služeb. Podle starého poštovního zákona z roku 1946 poskytování poštovních služeb nebylo živností, ale činností státní správy. Ovšem podle živnostenských předpisů </w:t>
      </w:r>
      <w:r w:rsidR="00CA2A50">
        <w:t xml:space="preserve">devadesátých </w:t>
      </w:r>
      <w:r>
        <w:t xml:space="preserve">let však bylo poskytování poštovních služeb </w:t>
      </w:r>
      <w:r w:rsidR="007940CC">
        <w:t>považováno za živnost s tím, že </w:t>
      </w:r>
      <w:r>
        <w:t>živností není pouze dodávání písemností. Jak upozornil navrhovatel zákona, takové dělení bylo „</w:t>
      </w:r>
      <w:r w:rsidRPr="00000E06">
        <w:rPr>
          <w:i/>
        </w:rPr>
        <w:t>nereálné, protože o tom, zda je obsahem poštovní zásilky písemnost či jiná věc, pošta s ohledem na poštovní tajemství neví. Pak ale nemá možnost zjistit, zda jí zajišťované dodání určité poštovní zásilky je či není živností</w:t>
      </w:r>
      <w:r>
        <w:t>.“</w:t>
      </w:r>
    </w:p>
    <w:p w14:paraId="69A0D773" w14:textId="4AA45C86" w:rsidR="001E23CD" w:rsidRPr="00735B40" w:rsidRDefault="001E23CD" w:rsidP="001E23CD">
      <w:pPr>
        <w:pStyle w:val="Styl1"/>
        <w:ind w:left="0" w:firstLine="0"/>
        <w:rPr>
          <w:rFonts w:eastAsia="Calibri"/>
          <w:lang w:eastAsia="en-US"/>
        </w:rPr>
      </w:pPr>
      <w:r>
        <w:t>Kritizován byl v důvodové zprávě k novému zákonu též monopol pošty na dodávání písemností (tzv. poštovní výhrada), který byl „</w:t>
      </w:r>
      <w:r w:rsidRPr="00735B40">
        <w:rPr>
          <w:i/>
        </w:rPr>
        <w:t>neúměrně velký</w:t>
      </w:r>
      <w:r>
        <w:t>“</w:t>
      </w:r>
      <w:r w:rsidR="00CA2A50">
        <w:t>.</w:t>
      </w:r>
      <w:r>
        <w:t xml:space="preserve"> Legislativní stav před červencem 2000 bránil „</w:t>
      </w:r>
      <w:r w:rsidRPr="00735B40">
        <w:rPr>
          <w:i/>
        </w:rPr>
        <w:t>žádoucímu rozvoji konkurence. I když oblast pošty nelze zcela přenechat trhu, její co největší rozvoj v řadě služeb je velmi žádoucí. Rozvoji konkurence brání jednak zbytečně velký zákonný monopol pošty, jednak to, že zvláštní právní režim nezbytný při poskytování poštovních služeb je určen výhradně jen pro poštu</w:t>
      </w:r>
      <w:r>
        <w:t xml:space="preserve">.“ Legislativní pojetí zákona z roku 1946 bylo též neslučitelné s </w:t>
      </w:r>
      <w:r w:rsidR="00F30D26">
        <w:t xml:space="preserve">(budoucím) </w:t>
      </w:r>
      <w:r>
        <w:t>členstvím ČR v EU. Neodpovídalo ani tomu, jak je tato oblast upravena v dalších zemích.</w:t>
      </w:r>
    </w:p>
    <w:p w14:paraId="5A764F7D" w14:textId="773B3A1F" w:rsidR="001E23CD" w:rsidRDefault="001E23CD" w:rsidP="001E23CD">
      <w:pPr>
        <w:pStyle w:val="Styl1"/>
        <w:ind w:left="0" w:firstLine="0"/>
        <w:rPr>
          <w:rFonts w:eastAsia="Calibri"/>
          <w:lang w:eastAsia="en-US"/>
        </w:rPr>
      </w:pPr>
      <w:r w:rsidRPr="00735B40">
        <w:rPr>
          <w:rFonts w:eastAsia="Calibri"/>
          <w:lang w:eastAsia="en-US"/>
        </w:rPr>
        <w:t xml:space="preserve">Nový zákon o poštovních službách vycházel z toho, že </w:t>
      </w:r>
      <w:r w:rsidR="007940CC">
        <w:rPr>
          <w:rFonts w:eastAsia="Calibri"/>
          <w:lang w:eastAsia="en-US"/>
        </w:rPr>
        <w:t>pošta nebude nadále úřadem, ale </w:t>
      </w:r>
      <w:r w:rsidRPr="00735B40">
        <w:rPr>
          <w:rFonts w:eastAsia="Calibri"/>
          <w:lang w:eastAsia="en-US"/>
        </w:rPr>
        <w:t>„</w:t>
      </w:r>
      <w:r w:rsidRPr="00735B40">
        <w:rPr>
          <w:rFonts w:eastAsia="Calibri"/>
          <w:i/>
          <w:lang w:eastAsia="en-US"/>
        </w:rPr>
        <w:t xml:space="preserve">ekonomickým subjektem </w:t>
      </w:r>
      <w:r w:rsidR="00CA2A50">
        <w:rPr>
          <w:rFonts w:eastAsia="Calibri"/>
          <w:i/>
          <w:lang w:eastAsia="en-US"/>
        </w:rPr>
        <w:t>–</w:t>
      </w:r>
      <w:r w:rsidRPr="00735B40">
        <w:rPr>
          <w:rFonts w:eastAsia="Calibri"/>
          <w:i/>
          <w:lang w:eastAsia="en-US"/>
        </w:rPr>
        <w:t xml:space="preserve"> podnikem poskytujícím služby na ekonomickém základě</w:t>
      </w:r>
      <w:r w:rsidRPr="00735B40">
        <w:rPr>
          <w:rFonts w:eastAsia="Calibri"/>
          <w:lang w:eastAsia="en-US"/>
        </w:rPr>
        <w:t>“</w:t>
      </w:r>
      <w:r w:rsidR="00CA2A50">
        <w:rPr>
          <w:rFonts w:eastAsia="Calibri"/>
          <w:lang w:eastAsia="en-US"/>
        </w:rPr>
        <w:t>.</w:t>
      </w:r>
      <w:r w:rsidRPr="00735B40">
        <w:rPr>
          <w:rFonts w:eastAsia="Calibri"/>
          <w:lang w:eastAsia="en-US"/>
        </w:rPr>
        <w:t xml:space="preserve"> Zatímco starý zákon vymezoval zvláštní povahu pošty, nový zákon upravil zvláštní povahu služeb, které pošta poskytuje. Nový zákon též převedl poskytování poštovních služeb z předchozí úpravy veřejnoprávní do úpravy soukromoprávní. </w:t>
      </w:r>
      <w:r>
        <w:rPr>
          <w:rFonts w:eastAsia="Calibri"/>
          <w:lang w:eastAsia="en-US"/>
        </w:rPr>
        <w:t xml:space="preserve">Tím formálně otevřel </w:t>
      </w:r>
      <w:r w:rsidR="007940CC">
        <w:rPr>
          <w:rFonts w:eastAsia="Calibri"/>
          <w:lang w:eastAsia="en-US"/>
        </w:rPr>
        <w:t>provozování poštovních služeb i </w:t>
      </w:r>
      <w:r>
        <w:rPr>
          <w:rFonts w:eastAsia="Calibri"/>
          <w:lang w:eastAsia="en-US"/>
        </w:rPr>
        <w:t xml:space="preserve">pro provozovatele odlišné od České pošty. </w:t>
      </w:r>
      <w:r w:rsidRPr="00735B40">
        <w:rPr>
          <w:rFonts w:eastAsia="Calibri"/>
          <w:lang w:eastAsia="en-US"/>
        </w:rPr>
        <w:t xml:space="preserve">Poskytování poštovních služeb se děje </w:t>
      </w:r>
      <w:r>
        <w:rPr>
          <w:rFonts w:eastAsia="Calibri"/>
          <w:lang w:eastAsia="en-US"/>
        </w:rPr>
        <w:t xml:space="preserve">od roku 2000 </w:t>
      </w:r>
      <w:r w:rsidRPr="00735B40">
        <w:rPr>
          <w:rFonts w:eastAsia="Calibri"/>
          <w:lang w:eastAsia="en-US"/>
        </w:rPr>
        <w:t xml:space="preserve">na základě smlouvy uzavřené mezi provozovatelem a jeho zákazníkem. </w:t>
      </w:r>
      <w:r>
        <w:rPr>
          <w:rFonts w:eastAsia="Calibri"/>
          <w:lang w:eastAsia="en-US"/>
        </w:rPr>
        <w:t xml:space="preserve">Nový zákon směřoval k tomu otevřít </w:t>
      </w:r>
      <w:r w:rsidRPr="00735B40">
        <w:rPr>
          <w:rFonts w:eastAsia="Calibri"/>
          <w:lang w:eastAsia="en-US"/>
        </w:rPr>
        <w:t xml:space="preserve">poštovní služby </w:t>
      </w:r>
      <w:r>
        <w:rPr>
          <w:rFonts w:eastAsia="Calibri"/>
          <w:lang w:eastAsia="en-US"/>
        </w:rPr>
        <w:t xml:space="preserve">pro konkurenci, současně však </w:t>
      </w:r>
      <w:r w:rsidR="00C00609">
        <w:rPr>
          <w:rFonts w:eastAsia="Calibri"/>
          <w:lang w:eastAsia="en-US"/>
        </w:rPr>
        <w:t xml:space="preserve">v roce 2000 </w:t>
      </w:r>
      <w:r>
        <w:rPr>
          <w:rFonts w:eastAsia="Calibri"/>
          <w:lang w:eastAsia="en-US"/>
        </w:rPr>
        <w:t xml:space="preserve">ještě zachoval </w:t>
      </w:r>
      <w:r w:rsidRPr="00735B40">
        <w:rPr>
          <w:rFonts w:eastAsia="Calibri"/>
          <w:lang w:eastAsia="en-US"/>
        </w:rPr>
        <w:t>zvláštní ekonomické postavení</w:t>
      </w:r>
      <w:r w:rsidR="00D200E8">
        <w:rPr>
          <w:rFonts w:eastAsia="Calibri"/>
          <w:lang w:eastAsia="en-US"/>
        </w:rPr>
        <w:t xml:space="preserve"> České pošty, s. </w:t>
      </w:r>
      <w:r>
        <w:rPr>
          <w:rFonts w:eastAsia="Calibri"/>
          <w:lang w:eastAsia="en-US"/>
        </w:rPr>
        <w:t>p., a to</w:t>
      </w:r>
      <w:r w:rsidRPr="00735B40">
        <w:rPr>
          <w:rFonts w:eastAsia="Calibri"/>
          <w:lang w:eastAsia="en-US"/>
        </w:rPr>
        <w:t xml:space="preserve"> </w:t>
      </w:r>
      <w:r>
        <w:rPr>
          <w:rFonts w:eastAsia="Calibri"/>
          <w:lang w:eastAsia="en-US"/>
        </w:rPr>
        <w:t>„</w:t>
      </w:r>
      <w:r w:rsidRPr="00B53AB1">
        <w:rPr>
          <w:rFonts w:eastAsia="Calibri"/>
          <w:i/>
          <w:lang w:eastAsia="en-US"/>
        </w:rPr>
        <w:t>poskytnutím částečného monopolu na dodávání písemností</w:t>
      </w:r>
      <w:r w:rsidRPr="00735B40">
        <w:rPr>
          <w:rFonts w:eastAsia="Calibri"/>
          <w:lang w:eastAsia="en-US"/>
        </w:rPr>
        <w:t>.</w:t>
      </w:r>
      <w:r>
        <w:rPr>
          <w:rFonts w:eastAsia="Calibri"/>
          <w:lang w:eastAsia="en-US"/>
        </w:rPr>
        <w:t>“</w:t>
      </w:r>
    </w:p>
    <w:p w14:paraId="07D4476E" w14:textId="25DF107E" w:rsidR="001E23CD" w:rsidRPr="001E23CD" w:rsidRDefault="001E23CD" w:rsidP="001E23CD">
      <w:pPr>
        <w:pStyle w:val="Styl1"/>
        <w:ind w:left="0" w:firstLine="0"/>
        <w:rPr>
          <w:rFonts w:eastAsia="Calibri"/>
          <w:lang w:eastAsia="en-US"/>
        </w:rPr>
      </w:pPr>
      <w:r w:rsidRPr="001E23CD">
        <w:rPr>
          <w:rFonts w:eastAsia="Calibri"/>
          <w:lang w:eastAsia="en-US"/>
        </w:rPr>
        <w:t xml:space="preserve">Zákon o poštovních službách má dvě hlavní části: soukromoprávní a veřejnoprávní. </w:t>
      </w:r>
      <w:r w:rsidR="00A02A74" w:rsidRPr="001E23CD">
        <w:rPr>
          <w:rFonts w:eastAsia="Calibri"/>
          <w:lang w:eastAsia="en-US"/>
        </w:rPr>
        <w:t>V</w:t>
      </w:r>
      <w:r w:rsidR="00A02A74">
        <w:rPr>
          <w:rFonts w:eastAsia="Calibri"/>
          <w:lang w:eastAsia="en-US"/>
        </w:rPr>
        <w:t> </w:t>
      </w:r>
      <w:r w:rsidRPr="001E23CD">
        <w:rPr>
          <w:rFonts w:eastAsia="Calibri"/>
          <w:lang w:eastAsia="en-US"/>
        </w:rPr>
        <w:t>soukromoprávní části podrobně upravuje smlouv</w:t>
      </w:r>
      <w:r w:rsidR="00A02A74">
        <w:rPr>
          <w:rFonts w:eastAsia="Calibri"/>
          <w:lang w:eastAsia="en-US"/>
        </w:rPr>
        <w:t>u</w:t>
      </w:r>
      <w:r w:rsidRPr="001E23CD">
        <w:rPr>
          <w:rFonts w:eastAsia="Calibri"/>
          <w:lang w:eastAsia="en-US"/>
        </w:rPr>
        <w:t xml:space="preserve"> o poštovní službě jako zvláštní smluvní typ (s tím, že pouze v některých podrobnostech platí subsidiárně obecná ustanovení občanského zákoníku). Veřejnoprávní část se zabývá zajištěním nejdůležitějších poštovních služeb (tzv. základní služby) tak, aby byly kvalitní a aby byly všeobecně dostupné na celém</w:t>
      </w:r>
      <w:r>
        <w:rPr>
          <w:rFonts w:eastAsia="Calibri"/>
          <w:lang w:eastAsia="en-US"/>
        </w:rPr>
        <w:t xml:space="preserve"> českém </w:t>
      </w:r>
      <w:r w:rsidRPr="001E23CD">
        <w:rPr>
          <w:rFonts w:eastAsia="Calibri"/>
          <w:lang w:eastAsia="en-US"/>
        </w:rPr>
        <w:t>území</w:t>
      </w:r>
      <w:r>
        <w:rPr>
          <w:rFonts w:eastAsia="Calibri"/>
          <w:lang w:eastAsia="en-US"/>
        </w:rPr>
        <w:t>.</w:t>
      </w:r>
    </w:p>
    <w:p w14:paraId="75C4F257" w14:textId="137F210C" w:rsidR="001E23CD" w:rsidRPr="005911F8" w:rsidRDefault="001E23CD" w:rsidP="001E23CD">
      <w:pPr>
        <w:pStyle w:val="Styl1"/>
        <w:ind w:left="0" w:firstLine="0"/>
        <w:rPr>
          <w:rFonts w:eastAsia="Calibri"/>
          <w:lang w:eastAsia="en-US"/>
        </w:rPr>
      </w:pPr>
      <w:r w:rsidRPr="005911F8">
        <w:rPr>
          <w:rFonts w:eastAsia="Calibri"/>
          <w:lang w:eastAsia="en-US"/>
        </w:rPr>
        <w:t>V následujících letech byl zákon o poštovních slu</w:t>
      </w:r>
      <w:r w:rsidR="00D200E8">
        <w:rPr>
          <w:rFonts w:eastAsia="Calibri"/>
          <w:lang w:eastAsia="en-US"/>
        </w:rPr>
        <w:t>žbách opakovaně novelizován. Po </w:t>
      </w:r>
      <w:r w:rsidRPr="005911F8">
        <w:rPr>
          <w:rFonts w:eastAsia="Calibri"/>
          <w:lang w:eastAsia="en-US"/>
        </w:rPr>
        <w:t>vstupu ČR do EU v roce 2004 zákonodárce reagoval na potřebu přizpůsobit český zákon požadavkům poštovní směrnice. Česk</w:t>
      </w:r>
      <w:r w:rsidR="005911F8" w:rsidRPr="00B94877">
        <w:rPr>
          <w:rFonts w:eastAsia="Calibri"/>
          <w:lang w:eastAsia="en-US"/>
        </w:rPr>
        <w:t>á republika</w:t>
      </w:r>
      <w:r w:rsidRPr="005911F8">
        <w:rPr>
          <w:rFonts w:eastAsia="Calibri"/>
          <w:lang w:eastAsia="en-US"/>
        </w:rPr>
        <w:t xml:space="preserve"> mělo povinnost plně liberalizovat poštovní trh nejpozději do 31. 12. 2012, neboť využilo možnosti podle čl. 3 třetí poštovní směrnice</w:t>
      </w:r>
      <w:r w:rsidR="00F30D26" w:rsidRPr="005911F8">
        <w:rPr>
          <w:rStyle w:val="Znakapoznpodarou"/>
          <w:rFonts w:eastAsia="Calibri"/>
          <w:lang w:eastAsia="en-US"/>
        </w:rPr>
        <w:footnoteReference w:customMarkFollows="1" w:id="4"/>
        <w:sym w:font="Symbol" w:char="F02A"/>
      </w:r>
      <w:r w:rsidR="00F30D26" w:rsidRPr="005911F8">
        <w:rPr>
          <w:rStyle w:val="Znakapoznpodarou"/>
          <w:rFonts w:eastAsia="Calibri"/>
          <w:lang w:eastAsia="en-US"/>
        </w:rPr>
        <w:sym w:font="Symbol" w:char="F02A"/>
      </w:r>
      <w:r w:rsidR="00F30D26" w:rsidRPr="005911F8">
        <w:rPr>
          <w:rStyle w:val="Znakapoznpodarou"/>
          <w:rFonts w:eastAsia="Calibri"/>
          <w:lang w:eastAsia="en-US"/>
        </w:rPr>
        <w:sym w:font="Symbol" w:char="F02A"/>
      </w:r>
      <w:r w:rsidRPr="005911F8">
        <w:rPr>
          <w:rFonts w:eastAsia="Calibri"/>
          <w:lang w:eastAsia="en-US"/>
        </w:rPr>
        <w:t xml:space="preserve"> odložit provádění této směrnice do tohoto data. K plné liberalizaci poštovního trhu došlo tzv. „liberalizační“ novelou č.</w:t>
      </w:r>
      <w:r w:rsidR="00F30D26" w:rsidRPr="005911F8">
        <w:rPr>
          <w:rFonts w:eastAsia="Calibri"/>
          <w:lang w:eastAsia="en-US"/>
        </w:rPr>
        <w:t> </w:t>
      </w:r>
      <w:r w:rsidRPr="005911F8">
        <w:rPr>
          <w:rFonts w:eastAsia="Calibri"/>
          <w:lang w:eastAsia="en-US"/>
        </w:rPr>
        <w:t>221/2012 Sb. (s účinností od 1. 1. 2013), v jejímž světle je nutno také nahlížet</w:t>
      </w:r>
      <w:r w:rsidR="00CA2A50" w:rsidRPr="005911F8">
        <w:rPr>
          <w:rFonts w:eastAsia="Calibri"/>
          <w:lang w:eastAsia="en-US"/>
        </w:rPr>
        <w:t xml:space="preserve"> na</w:t>
      </w:r>
      <w:r w:rsidRPr="005911F8">
        <w:rPr>
          <w:rFonts w:eastAsia="Calibri"/>
          <w:lang w:eastAsia="en-US"/>
        </w:rPr>
        <w:t xml:space="preserve"> nynější případ. Tato novela od roku 2013 otevřela trh s nejmenšími poštovními zásilkami, tedy odebrala České poště do roku 2012 </w:t>
      </w:r>
      <w:r w:rsidR="00F30D26" w:rsidRPr="005911F8">
        <w:rPr>
          <w:rFonts w:eastAsia="Calibri"/>
          <w:lang w:eastAsia="en-US"/>
        </w:rPr>
        <w:t>existující</w:t>
      </w:r>
      <w:r w:rsidRPr="005911F8">
        <w:rPr>
          <w:rFonts w:eastAsia="Calibri"/>
          <w:lang w:eastAsia="en-US"/>
        </w:rPr>
        <w:t xml:space="preserve"> monopol v této oblasti. </w:t>
      </w:r>
    </w:p>
    <w:p w14:paraId="1F91FA54" w14:textId="77777777" w:rsidR="00C65057" w:rsidRDefault="00C65057" w:rsidP="00C65057">
      <w:pPr>
        <w:pStyle w:val="Styl1"/>
        <w:numPr>
          <w:ilvl w:val="0"/>
          <w:numId w:val="0"/>
        </w:numPr>
        <w:rPr>
          <w:rFonts w:eastAsia="Calibri"/>
          <w:lang w:eastAsia="en-US"/>
        </w:rPr>
      </w:pPr>
    </w:p>
    <w:p w14:paraId="3E3D32C5" w14:textId="77777777" w:rsidR="00C65057" w:rsidRPr="00DA333E" w:rsidRDefault="00C65057" w:rsidP="00C31B13">
      <w:pPr>
        <w:pStyle w:val="Styl1"/>
        <w:numPr>
          <w:ilvl w:val="0"/>
          <w:numId w:val="0"/>
        </w:numPr>
        <w:jc w:val="center"/>
        <w:rPr>
          <w:rFonts w:eastAsia="Calibri"/>
          <w:i/>
          <w:iCs/>
          <w:lang w:eastAsia="en-US"/>
        </w:rPr>
      </w:pPr>
      <w:r w:rsidRPr="00DA333E">
        <w:rPr>
          <w:rFonts w:eastAsia="Calibri"/>
          <w:lang w:eastAsia="en-US"/>
        </w:rPr>
        <w:t>I</w:t>
      </w:r>
      <w:r>
        <w:rPr>
          <w:rFonts w:eastAsia="Calibri"/>
          <w:lang w:eastAsia="en-US"/>
        </w:rPr>
        <w:t>V</w:t>
      </w:r>
      <w:r w:rsidRPr="00DA333E">
        <w:rPr>
          <w:rFonts w:eastAsia="Calibri"/>
          <w:lang w:eastAsia="en-US"/>
        </w:rPr>
        <w:t xml:space="preserve">. 2. </w:t>
      </w:r>
      <w:r>
        <w:rPr>
          <w:rFonts w:eastAsia="Calibri"/>
          <w:lang w:eastAsia="en-US"/>
        </w:rPr>
        <w:t>A</w:t>
      </w:r>
      <w:r w:rsidRPr="00DA333E">
        <w:rPr>
          <w:rFonts w:eastAsia="Calibri"/>
          <w:lang w:eastAsia="en-US"/>
        </w:rPr>
        <w:t xml:space="preserve">. </w:t>
      </w:r>
      <w:r w:rsidRPr="00B77AED">
        <w:rPr>
          <w:rFonts w:eastAsia="Calibri"/>
          <w:i/>
          <w:lang w:eastAsia="en-US"/>
        </w:rPr>
        <w:t>Definice poštovní služby uvedená v zákoně o poštovních službách ve znění účinném do 14. 4. 2020 byla dostatečně určitá</w:t>
      </w:r>
    </w:p>
    <w:p w14:paraId="4CD189A1" w14:textId="52BD408F" w:rsidR="00C65057" w:rsidRPr="00B77AED" w:rsidRDefault="00C65057" w:rsidP="00C65057">
      <w:pPr>
        <w:pStyle w:val="Styl1"/>
        <w:ind w:left="0" w:firstLine="0"/>
        <w:rPr>
          <w:rFonts w:eastAsia="Calibri"/>
          <w:lang w:eastAsia="en-US"/>
        </w:rPr>
      </w:pPr>
      <w:r w:rsidRPr="00B77AED">
        <w:rPr>
          <w:rFonts w:eastAsia="Calibri" w:cs="Arial"/>
          <w:lang w:eastAsia="en-US"/>
        </w:rPr>
        <w:t xml:space="preserve">První senát </w:t>
      </w:r>
      <w:r w:rsidRPr="00B77AED">
        <w:rPr>
          <w:rFonts w:eastAsia="Calibri"/>
          <w:lang w:eastAsia="en-US"/>
        </w:rPr>
        <w:t>dospěl k závěru, že pro rozlišení, kdy určitý subjekt poskytuje poštovní službu (a je tedy pod dohledem Českého telekomunikačního úřadu)</w:t>
      </w:r>
      <w:r w:rsidR="00CA2A50">
        <w:rPr>
          <w:rFonts w:eastAsia="Calibri"/>
          <w:lang w:eastAsia="en-US"/>
        </w:rPr>
        <w:t>,</w:t>
      </w:r>
      <w:r w:rsidRPr="00B77AED">
        <w:rPr>
          <w:rFonts w:eastAsia="Calibri"/>
          <w:lang w:eastAsia="en-US"/>
        </w:rPr>
        <w:t xml:space="preserve"> a kdy službu zas</w:t>
      </w:r>
      <w:r w:rsidR="00F1240D">
        <w:rPr>
          <w:rFonts w:eastAsia="Calibri"/>
          <w:lang w:eastAsia="en-US"/>
        </w:rPr>
        <w:t>i</w:t>
      </w:r>
      <w:r w:rsidR="00D200E8">
        <w:rPr>
          <w:rFonts w:eastAsia="Calibri"/>
          <w:lang w:eastAsia="en-US"/>
        </w:rPr>
        <w:t>latelskou (a je pod </w:t>
      </w:r>
      <w:r w:rsidRPr="00B77AED">
        <w:rPr>
          <w:rFonts w:eastAsia="Calibri"/>
          <w:lang w:eastAsia="en-US"/>
        </w:rPr>
        <w:t>dohledem živnostenského úřadu),</w:t>
      </w:r>
      <w:r>
        <w:rPr>
          <w:rFonts w:eastAsia="Calibri"/>
          <w:lang w:eastAsia="en-US"/>
        </w:rPr>
        <w:t xml:space="preserve"> </w:t>
      </w:r>
      <w:r w:rsidRPr="00B77AED">
        <w:rPr>
          <w:rFonts w:eastAsia="Calibri"/>
          <w:lang w:eastAsia="en-US"/>
        </w:rPr>
        <w:t xml:space="preserve">neposkytuje </w:t>
      </w:r>
      <w:r>
        <w:rPr>
          <w:rFonts w:eastAsia="Calibri"/>
          <w:lang w:eastAsia="en-US"/>
        </w:rPr>
        <w:t xml:space="preserve">český </w:t>
      </w:r>
      <w:r w:rsidR="00D200E8">
        <w:rPr>
          <w:rFonts w:eastAsia="Calibri"/>
          <w:lang w:eastAsia="en-US"/>
        </w:rPr>
        <w:t>právní řád jednoznačnou a </w:t>
      </w:r>
      <w:r w:rsidRPr="00B77AED">
        <w:rPr>
          <w:rFonts w:eastAsia="Calibri"/>
          <w:lang w:eastAsia="en-US"/>
        </w:rPr>
        <w:t>předvídatelnou odpověď</w:t>
      </w:r>
      <w:r>
        <w:rPr>
          <w:rFonts w:eastAsia="Calibri"/>
          <w:lang w:eastAsia="en-US"/>
        </w:rPr>
        <w:t xml:space="preserve"> (</w:t>
      </w:r>
      <w:r w:rsidRPr="00B77AED">
        <w:rPr>
          <w:rFonts w:eastAsia="Calibri"/>
          <w:lang w:eastAsia="en-US"/>
        </w:rPr>
        <w:t xml:space="preserve">1 As 207/2017, </w:t>
      </w:r>
      <w:r w:rsidRPr="00B77AED">
        <w:rPr>
          <w:rFonts w:eastAsia="Calibri"/>
          <w:i/>
          <w:lang w:eastAsia="en-US"/>
        </w:rPr>
        <w:t>IN TIME SPEDICE</w:t>
      </w:r>
      <w:r w:rsidRPr="00B77AED">
        <w:rPr>
          <w:rFonts w:eastAsia="Calibri"/>
          <w:lang w:eastAsia="en-US"/>
        </w:rPr>
        <w:t>,</w:t>
      </w:r>
      <w:r>
        <w:rPr>
          <w:rFonts w:eastAsia="Calibri"/>
          <w:lang w:eastAsia="en-US"/>
        </w:rPr>
        <w:t xml:space="preserve"> bod 46)</w:t>
      </w:r>
      <w:r w:rsidRPr="00B77AED">
        <w:rPr>
          <w:rFonts w:eastAsia="Calibri"/>
          <w:lang w:eastAsia="en-US"/>
        </w:rPr>
        <w:t>.</w:t>
      </w:r>
      <w:r w:rsidRPr="00B77AED">
        <w:rPr>
          <w:rFonts w:eastAsia="Calibri" w:cs="Arial"/>
          <w:lang w:eastAsia="en-US"/>
        </w:rPr>
        <w:t xml:space="preserve"> </w:t>
      </w:r>
      <w:r>
        <w:rPr>
          <w:rFonts w:eastAsia="Calibri" w:cs="Arial"/>
          <w:lang w:eastAsia="en-US"/>
        </w:rPr>
        <w:t xml:space="preserve">Osmý senát s tímto názorem nesouhlasí a definici považuje za dostatečně určitou. </w:t>
      </w:r>
    </w:p>
    <w:p w14:paraId="1D99CC11" w14:textId="48FC0603" w:rsidR="00C65057" w:rsidRDefault="00C65057" w:rsidP="00C65057">
      <w:pPr>
        <w:pStyle w:val="Styl1"/>
        <w:ind w:left="0" w:firstLine="0"/>
        <w:rPr>
          <w:rFonts w:eastAsia="Calibri"/>
          <w:lang w:eastAsia="en-US"/>
        </w:rPr>
      </w:pPr>
      <w:r>
        <w:rPr>
          <w:rFonts w:eastAsia="Calibri" w:cs="Arial"/>
          <w:lang w:eastAsia="en-US"/>
        </w:rPr>
        <w:t>Rozšířený senát podotýká, že byť první senát svůj názor vyslovil ve věci správního trestání (správní</w:t>
      </w:r>
      <w:r w:rsidR="007F12FF">
        <w:rPr>
          <w:rFonts w:eastAsia="Calibri" w:cs="Arial"/>
          <w:lang w:eastAsia="en-US"/>
        </w:rPr>
        <w:t>ho</w:t>
      </w:r>
      <w:r>
        <w:rPr>
          <w:rFonts w:eastAsia="Calibri" w:cs="Arial"/>
          <w:lang w:eastAsia="en-US"/>
        </w:rPr>
        <w:t xml:space="preserve"> delikt</w:t>
      </w:r>
      <w:r w:rsidR="007F12FF">
        <w:rPr>
          <w:rFonts w:eastAsia="Calibri" w:cs="Arial"/>
          <w:lang w:eastAsia="en-US"/>
        </w:rPr>
        <w:t>u</w:t>
      </w:r>
      <w:r>
        <w:rPr>
          <w:rFonts w:eastAsia="Calibri" w:cs="Arial"/>
          <w:lang w:eastAsia="en-US"/>
        </w:rPr>
        <w:t xml:space="preserve"> podnikání a poskytování poštovních služeb bez oprávnění), jeho závěry přesahují oblast správního trestání. Ostatně pokud by definice poštovní služby byla nedostatečná</w:t>
      </w:r>
      <w:r w:rsidR="00CA2A50">
        <w:rPr>
          <w:rFonts w:eastAsia="Calibri" w:cs="Arial"/>
          <w:lang w:eastAsia="en-US"/>
        </w:rPr>
        <w:t>,</w:t>
      </w:r>
      <w:r>
        <w:rPr>
          <w:rFonts w:eastAsia="Calibri" w:cs="Arial"/>
          <w:lang w:eastAsia="en-US"/>
        </w:rPr>
        <w:t xml:space="preserve"> a proto by stěžovatel nemohl trestat např. ty, kteř</w:t>
      </w:r>
      <w:r w:rsidR="00D200E8">
        <w:rPr>
          <w:rFonts w:eastAsia="Calibri" w:cs="Arial"/>
          <w:lang w:eastAsia="en-US"/>
        </w:rPr>
        <w:t>í poskytují poštovní služby bez </w:t>
      </w:r>
      <w:r>
        <w:rPr>
          <w:rFonts w:eastAsia="Calibri" w:cs="Arial"/>
          <w:lang w:eastAsia="en-US"/>
        </w:rPr>
        <w:t xml:space="preserve">oprávnění, staly by se </w:t>
      </w:r>
      <w:r w:rsidR="00292B22">
        <w:rPr>
          <w:rFonts w:eastAsia="Calibri" w:cs="Arial"/>
          <w:lang w:eastAsia="en-US"/>
        </w:rPr>
        <w:t xml:space="preserve">další </w:t>
      </w:r>
      <w:r>
        <w:rPr>
          <w:rFonts w:eastAsia="Calibri" w:cs="Arial"/>
          <w:lang w:eastAsia="en-US"/>
        </w:rPr>
        <w:t xml:space="preserve">úvahy </w:t>
      </w:r>
      <w:r w:rsidR="00CA2A50">
        <w:rPr>
          <w:rFonts w:eastAsia="Calibri" w:cs="Arial"/>
          <w:lang w:eastAsia="en-US"/>
        </w:rPr>
        <w:t xml:space="preserve">rozšířeného senátu </w:t>
      </w:r>
      <w:r>
        <w:rPr>
          <w:rFonts w:eastAsia="Calibri" w:cs="Arial"/>
          <w:lang w:eastAsia="en-US"/>
        </w:rPr>
        <w:t>čistě akademick</w:t>
      </w:r>
      <w:r w:rsidR="009E6199">
        <w:rPr>
          <w:rFonts w:eastAsia="Calibri" w:cs="Arial"/>
          <w:lang w:eastAsia="en-US"/>
        </w:rPr>
        <w:t>ými</w:t>
      </w:r>
      <w:r w:rsidR="00CA2A50">
        <w:rPr>
          <w:rFonts w:eastAsia="Calibri" w:cs="Arial"/>
          <w:lang w:eastAsia="en-US"/>
        </w:rPr>
        <w:t xml:space="preserve"> (část </w:t>
      </w:r>
      <w:r w:rsidR="00CA2A50" w:rsidRPr="00C65057">
        <w:rPr>
          <w:rFonts w:eastAsia="Calibri" w:cs="Arial"/>
          <w:b/>
          <w:lang w:eastAsia="en-US"/>
        </w:rPr>
        <w:t>IV.</w:t>
      </w:r>
      <w:r w:rsidR="00CA2A50">
        <w:rPr>
          <w:rFonts w:eastAsia="Calibri" w:cs="Arial"/>
          <w:b/>
          <w:lang w:eastAsia="en-US"/>
        </w:rPr>
        <w:t> </w:t>
      </w:r>
      <w:r w:rsidR="00CA2A50" w:rsidRPr="00C65057">
        <w:rPr>
          <w:rFonts w:eastAsia="Calibri" w:cs="Arial"/>
          <w:b/>
          <w:lang w:eastAsia="en-US"/>
        </w:rPr>
        <w:t>2.</w:t>
      </w:r>
      <w:r w:rsidR="00CA2A50">
        <w:rPr>
          <w:rFonts w:eastAsia="Calibri" w:cs="Arial"/>
          <w:b/>
          <w:lang w:eastAsia="en-US"/>
        </w:rPr>
        <w:t> </w:t>
      </w:r>
      <w:r w:rsidR="00CA2A50" w:rsidRPr="00C65057">
        <w:rPr>
          <w:rFonts w:eastAsia="Calibri" w:cs="Arial"/>
          <w:b/>
          <w:lang w:eastAsia="en-US"/>
        </w:rPr>
        <w:t>B.</w:t>
      </w:r>
      <w:r w:rsidR="00CA2A50">
        <w:rPr>
          <w:rFonts w:eastAsia="Calibri" w:cs="Arial"/>
          <w:b/>
          <w:lang w:eastAsia="en-US"/>
        </w:rPr>
        <w:t xml:space="preserve"> </w:t>
      </w:r>
      <w:r w:rsidR="00CA2A50" w:rsidRPr="00C31B13">
        <w:rPr>
          <w:rFonts w:eastAsia="Calibri" w:cs="Arial"/>
          <w:lang w:eastAsia="en-US"/>
        </w:rPr>
        <w:t>níže</w:t>
      </w:r>
      <w:r w:rsidR="00CA2A50">
        <w:rPr>
          <w:rFonts w:eastAsia="Calibri" w:cs="Arial"/>
          <w:lang w:eastAsia="en-US"/>
        </w:rPr>
        <w:t>)</w:t>
      </w:r>
      <w:r>
        <w:rPr>
          <w:rFonts w:eastAsia="Calibri" w:cs="Arial"/>
          <w:lang w:eastAsia="en-US"/>
        </w:rPr>
        <w:t xml:space="preserve">, neboť </w:t>
      </w:r>
      <w:r w:rsidR="00292B22">
        <w:rPr>
          <w:rFonts w:eastAsia="Calibri" w:cs="Arial"/>
          <w:lang w:eastAsia="en-US"/>
        </w:rPr>
        <w:t xml:space="preserve">zde </w:t>
      </w:r>
      <w:r w:rsidR="00C31B13">
        <w:rPr>
          <w:rFonts w:eastAsia="Calibri" w:cs="Arial"/>
          <w:lang w:eastAsia="en-US"/>
        </w:rPr>
        <w:t xml:space="preserve">vykládané </w:t>
      </w:r>
      <w:r>
        <w:rPr>
          <w:rFonts w:eastAsia="Calibri" w:cs="Arial"/>
          <w:lang w:eastAsia="en-US"/>
        </w:rPr>
        <w:t xml:space="preserve">kogentní normy by </w:t>
      </w:r>
      <w:r w:rsidR="009E6199">
        <w:rPr>
          <w:rFonts w:eastAsia="Calibri" w:cs="Arial"/>
          <w:lang w:eastAsia="en-US"/>
        </w:rPr>
        <w:t>ne</w:t>
      </w:r>
      <w:r w:rsidR="00CA2A50">
        <w:rPr>
          <w:rFonts w:eastAsia="Calibri" w:cs="Arial"/>
          <w:lang w:eastAsia="en-US"/>
        </w:rPr>
        <w:t>byl</w:t>
      </w:r>
      <w:r>
        <w:rPr>
          <w:rFonts w:eastAsia="Calibri" w:cs="Arial"/>
          <w:lang w:eastAsia="en-US"/>
        </w:rPr>
        <w:t xml:space="preserve">y </w:t>
      </w:r>
      <w:r w:rsidR="00CA2A50">
        <w:rPr>
          <w:rFonts w:eastAsia="Calibri" w:cs="Arial"/>
          <w:lang w:eastAsia="en-US"/>
        </w:rPr>
        <w:t>vynutitelné</w:t>
      </w:r>
      <w:r>
        <w:rPr>
          <w:rFonts w:eastAsia="Calibri" w:cs="Arial"/>
          <w:lang w:eastAsia="en-US"/>
        </w:rPr>
        <w:t>.</w:t>
      </w:r>
    </w:p>
    <w:p w14:paraId="30367534" w14:textId="0084802F" w:rsidR="00C65057" w:rsidRDefault="00C65057" w:rsidP="00C65057">
      <w:pPr>
        <w:pStyle w:val="Styl1"/>
        <w:ind w:left="0" w:firstLine="0"/>
        <w:rPr>
          <w:rFonts w:eastAsia="Calibri"/>
          <w:lang w:eastAsia="en-US"/>
        </w:rPr>
      </w:pPr>
      <w:r>
        <w:rPr>
          <w:rFonts w:eastAsia="Calibri"/>
          <w:lang w:eastAsia="en-US"/>
        </w:rPr>
        <w:t>„Liberalizační“ n</w:t>
      </w:r>
      <w:r w:rsidRPr="00AB2541">
        <w:rPr>
          <w:rFonts w:eastAsia="Calibri"/>
          <w:lang w:eastAsia="en-US"/>
        </w:rPr>
        <w:t xml:space="preserve">ovela č. 221/2012 Sb. v § 1 odst. 2 zákona o poštovních službách definovala poštovní službu jako činnost prováděnou </w:t>
      </w:r>
      <w:r w:rsidRPr="0054172B">
        <w:rPr>
          <w:rFonts w:eastAsia="Calibri"/>
          <w:i/>
          <w:lang w:eastAsia="en-US"/>
        </w:rPr>
        <w:t>podle poštovní smlouvy</w:t>
      </w:r>
      <w:r w:rsidRPr="00AB2541">
        <w:rPr>
          <w:rFonts w:eastAsia="Calibri"/>
          <w:lang w:eastAsia="en-US"/>
        </w:rPr>
        <w:t xml:space="preserve"> </w:t>
      </w:r>
      <w:r w:rsidRPr="0054172B">
        <w:rPr>
          <w:rFonts w:eastAsia="Calibri"/>
          <w:i/>
          <w:lang w:eastAsia="en-US"/>
        </w:rPr>
        <w:t>a za podmínek stanovených tímto zákonem</w:t>
      </w:r>
      <w:r w:rsidRPr="00AB2541">
        <w:rPr>
          <w:rFonts w:eastAsia="Calibri"/>
          <w:lang w:eastAsia="en-US"/>
        </w:rPr>
        <w:t xml:space="preserve">. </w:t>
      </w:r>
      <w:r w:rsidRPr="00AB2541">
        <w:rPr>
          <w:rFonts w:eastAsia="Calibri"/>
          <w:i/>
          <w:lang w:eastAsia="en-US"/>
        </w:rPr>
        <w:t xml:space="preserve">Poštovní služba zpravidla zahrnuje poštovní podání, třídění a přepravu poštovní zásilky prostřednictvím poštovní sítě a je prováděna za účelem dodání poštovní zásilky </w:t>
      </w:r>
      <w:r w:rsidR="00D200E8">
        <w:rPr>
          <w:rFonts w:eastAsia="Calibri"/>
          <w:i/>
          <w:lang w:eastAsia="en-US"/>
        </w:rPr>
        <w:t>příjemci. Za poštovní službu se </w:t>
      </w:r>
      <w:r w:rsidRPr="00AB2541">
        <w:rPr>
          <w:rFonts w:eastAsia="Calibri"/>
          <w:i/>
          <w:lang w:eastAsia="en-US"/>
        </w:rPr>
        <w:t>považuje i dodání poukázané peněžní částky</w:t>
      </w:r>
      <w:r w:rsidRPr="00AB2541">
        <w:rPr>
          <w:rFonts w:eastAsia="Calibri"/>
          <w:lang w:eastAsia="en-US"/>
        </w:rPr>
        <w:t xml:space="preserve">. V § 1 odst. 3 pak byla zakotvena též negativní definice poštovní služby, kterou není </w:t>
      </w:r>
      <w:r w:rsidRPr="00AB2541">
        <w:rPr>
          <w:rFonts w:eastAsia="Calibri"/>
          <w:i/>
          <w:lang w:eastAsia="en-US"/>
        </w:rPr>
        <w:t>a) přeprava poštovních zásilek, pokud je vykonávána osobou, která k těmto zásilkám současně neprovedla poštovní podání, třídění nebo dodání, b) služba ob</w:t>
      </w:r>
      <w:r w:rsidR="00D200E8">
        <w:rPr>
          <w:rFonts w:eastAsia="Calibri"/>
          <w:i/>
          <w:lang w:eastAsia="en-US"/>
        </w:rPr>
        <w:t>dobná poštovní službě, která je </w:t>
      </w:r>
      <w:r w:rsidRPr="00AB2541">
        <w:rPr>
          <w:rFonts w:eastAsia="Calibri"/>
          <w:i/>
          <w:lang w:eastAsia="en-US"/>
        </w:rPr>
        <w:t>vykonávána odesílatelem nebo s ním propojenou osobou</w:t>
      </w:r>
      <w:r w:rsidRPr="00AB2541">
        <w:rPr>
          <w:rFonts w:eastAsia="Calibri"/>
          <w:lang w:eastAsia="en-US"/>
        </w:rPr>
        <w:t xml:space="preserve">. </w:t>
      </w:r>
    </w:p>
    <w:p w14:paraId="343B1B3E" w14:textId="225C5C09" w:rsidR="00C65057" w:rsidRDefault="00C65057" w:rsidP="00C65057">
      <w:pPr>
        <w:pStyle w:val="Styl1"/>
        <w:ind w:left="0" w:firstLine="0"/>
        <w:rPr>
          <w:rFonts w:eastAsia="Calibri"/>
          <w:lang w:eastAsia="en-US"/>
        </w:rPr>
      </w:pPr>
      <w:r>
        <w:rPr>
          <w:rFonts w:eastAsia="Calibri"/>
          <w:lang w:eastAsia="en-US"/>
        </w:rPr>
        <w:t>Zákonná definice se zde inspiruje právem EU. Podle č</w:t>
      </w:r>
      <w:r w:rsidRPr="00E21AB7">
        <w:rPr>
          <w:rFonts w:eastAsia="Calibri"/>
          <w:lang w:eastAsia="en-US"/>
        </w:rPr>
        <w:t>l</w:t>
      </w:r>
      <w:r>
        <w:rPr>
          <w:rFonts w:eastAsia="Calibri"/>
          <w:lang w:eastAsia="en-US"/>
        </w:rPr>
        <w:t>.</w:t>
      </w:r>
      <w:r w:rsidRPr="00E21AB7">
        <w:rPr>
          <w:rFonts w:eastAsia="Calibri"/>
          <w:lang w:eastAsia="en-US"/>
        </w:rPr>
        <w:t xml:space="preserve"> 2 </w:t>
      </w:r>
      <w:r>
        <w:rPr>
          <w:rFonts w:eastAsia="Calibri"/>
          <w:lang w:eastAsia="en-US"/>
        </w:rPr>
        <w:t xml:space="preserve">bodu 1 poštovní </w:t>
      </w:r>
      <w:r w:rsidRPr="00E21AB7">
        <w:rPr>
          <w:rFonts w:eastAsia="Calibri"/>
          <w:lang w:eastAsia="en-US"/>
        </w:rPr>
        <w:t xml:space="preserve">směrnice </w:t>
      </w:r>
      <w:r w:rsidR="00D200E8">
        <w:rPr>
          <w:rFonts w:eastAsia="Calibri"/>
          <w:lang w:eastAsia="en-US"/>
        </w:rPr>
        <w:t>se </w:t>
      </w:r>
      <w:r w:rsidRPr="00E21AB7">
        <w:rPr>
          <w:rFonts w:eastAsia="Calibri"/>
          <w:lang w:eastAsia="en-US"/>
        </w:rPr>
        <w:t xml:space="preserve">poštovními službami </w:t>
      </w:r>
      <w:r w:rsidRPr="00E21AB7">
        <w:rPr>
          <w:rFonts w:eastAsia="Calibri"/>
          <w:i/>
          <w:lang w:eastAsia="en-US"/>
        </w:rPr>
        <w:t>rozumí služby zahrnující výběr, třídění, přepravu a dodávání poštovních zásilek</w:t>
      </w:r>
      <w:r w:rsidRPr="00E21AB7">
        <w:rPr>
          <w:rFonts w:eastAsia="Calibri"/>
          <w:lang w:eastAsia="en-US"/>
        </w:rPr>
        <w:t>;</w:t>
      </w:r>
      <w:r>
        <w:rPr>
          <w:rFonts w:eastAsia="Calibri"/>
          <w:lang w:eastAsia="en-US"/>
        </w:rPr>
        <w:t xml:space="preserve"> přičemž podle bodu 1a se </w:t>
      </w:r>
      <w:r w:rsidRPr="00E21AB7">
        <w:rPr>
          <w:rFonts w:eastAsia="Calibri"/>
          <w:lang w:eastAsia="en-US"/>
        </w:rPr>
        <w:t xml:space="preserve">poskytovatelem poštovních služeb </w:t>
      </w:r>
      <w:r w:rsidRPr="00E21AB7">
        <w:rPr>
          <w:rFonts w:eastAsia="Calibri"/>
          <w:i/>
          <w:lang w:eastAsia="en-US"/>
        </w:rPr>
        <w:t>rozumí podnik poskytující jednu nebo více poštovních služeb</w:t>
      </w:r>
      <w:r>
        <w:rPr>
          <w:rFonts w:eastAsia="Calibri"/>
          <w:lang w:eastAsia="en-US"/>
        </w:rPr>
        <w:t xml:space="preserve">. Jak vysvětlil Soudní dvůr v rozsudku ze dne 31. 5. 2018, </w:t>
      </w:r>
      <w:r w:rsidRPr="00300468">
        <w:rPr>
          <w:rFonts w:eastAsia="Calibri"/>
          <w:i/>
          <w:lang w:eastAsia="en-US"/>
        </w:rPr>
        <w:t>Confetra</w:t>
      </w:r>
      <w:r w:rsidRPr="00300468">
        <w:rPr>
          <w:rFonts w:eastAsia="Calibri"/>
          <w:lang w:eastAsia="en-US"/>
        </w:rPr>
        <w:t xml:space="preserve"> </w:t>
      </w:r>
      <w:r>
        <w:rPr>
          <w:rFonts w:eastAsia="Calibri"/>
          <w:lang w:eastAsia="en-US"/>
        </w:rPr>
        <w:t>(</w:t>
      </w:r>
      <w:r w:rsidRPr="00300468">
        <w:rPr>
          <w:rFonts w:eastAsia="Calibri"/>
          <w:lang w:eastAsia="en-US"/>
        </w:rPr>
        <w:t>C</w:t>
      </w:r>
      <w:r w:rsidRPr="00300468">
        <w:rPr>
          <w:rFonts w:ascii="Times New Roman" w:eastAsia="Calibri" w:hAnsi="Times New Roman"/>
          <w:lang w:eastAsia="en-US"/>
        </w:rPr>
        <w:t>‑</w:t>
      </w:r>
      <w:r w:rsidRPr="00300468">
        <w:rPr>
          <w:rFonts w:eastAsia="Calibri"/>
          <w:lang w:eastAsia="en-US"/>
        </w:rPr>
        <w:t>259/16</w:t>
      </w:r>
      <w:r>
        <w:rPr>
          <w:rFonts w:eastAsia="Calibri"/>
          <w:lang w:eastAsia="en-US"/>
        </w:rPr>
        <w:t xml:space="preserve">, </w:t>
      </w:r>
      <w:r w:rsidRPr="00300468">
        <w:rPr>
          <w:rFonts w:eastAsia="Calibri"/>
          <w:lang w:eastAsia="en-US"/>
        </w:rPr>
        <w:t>EU:C:2018:370</w:t>
      </w:r>
      <w:r>
        <w:rPr>
          <w:rFonts w:eastAsia="Calibri"/>
          <w:lang w:eastAsia="en-US"/>
        </w:rPr>
        <w:t xml:space="preserve">), </w:t>
      </w:r>
      <w:r w:rsidRPr="00E21AB7">
        <w:rPr>
          <w:rFonts w:eastAsia="Calibri"/>
          <w:lang w:eastAsia="en-US"/>
        </w:rPr>
        <w:t xml:space="preserve">samotná doprava by </w:t>
      </w:r>
      <w:r>
        <w:rPr>
          <w:rFonts w:eastAsia="Calibri"/>
          <w:lang w:eastAsia="en-US"/>
        </w:rPr>
        <w:t xml:space="preserve">však </w:t>
      </w:r>
      <w:r w:rsidRPr="00E21AB7">
        <w:rPr>
          <w:rFonts w:eastAsia="Calibri"/>
          <w:lang w:eastAsia="en-US"/>
        </w:rPr>
        <w:t>za poštovní službu považována být neměla</w:t>
      </w:r>
      <w:r>
        <w:rPr>
          <w:rFonts w:eastAsia="Calibri"/>
          <w:lang w:eastAsia="en-US"/>
        </w:rPr>
        <w:t xml:space="preserve"> [</w:t>
      </w:r>
      <w:r w:rsidRPr="00300468">
        <w:rPr>
          <w:rFonts w:eastAsia="Calibri"/>
          <w:i/>
          <w:lang w:eastAsia="en-US"/>
        </w:rPr>
        <w:t>Confetra</w:t>
      </w:r>
      <w:r w:rsidRPr="00D86631">
        <w:rPr>
          <w:rFonts w:eastAsia="Calibri"/>
          <w:lang w:eastAsia="en-US"/>
        </w:rPr>
        <w:t>,</w:t>
      </w:r>
      <w:r w:rsidRPr="00300468">
        <w:rPr>
          <w:rFonts w:eastAsia="Calibri"/>
          <w:lang w:eastAsia="en-US"/>
        </w:rPr>
        <w:t xml:space="preserve"> </w:t>
      </w:r>
      <w:r>
        <w:rPr>
          <w:rFonts w:eastAsia="Calibri"/>
          <w:lang w:eastAsia="en-US"/>
        </w:rPr>
        <w:t xml:space="preserve">bod 31; shodně § 1 odst. 3 </w:t>
      </w:r>
      <w:r w:rsidRPr="00AB2541">
        <w:rPr>
          <w:rFonts w:eastAsia="Calibri"/>
          <w:lang w:eastAsia="en-US"/>
        </w:rPr>
        <w:t>zákona o poštovních službách</w:t>
      </w:r>
      <w:r>
        <w:rPr>
          <w:rFonts w:eastAsia="Calibri"/>
          <w:lang w:eastAsia="en-US"/>
        </w:rPr>
        <w:t>, respektive dnes § 2 odst. 2 písm. a) téhož zákona].</w:t>
      </w:r>
    </w:p>
    <w:p w14:paraId="5A90DAB6" w14:textId="1E847E17" w:rsidR="00C65057" w:rsidRPr="00300468" w:rsidRDefault="00C65057" w:rsidP="00C65057">
      <w:pPr>
        <w:pStyle w:val="Styl1"/>
        <w:ind w:left="0" w:firstLine="0"/>
        <w:rPr>
          <w:rFonts w:eastAsia="Calibri"/>
          <w:lang w:eastAsia="en-US"/>
        </w:rPr>
      </w:pPr>
      <w:r>
        <w:rPr>
          <w:rFonts w:eastAsia="Calibri"/>
          <w:lang w:eastAsia="en-US"/>
        </w:rPr>
        <w:t xml:space="preserve">Soudní dvůr dále vysvětlil, že </w:t>
      </w:r>
      <w:r w:rsidRPr="00E21AB7">
        <w:rPr>
          <w:rFonts w:eastAsia="Calibri"/>
          <w:lang w:eastAsia="en-US"/>
        </w:rPr>
        <w:t xml:space="preserve">podnik </w:t>
      </w:r>
      <w:r>
        <w:rPr>
          <w:rFonts w:eastAsia="Calibri"/>
          <w:lang w:eastAsia="en-US"/>
        </w:rPr>
        <w:t>je třeba</w:t>
      </w:r>
      <w:r w:rsidRPr="00E21AB7">
        <w:rPr>
          <w:rFonts w:eastAsia="Calibri"/>
          <w:lang w:eastAsia="en-US"/>
        </w:rPr>
        <w:t xml:space="preserve"> </w:t>
      </w:r>
      <w:r>
        <w:rPr>
          <w:rFonts w:eastAsia="Calibri"/>
          <w:lang w:eastAsia="en-US"/>
        </w:rPr>
        <w:t xml:space="preserve">chápat </w:t>
      </w:r>
      <w:r w:rsidRPr="00E21AB7">
        <w:rPr>
          <w:rFonts w:eastAsia="Calibri"/>
          <w:lang w:eastAsia="en-US"/>
        </w:rPr>
        <w:t>jako „poskytovatel</w:t>
      </w:r>
      <w:r>
        <w:rPr>
          <w:rFonts w:eastAsia="Calibri"/>
          <w:lang w:eastAsia="en-US"/>
        </w:rPr>
        <w:t>e</w:t>
      </w:r>
      <w:r w:rsidRPr="00E21AB7">
        <w:rPr>
          <w:rFonts w:eastAsia="Calibri"/>
          <w:lang w:eastAsia="en-US"/>
        </w:rPr>
        <w:t xml:space="preserve"> poštovních služeb“ ve smyslu čl. 2 bodu 1a </w:t>
      </w:r>
      <w:r>
        <w:rPr>
          <w:rFonts w:eastAsia="Calibri"/>
          <w:lang w:eastAsia="en-US"/>
        </w:rPr>
        <w:t xml:space="preserve">poštovní </w:t>
      </w:r>
      <w:r w:rsidRPr="00E21AB7">
        <w:rPr>
          <w:rFonts w:eastAsia="Calibri"/>
          <w:lang w:eastAsia="en-US"/>
        </w:rPr>
        <w:t xml:space="preserve">směrnice, pokud poskytuje alespoň </w:t>
      </w:r>
      <w:r w:rsidR="00F3134F">
        <w:rPr>
          <w:rFonts w:eastAsia="Calibri"/>
          <w:lang w:eastAsia="en-US"/>
        </w:rPr>
        <w:t xml:space="preserve">jednu ze </w:t>
      </w:r>
      <w:r w:rsidRPr="00E21AB7">
        <w:rPr>
          <w:rFonts w:eastAsia="Calibri"/>
          <w:lang w:eastAsia="en-US"/>
        </w:rPr>
        <w:t>služ</w:t>
      </w:r>
      <w:r w:rsidR="00F3134F">
        <w:rPr>
          <w:rFonts w:eastAsia="Calibri"/>
          <w:lang w:eastAsia="en-US"/>
        </w:rPr>
        <w:t>e</w:t>
      </w:r>
      <w:r w:rsidRPr="00E21AB7">
        <w:rPr>
          <w:rFonts w:eastAsia="Calibri"/>
          <w:lang w:eastAsia="en-US"/>
        </w:rPr>
        <w:t>b uveden</w:t>
      </w:r>
      <w:r w:rsidR="00F3134F">
        <w:rPr>
          <w:rFonts w:eastAsia="Calibri"/>
          <w:lang w:eastAsia="en-US"/>
        </w:rPr>
        <w:t>ých</w:t>
      </w:r>
      <w:r w:rsidRPr="00E21AB7">
        <w:rPr>
          <w:rFonts w:eastAsia="Calibri"/>
          <w:lang w:eastAsia="en-US"/>
        </w:rPr>
        <w:t xml:space="preserve"> v čl.</w:t>
      </w:r>
      <w:r w:rsidR="00C00609">
        <w:rPr>
          <w:rFonts w:eastAsia="Calibri"/>
          <w:lang w:eastAsia="en-US"/>
        </w:rPr>
        <w:t> </w:t>
      </w:r>
      <w:r w:rsidRPr="00E21AB7">
        <w:rPr>
          <w:rFonts w:eastAsia="Calibri"/>
          <w:lang w:eastAsia="en-US"/>
        </w:rPr>
        <w:t>2 bodu 1 této směrnice a pokud se takto poskytované služby týkají poštovní zásilky</w:t>
      </w:r>
      <w:r>
        <w:rPr>
          <w:rFonts w:eastAsia="Calibri"/>
          <w:lang w:eastAsia="en-US"/>
        </w:rPr>
        <w:t>. Č</w:t>
      </w:r>
      <w:r w:rsidRPr="00E21AB7">
        <w:rPr>
          <w:rFonts w:eastAsia="Calibri"/>
          <w:lang w:eastAsia="en-US"/>
        </w:rPr>
        <w:t xml:space="preserve">innost </w:t>
      </w:r>
      <w:r>
        <w:rPr>
          <w:rFonts w:eastAsia="Calibri"/>
          <w:lang w:eastAsia="en-US"/>
        </w:rPr>
        <w:t xml:space="preserve">takového podnikatele </w:t>
      </w:r>
      <w:r w:rsidRPr="00E21AB7">
        <w:rPr>
          <w:rFonts w:eastAsia="Calibri"/>
          <w:lang w:eastAsia="en-US"/>
        </w:rPr>
        <w:t xml:space="preserve">se nemusí omezovat </w:t>
      </w:r>
      <w:r>
        <w:rPr>
          <w:rFonts w:eastAsia="Calibri"/>
          <w:lang w:eastAsia="en-US"/>
        </w:rPr>
        <w:t xml:space="preserve">jen </w:t>
      </w:r>
      <w:r w:rsidRPr="00E21AB7">
        <w:rPr>
          <w:rFonts w:eastAsia="Calibri"/>
          <w:lang w:eastAsia="en-US"/>
        </w:rPr>
        <w:t xml:space="preserve">na službu </w:t>
      </w:r>
      <w:r w:rsidR="00000917">
        <w:rPr>
          <w:rFonts w:eastAsia="Calibri"/>
          <w:lang w:eastAsia="en-US"/>
        </w:rPr>
        <w:t>přepravy (</w:t>
      </w:r>
      <w:r w:rsidRPr="00E21AB7">
        <w:rPr>
          <w:rFonts w:eastAsia="Calibri"/>
          <w:lang w:eastAsia="en-US"/>
        </w:rPr>
        <w:t>doručování</w:t>
      </w:r>
      <w:r w:rsidR="00000917">
        <w:rPr>
          <w:rFonts w:eastAsia="Calibri"/>
          <w:lang w:eastAsia="en-US"/>
        </w:rPr>
        <w:t>)</w:t>
      </w:r>
      <w:r w:rsidRPr="00E21AB7">
        <w:rPr>
          <w:rFonts w:eastAsia="Calibri"/>
          <w:lang w:eastAsia="en-US"/>
        </w:rPr>
        <w:t xml:space="preserve">. Z toho plyne, že </w:t>
      </w:r>
      <w:r>
        <w:rPr>
          <w:rFonts w:eastAsia="Calibri"/>
          <w:lang w:eastAsia="en-US"/>
        </w:rPr>
        <w:t>například „</w:t>
      </w:r>
      <w:r w:rsidRPr="00E21AB7">
        <w:rPr>
          <w:rFonts w:eastAsia="Calibri"/>
          <w:i/>
          <w:lang w:eastAsia="en-US"/>
        </w:rPr>
        <w:t>podniky silniční a nákladní dopravy, jejichž hlavní činností je služba doručování poštovních zásilek a jako doplňkovou činnost poskytují služby zahrnující výběr, třídění nebo dodávání takových zásilek, by neměly být vyloučeny z oblasti působnosti uvedené směrnice</w:t>
      </w:r>
      <w:r>
        <w:rPr>
          <w:rFonts w:eastAsia="Calibri"/>
          <w:lang w:eastAsia="en-US"/>
        </w:rPr>
        <w:t>“ (</w:t>
      </w:r>
      <w:r w:rsidRPr="00300468">
        <w:rPr>
          <w:rFonts w:eastAsia="Calibri"/>
          <w:i/>
          <w:lang w:eastAsia="en-US"/>
        </w:rPr>
        <w:t>Confetra</w:t>
      </w:r>
      <w:r>
        <w:rPr>
          <w:rFonts w:eastAsia="Calibri"/>
          <w:lang w:eastAsia="en-US"/>
        </w:rPr>
        <w:t xml:space="preserve">, bod 34). </w:t>
      </w:r>
      <w:r w:rsidR="003B03E4">
        <w:rPr>
          <w:rFonts w:eastAsia="Calibri"/>
          <w:lang w:eastAsia="en-US"/>
        </w:rPr>
        <w:t>J</w:t>
      </w:r>
      <w:r w:rsidR="00A54757" w:rsidRPr="00A54757">
        <w:rPr>
          <w:rFonts w:eastAsia="Calibri"/>
          <w:lang w:eastAsia="en-US"/>
        </w:rPr>
        <w:t>e jedno, jak jsou služby označené (</w:t>
      </w:r>
      <w:r w:rsidR="003B03E4">
        <w:rPr>
          <w:rFonts w:eastAsia="Calibri"/>
          <w:lang w:eastAsia="en-US"/>
        </w:rPr>
        <w:t>např.</w:t>
      </w:r>
      <w:r w:rsidR="00A54757" w:rsidRPr="00A54757">
        <w:rPr>
          <w:rFonts w:eastAsia="Calibri"/>
          <w:lang w:eastAsia="en-US"/>
        </w:rPr>
        <w:t xml:space="preserve"> „expresní služby“) nebo zda přinášejí větší hodnotu</w:t>
      </w:r>
      <w:r w:rsidR="0017189D">
        <w:rPr>
          <w:rFonts w:eastAsia="Calibri"/>
          <w:lang w:eastAsia="en-US"/>
        </w:rPr>
        <w:t xml:space="preserve"> oproti službě základní</w:t>
      </w:r>
      <w:r w:rsidR="00A54757" w:rsidRPr="00A54757">
        <w:rPr>
          <w:rFonts w:eastAsia="Calibri"/>
          <w:lang w:eastAsia="en-US"/>
        </w:rPr>
        <w:t xml:space="preserve"> </w:t>
      </w:r>
      <w:r w:rsidR="00283B30">
        <w:rPr>
          <w:rFonts w:eastAsia="Calibri"/>
          <w:lang w:eastAsia="en-US"/>
        </w:rPr>
        <w:t>(</w:t>
      </w:r>
      <w:r w:rsidR="00283B30" w:rsidRPr="00300468">
        <w:rPr>
          <w:rFonts w:eastAsia="Calibri"/>
          <w:i/>
          <w:lang w:eastAsia="en-US"/>
        </w:rPr>
        <w:t>Confetra</w:t>
      </w:r>
      <w:r w:rsidR="00283B30">
        <w:rPr>
          <w:rFonts w:eastAsia="Calibri"/>
          <w:lang w:eastAsia="en-US"/>
        </w:rPr>
        <w:t>, bod 40).</w:t>
      </w:r>
    </w:p>
    <w:p w14:paraId="02235302" w14:textId="6D138407" w:rsidR="00C65057" w:rsidRPr="00C65057" w:rsidRDefault="00C65057" w:rsidP="00C65057">
      <w:pPr>
        <w:pStyle w:val="Styl1"/>
        <w:ind w:left="0" w:firstLine="0"/>
        <w:rPr>
          <w:rFonts w:eastAsia="Calibri"/>
          <w:lang w:eastAsia="en-US"/>
        </w:rPr>
      </w:pPr>
      <w:r>
        <w:rPr>
          <w:rFonts w:eastAsia="Calibri"/>
          <w:lang w:eastAsia="en-US"/>
        </w:rPr>
        <w:t xml:space="preserve">Co je poštovní smlouva, definuje </w:t>
      </w:r>
      <w:r w:rsidR="00BD7B88">
        <w:rPr>
          <w:rFonts w:eastAsia="Calibri"/>
          <w:lang w:eastAsia="en-US"/>
        </w:rPr>
        <w:t xml:space="preserve">od roku 2013 </w:t>
      </w:r>
      <w:r>
        <w:rPr>
          <w:rFonts w:eastAsia="Calibri"/>
          <w:lang w:eastAsia="en-US"/>
        </w:rPr>
        <w:t>zákon o poštovních službách</w:t>
      </w:r>
      <w:r w:rsidR="00D200E8">
        <w:rPr>
          <w:rFonts w:eastAsia="Calibri"/>
          <w:lang w:eastAsia="en-US"/>
        </w:rPr>
        <w:t xml:space="preserve"> v § 5 odst. </w:t>
      </w:r>
      <w:r w:rsidR="00094A58">
        <w:rPr>
          <w:rFonts w:eastAsia="Calibri"/>
          <w:lang w:eastAsia="en-US"/>
        </w:rPr>
        <w:t>1</w:t>
      </w:r>
      <w:r>
        <w:rPr>
          <w:rFonts w:eastAsia="Calibri"/>
          <w:lang w:eastAsia="en-US"/>
        </w:rPr>
        <w:t xml:space="preserve">. Podle prvé věty tohoto ustanovení se </w:t>
      </w:r>
      <w:r w:rsidRPr="0054172B">
        <w:rPr>
          <w:rFonts w:eastAsia="Calibri"/>
          <w:lang w:eastAsia="en-US"/>
        </w:rPr>
        <w:t>poštovní smlouvou</w:t>
      </w:r>
      <w:r w:rsidRPr="0054172B">
        <w:rPr>
          <w:rFonts w:eastAsia="Calibri"/>
          <w:i/>
          <w:lang w:eastAsia="en-US"/>
        </w:rPr>
        <w:t xml:space="preserve"> provozovatel zavazuje odesílateli, že</w:t>
      </w:r>
      <w:r w:rsidR="00D200E8">
        <w:rPr>
          <w:rFonts w:eastAsia="Calibri"/>
          <w:i/>
          <w:lang w:eastAsia="en-US"/>
        </w:rPr>
        <w:t> </w:t>
      </w:r>
      <w:r w:rsidRPr="0054172B">
        <w:rPr>
          <w:rFonts w:eastAsia="Calibri"/>
          <w:i/>
          <w:lang w:eastAsia="en-US"/>
        </w:rPr>
        <w:t xml:space="preserve">dodá poštovní zásilku nebo peněžní částku z místa poštovního podání sjednaným způsobem příjemci do místa uvedeného v adrese, a odesílatel se zavazuje, není-li sjednáno jinak, uhradit provozovateli dohodnutou cenu. </w:t>
      </w:r>
      <w:r w:rsidRPr="00D86631">
        <w:rPr>
          <w:rFonts w:eastAsia="Calibri"/>
          <w:lang w:eastAsia="en-US"/>
        </w:rPr>
        <w:t xml:space="preserve">Poštovní zásilkou </w:t>
      </w:r>
      <w:r w:rsidRPr="00171873">
        <w:rPr>
          <w:rFonts w:eastAsia="Calibri"/>
          <w:lang w:eastAsia="en-US"/>
        </w:rPr>
        <w:t xml:space="preserve">se </w:t>
      </w:r>
      <w:r>
        <w:rPr>
          <w:rFonts w:eastAsia="Calibri"/>
          <w:lang w:eastAsia="en-US"/>
        </w:rPr>
        <w:t xml:space="preserve">dle § 2 písm. a) </w:t>
      </w:r>
      <w:r w:rsidRPr="00171873">
        <w:rPr>
          <w:rFonts w:eastAsia="Calibri"/>
          <w:lang w:eastAsia="en-US"/>
        </w:rPr>
        <w:t>zákon</w:t>
      </w:r>
      <w:r>
        <w:rPr>
          <w:rFonts w:eastAsia="Calibri"/>
          <w:lang w:eastAsia="en-US"/>
        </w:rPr>
        <w:t>a</w:t>
      </w:r>
      <w:r w:rsidRPr="00171873">
        <w:rPr>
          <w:rFonts w:eastAsia="Calibri"/>
          <w:lang w:eastAsia="en-US"/>
        </w:rPr>
        <w:t xml:space="preserve"> </w:t>
      </w:r>
      <w:r>
        <w:rPr>
          <w:rFonts w:eastAsia="Calibri"/>
          <w:lang w:eastAsia="en-US"/>
        </w:rPr>
        <w:t xml:space="preserve">o poštovních službách [dnes v písm. b)] </w:t>
      </w:r>
      <w:r w:rsidRPr="00171873">
        <w:rPr>
          <w:rFonts w:eastAsia="Calibri"/>
          <w:lang w:eastAsia="en-US"/>
        </w:rPr>
        <w:t xml:space="preserve">rozumí </w:t>
      </w:r>
      <w:r w:rsidRPr="00171873">
        <w:rPr>
          <w:rFonts w:eastAsia="Calibri"/>
          <w:i/>
          <w:lang w:eastAsia="en-US"/>
        </w:rPr>
        <w:t>adresná zásilka v konečné podobě, ve které má být provozovatelem dodána; poštovní zásilkou se rozumí i poštovní balík</w:t>
      </w:r>
      <w:r>
        <w:rPr>
          <w:rFonts w:eastAsia="Calibri"/>
          <w:i/>
          <w:lang w:eastAsia="en-US"/>
        </w:rPr>
        <w:t>.</w:t>
      </w:r>
    </w:p>
    <w:p w14:paraId="203433DE" w14:textId="5B6421A5" w:rsidR="002A136A" w:rsidRPr="002A136A" w:rsidRDefault="00C03458" w:rsidP="002A136A">
      <w:pPr>
        <w:pStyle w:val="Styl1"/>
        <w:ind w:left="0" w:firstLine="0"/>
        <w:rPr>
          <w:rFonts w:eastAsia="Calibri" w:cs="Arial"/>
          <w:lang w:eastAsia="en-US"/>
        </w:rPr>
      </w:pPr>
      <w:r>
        <w:t>Z uvedeného tedy plyne, že p</w:t>
      </w:r>
      <w:r w:rsidR="00C65057">
        <w:t>oštovní službou je činnost prováděná podle poštovní smlouvy</w:t>
      </w:r>
      <w:r w:rsidR="002A136A">
        <w:t xml:space="preserve"> (</w:t>
      </w:r>
      <w:r w:rsidR="002A136A" w:rsidRPr="00AB2541">
        <w:rPr>
          <w:rFonts w:eastAsia="Calibri"/>
          <w:lang w:eastAsia="en-US"/>
        </w:rPr>
        <w:t>§ 1 odst. 2 zákona o poštovních službách</w:t>
      </w:r>
      <w:r w:rsidR="002A136A">
        <w:rPr>
          <w:rFonts w:eastAsia="Calibri"/>
          <w:lang w:eastAsia="en-US"/>
        </w:rPr>
        <w:t>)</w:t>
      </w:r>
      <w:r w:rsidR="00C65057">
        <w:t xml:space="preserve">. </w:t>
      </w:r>
      <w:r w:rsidR="00BA40AF">
        <w:t xml:space="preserve">Nejde </w:t>
      </w:r>
      <w:r w:rsidR="00D972BC">
        <w:t xml:space="preserve">však </w:t>
      </w:r>
      <w:r w:rsidR="00BA40AF">
        <w:t xml:space="preserve">– jak by se mohlo na první dojem zdát – o definici kruhem. Zákon sice odkazuje na poštovní smlouvu, ale zároveň jasně popisuje, k čemu </w:t>
      </w:r>
      <w:r w:rsidR="00C4319B">
        <w:t xml:space="preserve">poštovní smlouva </w:t>
      </w:r>
      <w:r w:rsidR="00BA40AF">
        <w:t>slouží a dostatečně objasňuje, co j</w:t>
      </w:r>
      <w:r w:rsidR="00D972BC">
        <w:t>e</w:t>
      </w:r>
      <w:r w:rsidR="00BA40AF">
        <w:t xml:space="preserve"> poštovní služb</w:t>
      </w:r>
      <w:r w:rsidR="00D972BC">
        <w:t>a</w:t>
      </w:r>
      <w:r w:rsidR="00BA40AF">
        <w:t xml:space="preserve"> </w:t>
      </w:r>
      <w:r w:rsidR="007674C6">
        <w:t>poskytovan</w:t>
      </w:r>
      <w:r w:rsidR="00D972BC">
        <w:t xml:space="preserve">á </w:t>
      </w:r>
      <w:r w:rsidR="00BA40AF">
        <w:t xml:space="preserve">na základě </w:t>
      </w:r>
      <w:r w:rsidR="00EC445A">
        <w:t xml:space="preserve">poštovní </w:t>
      </w:r>
      <w:r w:rsidR="00BA40AF">
        <w:t xml:space="preserve">smlouvy. </w:t>
      </w:r>
      <w:r w:rsidR="007674C6">
        <w:t>Jak říká § 5 odst. 1 věta prvá zákona o poštovních službách, p</w:t>
      </w:r>
      <w:r w:rsidR="002A136A">
        <w:t>oštovní smlouvou se provozovatel zavazuje odesílateli, že dodá poštovní zásilku nebo peněžní částku z místa poštovního podání sjednaným způsobe</w:t>
      </w:r>
      <w:r w:rsidR="00D200E8">
        <w:t>m příjemci do místa uvedeného v </w:t>
      </w:r>
      <w:r w:rsidR="002A136A">
        <w:t>adrese, a odesílatel se zavazuje, není-li sjednáno jinak, uhradit provozovateli dohodnutou cenu. P</w:t>
      </w:r>
      <w:r w:rsidR="00C65057">
        <w:t xml:space="preserve">oštovní zásilkou se rozumí adresná zásilka v konečné podobě, ve které má být provozovatelem dodána [§ 2 písm. a) zákona o </w:t>
      </w:r>
      <w:r w:rsidR="00C65057" w:rsidRPr="002A136A">
        <w:t xml:space="preserve">poštovních službách]. </w:t>
      </w:r>
      <w:r w:rsidR="002A136A" w:rsidRPr="002A136A">
        <w:t xml:space="preserve">Provozovatel poštovní služby poskytuje jednu či více z těchto služeb: </w:t>
      </w:r>
      <w:r w:rsidR="002A136A" w:rsidRPr="002A136A">
        <w:rPr>
          <w:rFonts w:eastAsia="Calibri"/>
          <w:lang w:eastAsia="en-US"/>
        </w:rPr>
        <w:t>výběr</w:t>
      </w:r>
      <w:r w:rsidR="002A136A">
        <w:rPr>
          <w:rFonts w:eastAsia="Calibri"/>
          <w:lang w:eastAsia="en-US"/>
        </w:rPr>
        <w:t xml:space="preserve"> </w:t>
      </w:r>
      <w:r w:rsidR="006C0188">
        <w:rPr>
          <w:rFonts w:eastAsia="Calibri"/>
          <w:lang w:eastAsia="en-US"/>
        </w:rPr>
        <w:t xml:space="preserve">zásilky </w:t>
      </w:r>
      <w:r w:rsidR="002A136A">
        <w:rPr>
          <w:rFonts w:eastAsia="Calibri"/>
          <w:lang w:eastAsia="en-US"/>
        </w:rPr>
        <w:t>(poštovní podání)</w:t>
      </w:r>
      <w:r w:rsidR="002A136A" w:rsidRPr="002A136A">
        <w:rPr>
          <w:rFonts w:eastAsia="Calibri"/>
          <w:lang w:eastAsia="en-US"/>
        </w:rPr>
        <w:t>, třídění, přepravu a dodávání poštovních zásilek</w:t>
      </w:r>
      <w:r w:rsidR="001D0143">
        <w:t>;</w:t>
      </w:r>
      <w:r w:rsidR="002A136A">
        <w:t xml:space="preserve"> ovšem </w:t>
      </w:r>
      <w:r w:rsidR="002A136A" w:rsidRPr="006C0188">
        <w:rPr>
          <w:i/>
        </w:rPr>
        <w:t>samotná přeprava</w:t>
      </w:r>
      <w:r w:rsidR="002A136A" w:rsidRPr="002A136A">
        <w:t xml:space="preserve"> poštovních zásilek</w:t>
      </w:r>
      <w:r w:rsidR="00CA2A50" w:rsidRPr="00CA2A50">
        <w:t xml:space="preserve"> </w:t>
      </w:r>
      <w:r w:rsidR="00CA2A50">
        <w:t xml:space="preserve">nepředstavuje </w:t>
      </w:r>
      <w:r w:rsidR="00C1252D">
        <w:t xml:space="preserve">poštovní </w:t>
      </w:r>
      <w:r w:rsidR="00CA2A50">
        <w:t>službu</w:t>
      </w:r>
      <w:r w:rsidR="002A136A" w:rsidRPr="002A136A">
        <w:t>, pokud je vykonávána osobou, která k těmto zásilkám současně neprovedla poštovní podání</w:t>
      </w:r>
      <w:r w:rsidR="002A136A">
        <w:t xml:space="preserve"> (výběr)</w:t>
      </w:r>
      <w:r w:rsidR="002A136A" w:rsidRPr="002A136A">
        <w:t>, třídění nebo dodání</w:t>
      </w:r>
      <w:r w:rsidR="002A136A">
        <w:t xml:space="preserve"> </w:t>
      </w:r>
      <w:r w:rsidR="00192B83">
        <w:t xml:space="preserve">(srov. podobně shora cit. rozsudek </w:t>
      </w:r>
      <w:r w:rsidR="00192B83" w:rsidRPr="00300468">
        <w:rPr>
          <w:rFonts w:eastAsia="Calibri"/>
          <w:i/>
          <w:lang w:eastAsia="en-US"/>
        </w:rPr>
        <w:t>Confetra</w:t>
      </w:r>
      <w:r w:rsidR="00192B83" w:rsidRPr="00CB58A0">
        <w:rPr>
          <w:rFonts w:eastAsia="Calibri"/>
          <w:lang w:eastAsia="en-US"/>
        </w:rPr>
        <w:t>,</w:t>
      </w:r>
      <w:r w:rsidR="00192B83" w:rsidRPr="00300468">
        <w:rPr>
          <w:rFonts w:eastAsia="Calibri"/>
          <w:lang w:eastAsia="en-US"/>
        </w:rPr>
        <w:t xml:space="preserve"> C</w:t>
      </w:r>
      <w:r w:rsidR="00192B83" w:rsidRPr="00300468">
        <w:rPr>
          <w:rFonts w:ascii="Times New Roman" w:eastAsia="Calibri" w:hAnsi="Times New Roman"/>
          <w:lang w:eastAsia="en-US"/>
        </w:rPr>
        <w:t>‑</w:t>
      </w:r>
      <w:r w:rsidR="00192B83" w:rsidRPr="00300468">
        <w:rPr>
          <w:rFonts w:eastAsia="Calibri"/>
          <w:lang w:eastAsia="en-US"/>
        </w:rPr>
        <w:t>259/16</w:t>
      </w:r>
      <w:r w:rsidR="00192B83">
        <w:rPr>
          <w:rFonts w:eastAsia="Calibri"/>
          <w:lang w:eastAsia="en-US"/>
        </w:rPr>
        <w:t>, bod 34).</w:t>
      </w:r>
      <w:r w:rsidR="002A136A">
        <w:t xml:space="preserve"> </w:t>
      </w:r>
    </w:p>
    <w:p w14:paraId="0DB691B6" w14:textId="2BF365BF" w:rsidR="004359C7" w:rsidRPr="007F7A86" w:rsidRDefault="004359C7" w:rsidP="00FF5E16">
      <w:pPr>
        <w:pStyle w:val="Styl1"/>
        <w:ind w:left="0" w:firstLine="0"/>
        <w:rPr>
          <w:rFonts w:eastAsia="Calibri" w:cs="Arial"/>
          <w:lang w:eastAsia="en-US"/>
        </w:rPr>
      </w:pPr>
      <w:r>
        <w:t>Není ani pravda, že by tato definice znemožňovala rozlišit poštovní</w:t>
      </w:r>
      <w:r w:rsidR="00D200E8">
        <w:t xml:space="preserve"> službu například od </w:t>
      </w:r>
      <w:r>
        <w:t>zasilatelství. Jak správně uvádí osmý senát</w:t>
      </w:r>
      <w:r w:rsidR="00CD60DA">
        <w:t>,</w:t>
      </w:r>
      <w:r>
        <w:t xml:space="preserve"> </w:t>
      </w:r>
      <w:r w:rsidR="00FF5E16">
        <w:t xml:space="preserve">obsahovou náplní živnosti </w:t>
      </w:r>
      <w:r w:rsidR="00C1252D">
        <w:t>„</w:t>
      </w:r>
      <w:r w:rsidR="00FF5E16" w:rsidRPr="00FF5E16">
        <w:rPr>
          <w:i/>
        </w:rPr>
        <w:t>Zasilatelství a zastupování v celním řízení</w:t>
      </w:r>
      <w:r w:rsidR="00C1252D">
        <w:t>“</w:t>
      </w:r>
      <w:r w:rsidR="00FF5E16">
        <w:t xml:space="preserve"> dle bodu 53 přílohy 4 k nařízení vlády č. 278/2008 Sb., o obsahových náplních jednotlivých živností, je „</w:t>
      </w:r>
      <w:r w:rsidR="00BD7B88">
        <w:rPr>
          <w:i/>
        </w:rPr>
        <w:t>z</w:t>
      </w:r>
      <w:r w:rsidR="00FF5E16" w:rsidRPr="00FF5E16">
        <w:rPr>
          <w:i/>
        </w:rPr>
        <w:t xml:space="preserve">prostředkování přepravy věci z určitého místa do určitého místa a činnosti s tím spojené, zejména uzavření smluv o přepravě věcí do dohodnutého místa určení, obstarání dokladů (náložného nebo nákladního listu), zajištění naložení a uložení zásilky, doprovod zásilky, vybavení reklamací z přepravy. </w:t>
      </w:r>
      <w:r w:rsidR="00FF5E16">
        <w:t xml:space="preserve">[...] </w:t>
      </w:r>
      <w:r w:rsidR="00FF5E16" w:rsidRPr="00FF5E16">
        <w:rPr>
          <w:i/>
        </w:rPr>
        <w:t>Obsahem činnosti není vlastní přeprava nákladů</w:t>
      </w:r>
      <w:r w:rsidR="00FF5E16">
        <w:t>“</w:t>
      </w:r>
      <w:r w:rsidR="00CA2A50">
        <w:t>.</w:t>
      </w:r>
      <w:r w:rsidR="00FF5E16">
        <w:t xml:space="preserve"> Rozšířený senát proto souhlasí se stěžovatelem, že obsahem zasilatelství je </w:t>
      </w:r>
      <w:r w:rsidR="00FF5E16" w:rsidRPr="004E65B3">
        <w:rPr>
          <w:i/>
          <w:iCs/>
        </w:rPr>
        <w:t>pouhé zprostředkování přepravy</w:t>
      </w:r>
      <w:r w:rsidR="00FF5E16">
        <w:t>, nikoli již samotná přeprava nákladů</w:t>
      </w:r>
      <w:r w:rsidR="00B82D40">
        <w:t xml:space="preserve"> (srov. k tomu též § 2445 občanského zákoníku o smlouvě o zprostředkování)</w:t>
      </w:r>
      <w:r w:rsidR="00FF5E16">
        <w:t xml:space="preserve">. Jak plyne z výše uvedeného výkladu definice poštovní služby, podstatou poštovní služby </w:t>
      </w:r>
      <w:r w:rsidR="00DC76EA">
        <w:t xml:space="preserve">je </w:t>
      </w:r>
      <w:r w:rsidR="00FF5E16">
        <w:t xml:space="preserve">zejména </w:t>
      </w:r>
      <w:r w:rsidR="00D200E8">
        <w:t>převzetí a </w:t>
      </w:r>
      <w:r w:rsidR="00DC76EA">
        <w:t xml:space="preserve">zpracování zásilky, často spojené s </w:t>
      </w:r>
      <w:r w:rsidR="00FF5E16">
        <w:t>přeprav</w:t>
      </w:r>
      <w:r w:rsidR="00DC76EA">
        <w:t>ou</w:t>
      </w:r>
      <w:r w:rsidR="00FF5E16">
        <w:t xml:space="preserve"> a doručení</w:t>
      </w:r>
      <w:r w:rsidR="00DC76EA">
        <w:t>m</w:t>
      </w:r>
      <w:r w:rsidR="00FF5E16">
        <w:t xml:space="preserve"> poštovní zásilky. Zas</w:t>
      </w:r>
      <w:r w:rsidR="00F1240D">
        <w:t>i</w:t>
      </w:r>
      <w:r w:rsidR="00D200E8">
        <w:t>latelství a </w:t>
      </w:r>
      <w:r w:rsidR="00FF5E16">
        <w:t>poštovní služby tak nejsou obsahově shodné.</w:t>
      </w:r>
    </w:p>
    <w:p w14:paraId="3000B73A" w14:textId="2075191F" w:rsidR="007F7A86" w:rsidRPr="007F7A86" w:rsidRDefault="007F7A86" w:rsidP="007F7A86">
      <w:pPr>
        <w:pStyle w:val="Styl1"/>
        <w:ind w:left="0" w:firstLine="0"/>
        <w:rPr>
          <w:rFonts w:eastAsia="Calibri" w:cs="Arial"/>
          <w:lang w:eastAsia="en-US"/>
        </w:rPr>
      </w:pPr>
      <w:r>
        <w:t xml:space="preserve">Rozšířený senát poukazuje též na usnesení </w:t>
      </w:r>
      <w:r w:rsidRPr="0001761E">
        <w:rPr>
          <w:rStyle w:val="textcolumn"/>
        </w:rPr>
        <w:t>ze dne 8. 10. 2019, čj.</w:t>
      </w:r>
      <w:r>
        <w:rPr>
          <w:rStyle w:val="textcolumn"/>
        </w:rPr>
        <w:t> </w:t>
      </w:r>
      <w:r w:rsidRPr="0001761E">
        <w:rPr>
          <w:rStyle w:val="textcolumn"/>
        </w:rPr>
        <w:t>Konf</w:t>
      </w:r>
      <w:r>
        <w:rPr>
          <w:rStyle w:val="textcolumn"/>
        </w:rPr>
        <w:t> </w:t>
      </w:r>
      <w:r w:rsidRPr="0001761E">
        <w:rPr>
          <w:rStyle w:val="textcolumn"/>
        </w:rPr>
        <w:t>14/2019-14</w:t>
      </w:r>
      <w:r>
        <w:rPr>
          <w:rStyle w:val="textcolumn"/>
        </w:rPr>
        <w:t xml:space="preserve">, č. 3943/2019 Sb. NSS, </w:t>
      </w:r>
      <w:r w:rsidRPr="007B5106">
        <w:rPr>
          <w:i/>
        </w:rPr>
        <w:t>ATC industry trade moravia</w:t>
      </w:r>
      <w:r>
        <w:t xml:space="preserve">, </w:t>
      </w:r>
      <w:r w:rsidR="00CA2A50">
        <w:t xml:space="preserve">v němž </w:t>
      </w:r>
      <w:r>
        <w:t>zvláštní senát neměl žádný problém posoudit, zda daná smlouva je či není smlouvou o poskytnutí poštovních služeb</w:t>
      </w:r>
      <w:r w:rsidR="00D200E8">
        <w:t xml:space="preserve"> (srov. body 12 a </w:t>
      </w:r>
      <w:r w:rsidR="00010A27">
        <w:t>13 citovaného usnesení)</w:t>
      </w:r>
      <w:r>
        <w:t xml:space="preserve">. </w:t>
      </w:r>
    </w:p>
    <w:p w14:paraId="26820A2F" w14:textId="0CF05E58" w:rsidR="00C65057" w:rsidRDefault="009F4211" w:rsidP="00C65057">
      <w:pPr>
        <w:pStyle w:val="Styl1"/>
        <w:ind w:left="0" w:firstLine="0"/>
      </w:pPr>
      <w:r>
        <w:t>K</w:t>
      </w:r>
      <w:r w:rsidR="006C0188">
        <w:t> závěru o dostatečné určitosti definice poštovní slu</w:t>
      </w:r>
      <w:r w:rsidR="00D200E8">
        <w:t>žby v českém zákoně směřuje též </w:t>
      </w:r>
      <w:r w:rsidR="006C0188">
        <w:t>judikatura Soudního dvora</w:t>
      </w:r>
      <w:r w:rsidR="00192B83">
        <w:t xml:space="preserve"> a též pohled na právní řády jiných členských zemí EU, které obsahují v zásadě podobnou definici poštovní služby, jako je definice česká</w:t>
      </w:r>
      <w:r w:rsidR="006C0188">
        <w:t xml:space="preserve">. </w:t>
      </w:r>
      <w:r w:rsidR="00CB58A0">
        <w:t xml:space="preserve">Například ve shora cit. věci </w:t>
      </w:r>
      <w:r w:rsidR="00CB58A0" w:rsidRPr="00300468">
        <w:rPr>
          <w:rFonts w:eastAsia="Calibri"/>
          <w:i/>
          <w:lang w:eastAsia="en-US"/>
        </w:rPr>
        <w:t>Confetra</w:t>
      </w:r>
      <w:r w:rsidR="00CB58A0" w:rsidRPr="00300468">
        <w:rPr>
          <w:rFonts w:eastAsia="Calibri"/>
          <w:lang w:eastAsia="en-US"/>
        </w:rPr>
        <w:t xml:space="preserve"> </w:t>
      </w:r>
      <w:r w:rsidR="00CB58A0">
        <w:t>posuzoval Soudní dvůr EU italskou právní úpravu poštovních služeb,</w:t>
      </w:r>
      <w:r w:rsidR="006558D5">
        <w:rPr>
          <w:rStyle w:val="Znakapoznpodarou"/>
        </w:rPr>
        <w:footnoteReference w:id="5"/>
      </w:r>
      <w:r w:rsidR="00CB58A0">
        <w:t xml:space="preserve"> o které poznamenal, že je v podstatě totožná s poštovní směrnicí </w:t>
      </w:r>
      <w:r w:rsidR="00CB58A0">
        <w:rPr>
          <w:rFonts w:eastAsia="Calibri"/>
          <w:lang w:eastAsia="en-US"/>
        </w:rPr>
        <w:t>(</w:t>
      </w:r>
      <w:r w:rsidR="00CB58A0" w:rsidRPr="00300468">
        <w:rPr>
          <w:rFonts w:eastAsia="Calibri"/>
          <w:i/>
          <w:lang w:eastAsia="en-US"/>
        </w:rPr>
        <w:t>Confetra</w:t>
      </w:r>
      <w:r w:rsidR="00CB58A0" w:rsidRPr="00CB58A0">
        <w:rPr>
          <w:rFonts w:eastAsia="Calibri"/>
          <w:lang w:eastAsia="en-US"/>
        </w:rPr>
        <w:t>,</w:t>
      </w:r>
      <w:r w:rsidR="00CB58A0" w:rsidRPr="00300468">
        <w:rPr>
          <w:rFonts w:eastAsia="Calibri"/>
          <w:lang w:eastAsia="en-US"/>
        </w:rPr>
        <w:t xml:space="preserve"> C</w:t>
      </w:r>
      <w:r w:rsidR="00CB58A0" w:rsidRPr="00300468">
        <w:rPr>
          <w:rFonts w:ascii="Times New Roman" w:eastAsia="Calibri" w:hAnsi="Times New Roman"/>
          <w:lang w:eastAsia="en-US"/>
        </w:rPr>
        <w:t>‑</w:t>
      </w:r>
      <w:r w:rsidR="00CB58A0" w:rsidRPr="00300468">
        <w:rPr>
          <w:rFonts w:eastAsia="Calibri"/>
          <w:lang w:eastAsia="en-US"/>
        </w:rPr>
        <w:t>259/16</w:t>
      </w:r>
      <w:r w:rsidR="00CB58A0">
        <w:rPr>
          <w:rFonts w:eastAsia="Calibri"/>
          <w:lang w:eastAsia="en-US"/>
        </w:rPr>
        <w:t>, bod 8).</w:t>
      </w:r>
      <w:r w:rsidR="00CB58A0">
        <w:t xml:space="preserve"> </w:t>
      </w:r>
      <w:r w:rsidR="00192B83">
        <w:t xml:space="preserve">Soudní dvůr se nijak nerozpakoval </w:t>
      </w:r>
      <w:r w:rsidR="00FF123F">
        <w:t>posuzovat, zda poštovní směrnice brání určitému výkladu italského zákona.</w:t>
      </w:r>
      <w:r w:rsidR="00C65057">
        <w:t xml:space="preserve"> </w:t>
      </w:r>
      <w:r w:rsidR="00CA2A50">
        <w:t>Naopak</w:t>
      </w:r>
      <w:r w:rsidR="00C65057">
        <w:t xml:space="preserve"> </w:t>
      </w:r>
      <w:r>
        <w:t>vysvětlil</w:t>
      </w:r>
      <w:r w:rsidR="00C65057">
        <w:t>, že poskytovatelem poštovních služeb je každý podnik, který poskytuje alespoň jednu ze služeb uvedených v čl. 2 odst. 1 poštovní směrnice, pokud se takto poskytované služby nebo služba týkají poštovní zásilky, přičemž činnost p</w:t>
      </w:r>
      <w:r w:rsidR="00D200E8">
        <w:t>odniku nesmí spočívat výlučně v </w:t>
      </w:r>
      <w:r w:rsidR="00C65057">
        <w:t xml:space="preserve">poskytování služeb přepravy. </w:t>
      </w:r>
    </w:p>
    <w:p w14:paraId="65CD65F1" w14:textId="35DB52B9" w:rsidR="00C65057" w:rsidRPr="00B94877" w:rsidRDefault="009F4211" w:rsidP="00C65057">
      <w:pPr>
        <w:pStyle w:val="Styl1"/>
        <w:ind w:left="0" w:firstLine="0"/>
        <w:rPr>
          <w:rFonts w:eastAsia="Calibri" w:cs="Arial"/>
          <w:lang w:eastAsia="en-US"/>
        </w:rPr>
      </w:pPr>
      <w:r>
        <w:t>Stěžovatel má pravdu, že p</w:t>
      </w:r>
      <w:r w:rsidR="00C65057">
        <w:t>okud by skutečně poštovní směrnice byla co do vymezení poštovní služby neurčitá, jen těžko by se Soudní dvůr první př</w:t>
      </w:r>
      <w:r w:rsidR="00D200E8">
        <w:t>edběžnou otázkou spočívající ve </w:t>
      </w:r>
      <w:r w:rsidR="00C65057">
        <w:t xml:space="preserve">výkladu čl. 2 poštovní směrnice vůbec zabýval. Namísto toho Soudní dvůr při výkladu pojmu poštovní služba zcela odkázal </w:t>
      </w:r>
      <w:r w:rsidR="00C65057" w:rsidRPr="00B94877">
        <w:t>na její definici v čl. 2 odst. 1 poštovní směrnice jako služby zahrnující výběr, třídění, přepravu a dodávání poštovních zásilek, tj. na její věcnou náplň</w:t>
      </w:r>
      <w:r w:rsidR="00887BCB" w:rsidRPr="00B94877">
        <w:t xml:space="preserve"> (</w:t>
      </w:r>
      <w:r w:rsidR="00BC7FFD" w:rsidRPr="00B94877">
        <w:rPr>
          <w:rFonts w:eastAsia="Calibri"/>
          <w:i/>
          <w:lang w:eastAsia="en-US"/>
        </w:rPr>
        <w:t>Confetra</w:t>
      </w:r>
      <w:r w:rsidR="00BC7FFD" w:rsidRPr="00B94877">
        <w:t xml:space="preserve">, </w:t>
      </w:r>
      <w:r w:rsidR="00887BCB" w:rsidRPr="00B94877">
        <w:t>bod 40)</w:t>
      </w:r>
      <w:r w:rsidR="00C65057" w:rsidRPr="00B94877">
        <w:t xml:space="preserve">. Na základě takového vymezení poštovní služby pak vyložil i definici poskytovatele poštovní služby. </w:t>
      </w:r>
      <w:r w:rsidR="00CA2A50" w:rsidRPr="00B94877">
        <w:t xml:space="preserve">Soudní dvůr </w:t>
      </w:r>
      <w:r w:rsidR="00AB26FF" w:rsidRPr="00B94877">
        <w:t>neměl zjevně p</w:t>
      </w:r>
      <w:r w:rsidR="00C65057" w:rsidRPr="00B94877">
        <w:t xml:space="preserve">ochybnosti o určitosti definice poštovní služby. </w:t>
      </w:r>
      <w:r w:rsidR="00D200E8">
        <w:t>I </w:t>
      </w:r>
      <w:r w:rsidR="00AB26FF" w:rsidRPr="00B94877">
        <w:t xml:space="preserve">proto NSS </w:t>
      </w:r>
      <w:r w:rsidR="00C65057" w:rsidRPr="00B94877">
        <w:t>ne</w:t>
      </w:r>
      <w:r w:rsidR="00AB26FF" w:rsidRPr="00B94877">
        <w:t>vid</w:t>
      </w:r>
      <w:r w:rsidR="00C65057" w:rsidRPr="00B94877">
        <w:t>í důvod pochybovat o určitosti obdobně k</w:t>
      </w:r>
      <w:r w:rsidR="00D200E8">
        <w:t>onstruované definice v zákoně o </w:t>
      </w:r>
      <w:r w:rsidR="00C65057" w:rsidRPr="00B94877">
        <w:t>poštovních službách.</w:t>
      </w:r>
    </w:p>
    <w:p w14:paraId="13CCC996" w14:textId="07916C51" w:rsidR="00242E21" w:rsidRPr="00595739" w:rsidRDefault="009F4211" w:rsidP="00595739">
      <w:pPr>
        <w:pStyle w:val="Styl1"/>
        <w:ind w:left="0" w:firstLine="0"/>
      </w:pPr>
      <w:r w:rsidRPr="00595739">
        <w:t xml:space="preserve">Ostatně podobné definice zná nejenom </w:t>
      </w:r>
      <w:r w:rsidR="00CA2A50" w:rsidRPr="00595739">
        <w:t xml:space="preserve">český </w:t>
      </w:r>
      <w:r w:rsidRPr="00595739">
        <w:t xml:space="preserve">zákon (či </w:t>
      </w:r>
      <w:r w:rsidR="000111CA">
        <w:t>zmíněný</w:t>
      </w:r>
      <w:r w:rsidRPr="00595739">
        <w:t xml:space="preserve"> zákon italský), ale též zákony dalších členských zemí EU. </w:t>
      </w:r>
      <w:r w:rsidR="00595739">
        <w:t xml:space="preserve">Vnitrostátní úpravy členských států totiž většinou vycházejí z definic upravených již na evropské úrovni v poštovní směrnici. </w:t>
      </w:r>
      <w:r w:rsidR="00242E21" w:rsidRPr="00595739">
        <w:t>Například slovenský zákon č.</w:t>
      </w:r>
      <w:r w:rsidR="004E65B3">
        <w:t> </w:t>
      </w:r>
      <w:r w:rsidR="00242E21" w:rsidRPr="00595739">
        <w:t>324/2011 Z. z., o poštových službách, definuje v § 2 odst. 1 poštovní služby (</w:t>
      </w:r>
      <w:r w:rsidR="00242E21" w:rsidRPr="00595739">
        <w:rPr>
          <w:i/>
        </w:rPr>
        <w:t>poštové služby</w:t>
      </w:r>
      <w:r w:rsidR="00242E21" w:rsidRPr="00595739">
        <w:t xml:space="preserve">) jako </w:t>
      </w:r>
      <w:r w:rsidR="00242E21" w:rsidRPr="00595739">
        <w:rPr>
          <w:i/>
        </w:rPr>
        <w:t>služby poskytované na účely dodania poštovej zásielky, a to vybranie a distribúcia poštovej zásielky</w:t>
      </w:r>
      <w:r w:rsidR="00242E21" w:rsidRPr="00595739">
        <w:t>. Výběr poštovní zásilky (</w:t>
      </w:r>
      <w:r w:rsidR="00242E21" w:rsidRPr="00595739">
        <w:rPr>
          <w:i/>
        </w:rPr>
        <w:t>vybranie poštovej zásielky</w:t>
      </w:r>
      <w:r w:rsidR="00242E21" w:rsidRPr="00595739">
        <w:t>) je převzetí poštovní zási</w:t>
      </w:r>
      <w:r w:rsidR="00D200E8">
        <w:t>lky poštovním podnikem od </w:t>
      </w:r>
      <w:r w:rsidR="00242E21" w:rsidRPr="00595739">
        <w:t xml:space="preserve">odesílatele nebo podatele, včetně převzetí prostřednictvím přístupového místa poštovní sítě nebo kontaktního místa poštovní sítě (§ 2 odst. 2 zákona o poštových službách). Distribucí je pak zpracování poštovní zásilky </w:t>
      </w:r>
      <w:r w:rsidR="00595739" w:rsidRPr="00595739">
        <w:rPr>
          <w:rFonts w:cs="Arial"/>
        </w:rPr>
        <w:t>po jejím vybrání na přepravní směry nebo místo dodání, až po její dodání. Distribuce zahrnuje třídění, přepravu a dodání poštovní zásilky</w:t>
      </w:r>
      <w:r w:rsidR="00595739">
        <w:rPr>
          <w:rFonts w:cs="Arial"/>
        </w:rPr>
        <w:t xml:space="preserve"> </w:t>
      </w:r>
      <w:r w:rsidR="00595739" w:rsidRPr="00595739">
        <w:t xml:space="preserve">(§ 2 odst. </w:t>
      </w:r>
      <w:r w:rsidR="00595739">
        <w:t>3</w:t>
      </w:r>
      <w:r w:rsidR="00D200E8">
        <w:t xml:space="preserve"> zákona o </w:t>
      </w:r>
      <w:r w:rsidR="00595739" w:rsidRPr="00595739">
        <w:t>poštových službách).</w:t>
      </w:r>
      <w:r w:rsidR="00595739">
        <w:t xml:space="preserve"> </w:t>
      </w:r>
      <w:r w:rsidR="00595739" w:rsidRPr="00595739">
        <w:t>Podobně jako česk</w:t>
      </w:r>
      <w:r w:rsidR="00595739">
        <w:t>ý</w:t>
      </w:r>
      <w:r w:rsidR="00595739" w:rsidRPr="00595739">
        <w:t xml:space="preserve"> </w:t>
      </w:r>
      <w:r w:rsidR="00595739">
        <w:t xml:space="preserve">zákon též zákon </w:t>
      </w:r>
      <w:r w:rsidR="00595739" w:rsidRPr="00595739">
        <w:t>slovensk</w:t>
      </w:r>
      <w:r w:rsidR="00595739">
        <w:t xml:space="preserve">ý </w:t>
      </w:r>
      <w:r w:rsidR="00595739" w:rsidRPr="00595739">
        <w:t>obsahuje negativní definici poštovní služby</w:t>
      </w:r>
      <w:r w:rsidR="00595739">
        <w:t xml:space="preserve"> </w:t>
      </w:r>
      <w:r w:rsidR="00595739" w:rsidRPr="00595739">
        <w:t xml:space="preserve">(§ 2 odst. </w:t>
      </w:r>
      <w:r w:rsidR="00595739">
        <w:t>9 a 10</w:t>
      </w:r>
      <w:r w:rsidR="00595739" w:rsidRPr="00595739">
        <w:t xml:space="preserve"> zákona o poštových službách).</w:t>
      </w:r>
    </w:p>
    <w:p w14:paraId="325E3CB6" w14:textId="6B4CFAE5" w:rsidR="00242E21" w:rsidRDefault="00595739" w:rsidP="008C3450">
      <w:pPr>
        <w:pStyle w:val="Styl1"/>
        <w:ind w:left="0" w:firstLine="0"/>
      </w:pPr>
      <w:r>
        <w:t>Ani německá úprava neobsahuje nějakou zázračnou definici, která by byla jednoznačnější než definice česká. Poštovní zákon (</w:t>
      </w:r>
      <w:r w:rsidRPr="00595739">
        <w:rPr>
          <w:i/>
        </w:rPr>
        <w:t>Postgesetz</w:t>
      </w:r>
      <w:r>
        <w:t>)</w:t>
      </w:r>
      <w:r w:rsidR="009D44D5">
        <w:rPr>
          <w:rStyle w:val="Znakapoznpodarou"/>
        </w:rPr>
        <w:footnoteReference w:id="6"/>
      </w:r>
      <w:r w:rsidRPr="00595739">
        <w:t xml:space="preserve"> </w:t>
      </w:r>
      <w:r>
        <w:t xml:space="preserve">v § 4 odst. 1 </w:t>
      </w:r>
      <w:r w:rsidR="008C3450">
        <w:t>definuje</w:t>
      </w:r>
      <w:r w:rsidR="008C3450" w:rsidRPr="008C3450">
        <w:t xml:space="preserve"> poštovní služby jako činnost provozovanou za účelem zisku, která zahrnuje přepravu a) listovních zásilek, b) přepravu adresných balíků s váhou nepřevyšující 20 kg a c) přepravu knih, katalogů, novin a časopisů, pokud je jejich přeprava vykonávána společnostmi, které </w:t>
      </w:r>
      <w:r w:rsidR="00D200E8">
        <w:t>vykonávají činnosti uvedené pod </w:t>
      </w:r>
      <w:r w:rsidR="008C3450" w:rsidRPr="008C3450">
        <w:t xml:space="preserve">písmeny a) a b). Přepravou se rozumí výběr, směrování a dodávání poštovních zásilek adresátovi. </w:t>
      </w:r>
      <w:r>
        <w:t xml:space="preserve"> </w:t>
      </w:r>
    </w:p>
    <w:p w14:paraId="644BD4F4" w14:textId="44AC21B3" w:rsidR="004E65B3" w:rsidRDefault="004E65B3" w:rsidP="008C3450">
      <w:pPr>
        <w:pStyle w:val="Styl1"/>
        <w:ind w:left="0" w:firstLine="0"/>
      </w:pPr>
      <w:r>
        <w:t xml:space="preserve">Podobné vymezení zná i rakouské právo. Podle </w:t>
      </w:r>
      <w:r w:rsidR="00C86E80">
        <w:t xml:space="preserve">§ 3 bodu 2 a 3 </w:t>
      </w:r>
      <w:r>
        <w:t>spolkového zákona o regulaci poštovního trhu (</w:t>
      </w:r>
      <w:r w:rsidRPr="005B5DC0">
        <w:rPr>
          <w:i/>
          <w:iCs/>
        </w:rPr>
        <w:t>Postmarktgesetz</w:t>
      </w:r>
      <w:r w:rsidRPr="004E65B3">
        <w:t>-PMG</w:t>
      </w:r>
      <w:r w:rsidR="00EA2A24" w:rsidRPr="00EA2A24">
        <w:rPr>
          <w:rStyle w:val="Znakapoznpodarou"/>
        </w:rPr>
        <w:footnoteReference w:customMarkFollows="1" w:id="7"/>
        <w:sym w:font="Symbol" w:char="F022"/>
      </w:r>
      <w:r w:rsidRPr="004E65B3">
        <w:t>)</w:t>
      </w:r>
      <w:r>
        <w:t xml:space="preserve"> </w:t>
      </w:r>
      <w:r w:rsidR="00C86E80">
        <w:t>se p</w:t>
      </w:r>
      <w:r w:rsidR="00C86E80" w:rsidRPr="00C86E80">
        <w:t>oštovní službou</w:t>
      </w:r>
      <w:r w:rsidR="00C86E80">
        <w:t xml:space="preserve"> </w:t>
      </w:r>
      <w:r w:rsidR="00C86E80" w:rsidRPr="00C86E80">
        <w:t>rozumí služby související se sběrem, tříděním, přepravou a doručováním poštovních zásilek</w:t>
      </w:r>
      <w:r w:rsidR="00C86E80">
        <w:t>, přičemž poskytovatelem poštovní služby je společnost, která poskytuje jednu či více poštovních služeb.</w:t>
      </w:r>
      <w:r w:rsidR="007D3A58">
        <w:t xml:space="preserve"> Ve čtvrté části zákona pak rakouský zákon detailně upravuje práva a povinnosti provozovatelů poštovních služeb, </w:t>
      </w:r>
      <w:r w:rsidR="007F7A86">
        <w:t xml:space="preserve">tedy </w:t>
      </w:r>
      <w:r w:rsidR="007D3A58">
        <w:t xml:space="preserve">provozovatelů odlišných od poskytovatele univerzálních služeb. </w:t>
      </w:r>
    </w:p>
    <w:p w14:paraId="4C356F61" w14:textId="1E318D28" w:rsidR="00242E21" w:rsidRDefault="008C3450" w:rsidP="008C3450">
      <w:pPr>
        <w:pStyle w:val="Styl1"/>
        <w:ind w:left="0" w:firstLine="0"/>
      </w:pPr>
      <w:r>
        <w:t>Z uvedeného plyne, že definice upravená v českém zákoně je nejenom dostatečná, ale též zcela srovnatelná s podobnými definicemi obsaženými v zákonech jiných členských států EU.</w:t>
      </w:r>
      <w:r w:rsidR="007F7A86">
        <w:t xml:space="preserve"> Současně v žádném shora zmíněném státě se nevztahuje podo</w:t>
      </w:r>
      <w:r w:rsidR="00D200E8">
        <w:t>bný zákon jako je český zákon o </w:t>
      </w:r>
      <w:r w:rsidR="007F7A86">
        <w:t>poštovních službách jen na jediný subjekt, ale na všechny podnikatele poskytující poštovní služby</w:t>
      </w:r>
      <w:r w:rsidR="00010A27">
        <w:t xml:space="preserve"> (srov. k tomu následující část tohoto rozsudku)</w:t>
      </w:r>
      <w:r w:rsidR="007F7A86">
        <w:t>.</w:t>
      </w:r>
    </w:p>
    <w:p w14:paraId="38FEB4CE" w14:textId="683B2DAB" w:rsidR="00086A97" w:rsidRDefault="009C71FE" w:rsidP="008C3450">
      <w:pPr>
        <w:pStyle w:val="Styl1"/>
        <w:ind w:left="0" w:firstLine="0"/>
      </w:pPr>
      <w:r>
        <w:t>Nad rámec nezbytně nutného rozšířený senát upozorňu</w:t>
      </w:r>
      <w:r w:rsidR="00D200E8">
        <w:t>je stěžovatele, že s ohledem na </w:t>
      </w:r>
      <w:r>
        <w:t xml:space="preserve">judikaturní obrat v této věci je třeba při eventuálních řízeních o správním trestání </w:t>
      </w:r>
      <w:r w:rsidR="00086A97">
        <w:t xml:space="preserve">(typicky </w:t>
      </w:r>
      <w:r w:rsidR="00086A97">
        <w:rPr>
          <w:rFonts w:eastAsia="Calibri" w:cs="Arial"/>
          <w:lang w:eastAsia="en-US"/>
        </w:rPr>
        <w:t xml:space="preserve">přestupky spočívající v podnikání a poskytování poštovních služeb bez oprávnění) </w:t>
      </w:r>
      <w:r>
        <w:t xml:space="preserve">chránit dobrou víru těch, </w:t>
      </w:r>
      <w:r w:rsidR="00086A97">
        <w:t xml:space="preserve">kteří vycházeli z dosavadní judikatury a měli za to, že jejich podnikání není zákonem o poštovních službách regulováno. </w:t>
      </w:r>
      <w:r w:rsidR="002E359B">
        <w:t xml:space="preserve">Jednoduše řečeno, </w:t>
      </w:r>
      <w:r w:rsidR="00D200E8">
        <w:t>nikdo by neměl být postižen za </w:t>
      </w:r>
      <w:r w:rsidR="00190DDF">
        <w:t>to, že do</w:t>
      </w:r>
      <w:r w:rsidR="00B94877">
        <w:t>su</w:t>
      </w:r>
      <w:r w:rsidR="00190DDF">
        <w:t>d jednal v důvěře v dosavadní – v tomto rozsudku překonanou – judikaturu.</w:t>
      </w:r>
    </w:p>
    <w:p w14:paraId="1E6B1123" w14:textId="66284DBF" w:rsidR="009C71FE" w:rsidRDefault="00086A97" w:rsidP="00086A97">
      <w:pPr>
        <w:pStyle w:val="Styl1"/>
        <w:ind w:left="0" w:firstLine="0"/>
      </w:pPr>
      <w:r>
        <w:t xml:space="preserve">Postih protiprávního jednání </w:t>
      </w:r>
      <w:r w:rsidR="002E359B">
        <w:t xml:space="preserve">totiž </w:t>
      </w:r>
      <w:r>
        <w:t>musí mít základ v zákoně. Zákony mohou a často musí být formulovány abstraktně, aby se vyhnuly příliš rigidní aplikaci a aby se mohly přizpůsobit měnícím se okolnostem. Výklad a předvídatelnost takových právn</w:t>
      </w:r>
      <w:r w:rsidR="00D200E8">
        <w:t>ích textů pak logicky závisí na </w:t>
      </w:r>
      <w:r>
        <w:t xml:space="preserve">praxi (viz </w:t>
      </w:r>
      <w:r w:rsidRPr="00086A97">
        <w:rPr>
          <w:i/>
          <w:iCs/>
        </w:rPr>
        <w:t>Cantoni proti Francii</w:t>
      </w:r>
      <w:r>
        <w:t>, rozsudek velkého senátu ESLP, 15. 11. 1996, č. 17862/91, § 31). Zákon společně se správní a justiční praxí tvoří tzv. „zákon v materiálním smyslu“, jehož předvídatelnost je pro trestní sankci klíčová. Obecně formulované zákony z logiky věci vytváří určité šedé zóny na okrajích jejich definice. V nynějším případě vša</w:t>
      </w:r>
      <w:r w:rsidR="00D200E8">
        <w:t>k judikatura aplikující zákon o </w:t>
      </w:r>
      <w:r>
        <w:t xml:space="preserve">poštovních službách odňala tomuto zákonu určitost </w:t>
      </w:r>
      <w:r w:rsidR="00D200E8">
        <w:t>v naprosto běžných a rutinně se </w:t>
      </w:r>
      <w:r>
        <w:t>vyskytujících situacích. Až do vydání nynějšího rozsudku rozšířeného senátu totiž nebylo vůbec jasné, na koho vlastně tento zákon dopadá (</w:t>
      </w:r>
      <w:r w:rsidR="00661472">
        <w:t xml:space="preserve">podobně </w:t>
      </w:r>
      <w:r w:rsidRPr="00086A97">
        <w:t xml:space="preserve">rozsudek </w:t>
      </w:r>
      <w:r>
        <w:t>NSS</w:t>
      </w:r>
      <w:r w:rsidRPr="00086A97">
        <w:t xml:space="preserve"> ze dne 25.</w:t>
      </w:r>
      <w:r>
        <w:t xml:space="preserve"> </w:t>
      </w:r>
      <w:r w:rsidRPr="00086A97">
        <w:t>2.</w:t>
      </w:r>
      <w:r>
        <w:t> </w:t>
      </w:r>
      <w:r w:rsidR="00D200E8">
        <w:t>2015, čj. </w:t>
      </w:r>
      <w:r w:rsidRPr="00086A97">
        <w:t>1 As 113/2012</w:t>
      </w:r>
      <w:r>
        <w:t>-</w:t>
      </w:r>
      <w:r w:rsidRPr="00086A97">
        <w:t>133, č.</w:t>
      </w:r>
      <w:r>
        <w:t> </w:t>
      </w:r>
      <w:r w:rsidRPr="00086A97">
        <w:t>3222/2015 Sb. NSS</w:t>
      </w:r>
      <w:r>
        <w:t>, věc</w:t>
      </w:r>
      <w:r w:rsidRPr="00086A97">
        <w:rPr>
          <w:i/>
          <w:iCs/>
        </w:rPr>
        <w:t xml:space="preserve"> Ryneš</w:t>
      </w:r>
      <w:r>
        <w:t>, bod 69).</w:t>
      </w:r>
    </w:p>
    <w:p w14:paraId="0C7D3E70" w14:textId="77777777" w:rsidR="001E23CD" w:rsidRPr="00D200E8" w:rsidRDefault="001E23CD" w:rsidP="006A77EE">
      <w:pPr>
        <w:pStyle w:val="Styl1"/>
        <w:numPr>
          <w:ilvl w:val="0"/>
          <w:numId w:val="0"/>
        </w:numPr>
        <w:rPr>
          <w:bCs/>
          <w:sz w:val="6"/>
        </w:rPr>
      </w:pPr>
    </w:p>
    <w:p w14:paraId="3BD1168B" w14:textId="77777777" w:rsidR="006A77EE" w:rsidRPr="006A77EE" w:rsidRDefault="006A77EE" w:rsidP="00661472">
      <w:pPr>
        <w:pStyle w:val="Styl1"/>
        <w:numPr>
          <w:ilvl w:val="0"/>
          <w:numId w:val="0"/>
        </w:numPr>
        <w:jc w:val="center"/>
        <w:rPr>
          <w:b/>
          <w:bCs/>
        </w:rPr>
      </w:pPr>
      <w:r w:rsidRPr="002771BD">
        <w:rPr>
          <w:bCs/>
        </w:rPr>
        <w:t xml:space="preserve">IV. 2. </w:t>
      </w:r>
      <w:r w:rsidR="00C65057">
        <w:rPr>
          <w:bCs/>
        </w:rPr>
        <w:t>B</w:t>
      </w:r>
      <w:r w:rsidRPr="002771BD">
        <w:rPr>
          <w:bCs/>
        </w:rPr>
        <w:t>.</w:t>
      </w:r>
      <w:r w:rsidRPr="006A77EE">
        <w:rPr>
          <w:b/>
          <w:bCs/>
        </w:rPr>
        <w:t xml:space="preserve"> </w:t>
      </w:r>
      <w:r w:rsidRPr="002771BD">
        <w:rPr>
          <w:i/>
        </w:rPr>
        <w:t xml:space="preserve">Zákon o poštovních službách ve znění účinném do 14. 4. 2020 se vztahoval na </w:t>
      </w:r>
      <w:r w:rsidR="001A7730">
        <w:rPr>
          <w:i/>
        </w:rPr>
        <w:t>všechny</w:t>
      </w:r>
      <w:r w:rsidRPr="002771BD">
        <w:rPr>
          <w:i/>
        </w:rPr>
        <w:t xml:space="preserve"> poskytovatele poštovních služeb, nejenom na držitele poštovní licence</w:t>
      </w:r>
    </w:p>
    <w:p w14:paraId="5F5AB3C0" w14:textId="257BDE91" w:rsidR="004874E1" w:rsidRPr="00171873" w:rsidRDefault="004874E1" w:rsidP="004874E1">
      <w:pPr>
        <w:pStyle w:val="Styl1"/>
        <w:ind w:left="0" w:firstLine="0"/>
        <w:rPr>
          <w:rFonts w:eastAsia="Calibri"/>
          <w:lang w:eastAsia="en-US"/>
        </w:rPr>
      </w:pPr>
      <w:r>
        <w:t>Dle § 1 odst. 1 zákona o poštovních službách tento zákon up</w:t>
      </w:r>
      <w:r w:rsidRPr="004874E1">
        <w:t xml:space="preserve">ravuje </w:t>
      </w:r>
      <w:r w:rsidRPr="004874E1">
        <w:rPr>
          <w:i/>
        </w:rPr>
        <w:t>podmínky pro podnikání v oblasti poštovních služeb, podmínky pro poskytování a provozování poštovních služeb, práva a povinnosti, které při této činnosti vznikají, jakož i zvláštní práva a zvláštní povinnosti těch provozovatelů poštovních služeb, kteří mají povinnost poskytovat a zajišťovat základní služby, a výkon státní správy a regulaci v oblasti poštovních služeb</w:t>
      </w:r>
      <w:r>
        <w:t xml:space="preserve">. Jak správně upozornil stěžovatel, </w:t>
      </w:r>
      <w:r w:rsidR="00CA2A50">
        <w:t>toto</w:t>
      </w:r>
      <w:r>
        <w:t xml:space="preserve"> </w:t>
      </w:r>
      <w:r w:rsidR="00CA2A50">
        <w:t xml:space="preserve">ani jiné </w:t>
      </w:r>
      <w:r>
        <w:t xml:space="preserve">ustanovení </w:t>
      </w:r>
      <w:r w:rsidR="00CA2A50">
        <w:t xml:space="preserve">zákona </w:t>
      </w:r>
      <w:r>
        <w:t xml:space="preserve">neuvádí, že by předmětem regulace byly jen služby poskytované držitelem poštovní licence. Zvláštní práva </w:t>
      </w:r>
      <w:r w:rsidR="00FA5B8D">
        <w:t>a </w:t>
      </w:r>
      <w:r>
        <w:t xml:space="preserve">zvláštní povinnosti provozovatelů poštovních služeb povinných poskytovat a zajišťovat základní služby (tj. držitelů poštovní licence, viz § 21 odst. 2 zákona o poštovních službách) tvoří pouze </w:t>
      </w:r>
      <w:r w:rsidR="009A2CDE">
        <w:t>výse</w:t>
      </w:r>
      <w:r w:rsidR="004B3A04">
        <w:t>č</w:t>
      </w:r>
      <w:r w:rsidR="0086003D">
        <w:t xml:space="preserve"> poštovních služeb</w:t>
      </w:r>
      <w:r>
        <w:t>, kter</w:t>
      </w:r>
      <w:r w:rsidR="0086003D">
        <w:t>ých</w:t>
      </w:r>
      <w:r>
        <w:t xml:space="preserve"> se právní úprava zákona o poštovních službách dotýká. Předmětem úpravy jsou paralelně i podmínky pro poskytování a provozování (ostatních) poštovních služeb. Rozšířený senát tedy souhlasí s tím, že z § 1 odst. 1 zákona o poštovních službách je zřejmé, že tento zákon dopadá na všechny subjekty</w:t>
      </w:r>
      <w:r w:rsidR="00CA2A50">
        <w:t>, které</w:t>
      </w:r>
      <w:r>
        <w:t xml:space="preserve"> poskytují poštovní služby.</w:t>
      </w:r>
    </w:p>
    <w:p w14:paraId="35AEC41D" w14:textId="2291C624" w:rsidR="001A7730" w:rsidRPr="00B94877" w:rsidRDefault="0054172B" w:rsidP="00171873">
      <w:pPr>
        <w:pStyle w:val="Styl1"/>
        <w:ind w:left="0" w:firstLine="0"/>
        <w:rPr>
          <w:rFonts w:eastAsia="Calibri"/>
          <w:lang w:eastAsia="en-US"/>
        </w:rPr>
      </w:pPr>
      <w:r w:rsidRPr="0054172B">
        <w:rPr>
          <w:rFonts w:eastAsia="Calibri"/>
          <w:lang w:eastAsia="en-US"/>
        </w:rPr>
        <w:t xml:space="preserve">Druhá věta </w:t>
      </w:r>
      <w:r w:rsidR="00171873">
        <w:rPr>
          <w:rFonts w:eastAsia="Calibri"/>
          <w:lang w:eastAsia="en-US"/>
        </w:rPr>
        <w:t xml:space="preserve">§ 5 odst. 1 </w:t>
      </w:r>
      <w:r w:rsidR="00171873" w:rsidRPr="00171873">
        <w:rPr>
          <w:rFonts w:eastAsia="Calibri"/>
          <w:lang w:eastAsia="en-US"/>
        </w:rPr>
        <w:t>zákon</w:t>
      </w:r>
      <w:r w:rsidR="00171873">
        <w:rPr>
          <w:rFonts w:eastAsia="Calibri"/>
          <w:lang w:eastAsia="en-US"/>
        </w:rPr>
        <w:t>a</w:t>
      </w:r>
      <w:r w:rsidR="00171873" w:rsidRPr="00171873">
        <w:rPr>
          <w:rFonts w:eastAsia="Calibri"/>
          <w:lang w:eastAsia="en-US"/>
        </w:rPr>
        <w:t xml:space="preserve"> </w:t>
      </w:r>
      <w:r w:rsidR="00171873">
        <w:rPr>
          <w:rFonts w:eastAsia="Calibri"/>
          <w:lang w:eastAsia="en-US"/>
        </w:rPr>
        <w:t xml:space="preserve">o poštovních službách </w:t>
      </w:r>
      <w:r w:rsidRPr="0054172B">
        <w:rPr>
          <w:rFonts w:eastAsia="Calibri"/>
          <w:lang w:eastAsia="en-US"/>
        </w:rPr>
        <w:t>dává jasně na vědomí, že</w:t>
      </w:r>
      <w:r w:rsidR="00D200E8">
        <w:rPr>
          <w:rFonts w:eastAsia="Calibri"/>
          <w:lang w:eastAsia="en-US"/>
        </w:rPr>
        <w:t> pro </w:t>
      </w:r>
      <w:r>
        <w:rPr>
          <w:rFonts w:eastAsia="Calibri"/>
          <w:lang w:eastAsia="en-US"/>
        </w:rPr>
        <w:t xml:space="preserve">podřazení určitého závazku pod režim poštovní smlouvy ve smyslu zákona o poštovních službách není podstatné, jak smlouvu pojmenují její účastníci, respektive že se smluvní strany rozhodnou podřadit pod nějaký jiný právní režim. Jak totiž říká § 5 odst. 1 věta druhá zákona </w:t>
      </w:r>
      <w:r w:rsidR="00FA5B8D">
        <w:rPr>
          <w:rFonts w:eastAsia="Calibri"/>
          <w:lang w:eastAsia="en-US"/>
        </w:rPr>
        <w:t>o </w:t>
      </w:r>
      <w:r>
        <w:rPr>
          <w:rFonts w:eastAsia="Calibri"/>
          <w:lang w:eastAsia="en-US"/>
        </w:rPr>
        <w:t xml:space="preserve">poštovních službách, </w:t>
      </w:r>
      <w:r w:rsidRPr="0054172B">
        <w:rPr>
          <w:rFonts w:eastAsia="Calibri"/>
          <w:i/>
          <w:lang w:eastAsia="en-US"/>
        </w:rPr>
        <w:t xml:space="preserve">za </w:t>
      </w:r>
      <w:r w:rsidRPr="00B94877">
        <w:rPr>
          <w:rFonts w:eastAsia="Calibri"/>
          <w:i/>
          <w:lang w:eastAsia="en-US"/>
        </w:rPr>
        <w:t>poštovní smlouvu se považuje jakákoliv smlouva, jejímž předmětem je poskytnutí poštovní služby</w:t>
      </w:r>
      <w:r w:rsidRPr="00B94877">
        <w:rPr>
          <w:rFonts w:eastAsia="Calibri"/>
          <w:lang w:eastAsia="en-US"/>
        </w:rPr>
        <w:t xml:space="preserve">. </w:t>
      </w:r>
      <w:r w:rsidR="001A7730" w:rsidRPr="00B94877">
        <w:rPr>
          <w:rFonts w:eastAsia="Calibri"/>
          <w:lang w:eastAsia="en-US"/>
        </w:rPr>
        <w:t xml:space="preserve">Zákon tak staví režim poštovní smlouvy mimo dispozici stran, jde jednoznačně </w:t>
      </w:r>
      <w:r w:rsidR="00FA5B8D" w:rsidRPr="00B94877">
        <w:rPr>
          <w:rFonts w:eastAsia="Calibri"/>
          <w:lang w:eastAsia="en-US"/>
        </w:rPr>
        <w:t>o </w:t>
      </w:r>
      <w:r w:rsidR="001A7730" w:rsidRPr="00B94877">
        <w:rPr>
          <w:rFonts w:eastAsia="Calibri"/>
          <w:lang w:eastAsia="en-US"/>
        </w:rPr>
        <w:t xml:space="preserve">normu </w:t>
      </w:r>
      <w:r w:rsidR="001A7730" w:rsidRPr="00B94877">
        <w:rPr>
          <w:rFonts w:eastAsia="Calibri"/>
          <w:u w:val="single"/>
          <w:lang w:eastAsia="en-US"/>
        </w:rPr>
        <w:t>kogentní</w:t>
      </w:r>
      <w:r w:rsidR="00823062" w:rsidRPr="00B94877">
        <w:rPr>
          <w:rFonts w:eastAsia="Calibri"/>
          <w:lang w:eastAsia="en-US"/>
        </w:rPr>
        <w:t xml:space="preserve"> (shodně cit. usnesení zvláštního senátu Konf 14/2019, </w:t>
      </w:r>
      <w:r w:rsidR="00823062" w:rsidRPr="00B94877">
        <w:rPr>
          <w:rFonts w:eastAsia="Calibri"/>
          <w:i/>
          <w:iCs/>
          <w:lang w:eastAsia="en-US"/>
        </w:rPr>
        <w:t>ATC industry trade moravia</w:t>
      </w:r>
      <w:r w:rsidR="00823062" w:rsidRPr="00B94877">
        <w:rPr>
          <w:rFonts w:eastAsia="Calibri"/>
          <w:lang w:eastAsia="en-US"/>
        </w:rPr>
        <w:t>, body 15 a 16)</w:t>
      </w:r>
      <w:r w:rsidR="001A7730" w:rsidRPr="00B94877">
        <w:rPr>
          <w:rFonts w:eastAsia="Calibri"/>
          <w:lang w:eastAsia="en-US"/>
        </w:rPr>
        <w:t>. Každý</w:t>
      </w:r>
      <w:r w:rsidR="00437201" w:rsidRPr="00B94877">
        <w:rPr>
          <w:rFonts w:eastAsia="Calibri"/>
          <w:lang w:eastAsia="en-US"/>
        </w:rPr>
        <w:t xml:space="preserve"> podnikatel</w:t>
      </w:r>
      <w:r w:rsidR="001A7730" w:rsidRPr="00B94877">
        <w:rPr>
          <w:rFonts w:eastAsia="Calibri"/>
          <w:lang w:eastAsia="en-US"/>
        </w:rPr>
        <w:t>, k</w:t>
      </w:r>
      <w:r w:rsidR="00437201" w:rsidRPr="00B94877">
        <w:rPr>
          <w:rFonts w:eastAsia="Calibri"/>
          <w:lang w:eastAsia="en-US"/>
        </w:rPr>
        <w:t xml:space="preserve">terý uzavírá smlouvy </w:t>
      </w:r>
      <w:r w:rsidR="004B3A04" w:rsidRPr="00B94877">
        <w:rPr>
          <w:rFonts w:eastAsia="Calibri"/>
          <w:lang w:eastAsia="en-US"/>
        </w:rPr>
        <w:t>obsahově odpovídající poštovní smlouvě,</w:t>
      </w:r>
      <w:r w:rsidR="00437201" w:rsidRPr="00B94877">
        <w:rPr>
          <w:rFonts w:eastAsia="Calibri"/>
          <w:lang w:eastAsia="en-US"/>
        </w:rPr>
        <w:t xml:space="preserve"> </w:t>
      </w:r>
      <w:r w:rsidR="00F51B29" w:rsidRPr="00B94877">
        <w:rPr>
          <w:rFonts w:eastAsia="Calibri"/>
          <w:lang w:eastAsia="en-US"/>
        </w:rPr>
        <w:t xml:space="preserve">tak </w:t>
      </w:r>
      <w:r w:rsidR="00437201" w:rsidRPr="00B94877">
        <w:rPr>
          <w:rFonts w:eastAsia="Calibri"/>
          <w:lang w:eastAsia="en-US"/>
        </w:rPr>
        <w:t>poskytuje poštovní služby</w:t>
      </w:r>
      <w:r w:rsidR="00823062" w:rsidRPr="00B94877">
        <w:rPr>
          <w:rFonts w:eastAsia="Calibri"/>
          <w:lang w:eastAsia="en-US"/>
        </w:rPr>
        <w:t>,</w:t>
      </w:r>
      <w:r w:rsidR="00437201" w:rsidRPr="00B94877">
        <w:rPr>
          <w:rFonts w:eastAsia="Calibri"/>
          <w:lang w:eastAsia="en-US"/>
        </w:rPr>
        <w:t xml:space="preserve"> je </w:t>
      </w:r>
      <w:r w:rsidR="00F51B29" w:rsidRPr="00B94877">
        <w:rPr>
          <w:rFonts w:eastAsia="Calibri"/>
          <w:lang w:eastAsia="en-US"/>
        </w:rPr>
        <w:t xml:space="preserve">tedy </w:t>
      </w:r>
      <w:r w:rsidR="00437201" w:rsidRPr="00B94877">
        <w:rPr>
          <w:rFonts w:eastAsia="Calibri"/>
          <w:lang w:eastAsia="en-US"/>
        </w:rPr>
        <w:t>provozovatelem poštovní služby.</w:t>
      </w:r>
      <w:r w:rsidR="001A7730" w:rsidRPr="00B94877">
        <w:rPr>
          <w:rFonts w:eastAsia="Calibri"/>
          <w:lang w:eastAsia="en-US"/>
        </w:rPr>
        <w:t xml:space="preserve"> </w:t>
      </w:r>
    </w:p>
    <w:p w14:paraId="62FACD5A" w14:textId="5C5F0B8F" w:rsidR="000D53D7" w:rsidRPr="00C65057" w:rsidRDefault="00171873" w:rsidP="00D200E8">
      <w:pPr>
        <w:pStyle w:val="Styl1"/>
        <w:spacing w:after="80"/>
        <w:ind w:left="0" w:firstLine="0"/>
        <w:rPr>
          <w:rFonts w:eastAsia="Calibri"/>
          <w:lang w:eastAsia="en-US"/>
        </w:rPr>
      </w:pPr>
      <w:r w:rsidRPr="00C65057">
        <w:rPr>
          <w:rFonts w:eastAsia="Calibri"/>
          <w:lang w:eastAsia="en-US"/>
        </w:rPr>
        <w:t>Tento jednoduchý j</w:t>
      </w:r>
      <w:r w:rsidR="000D53D7" w:rsidRPr="00C65057">
        <w:rPr>
          <w:rFonts w:eastAsia="Calibri"/>
          <w:lang w:eastAsia="en-US"/>
        </w:rPr>
        <w:t xml:space="preserve">azykový výklad je v plném souladu se záměrem historického zákonodárce, na který lze usuzovat z důvodové zprávy k vládnímu návrhu „liberalizační“ novely ze dne 2. 11. 2011 (tisk 535). </w:t>
      </w:r>
      <w:r w:rsidR="001E23CD" w:rsidRPr="00C65057">
        <w:rPr>
          <w:rFonts w:eastAsia="Calibri"/>
          <w:lang w:eastAsia="en-US"/>
        </w:rPr>
        <w:t>Vláda</w:t>
      </w:r>
      <w:r w:rsidR="00603E29">
        <w:rPr>
          <w:rFonts w:eastAsia="Calibri"/>
          <w:lang w:eastAsia="en-US"/>
        </w:rPr>
        <w:t>,</w:t>
      </w:r>
      <w:r w:rsidR="001E23CD" w:rsidRPr="00C65057">
        <w:rPr>
          <w:rFonts w:eastAsia="Calibri"/>
          <w:lang w:eastAsia="en-US"/>
        </w:rPr>
        <w:t xml:space="preserve"> jako předkladatel </w:t>
      </w:r>
      <w:r w:rsidR="007F21AA">
        <w:rPr>
          <w:rFonts w:eastAsia="Calibri"/>
          <w:lang w:eastAsia="en-US"/>
        </w:rPr>
        <w:t>návrhu novely</w:t>
      </w:r>
      <w:r w:rsidR="00603E29">
        <w:rPr>
          <w:rFonts w:eastAsia="Calibri"/>
          <w:lang w:eastAsia="en-US"/>
        </w:rPr>
        <w:t>,</w:t>
      </w:r>
      <w:r w:rsidR="001E23CD" w:rsidRPr="00C65057">
        <w:rPr>
          <w:rFonts w:eastAsia="Calibri"/>
          <w:lang w:eastAsia="en-US"/>
        </w:rPr>
        <w:t xml:space="preserve"> v důvodové zprávě k nové textaci §</w:t>
      </w:r>
      <w:r w:rsidR="00CA2A50">
        <w:rPr>
          <w:rFonts w:eastAsia="Calibri"/>
          <w:lang w:eastAsia="en-US"/>
        </w:rPr>
        <w:t> </w:t>
      </w:r>
      <w:r w:rsidR="001E23CD" w:rsidRPr="00C65057">
        <w:rPr>
          <w:rFonts w:eastAsia="Calibri"/>
          <w:lang w:eastAsia="en-US"/>
        </w:rPr>
        <w:t>5</w:t>
      </w:r>
      <w:r w:rsidR="00C65057" w:rsidRPr="00C65057">
        <w:rPr>
          <w:rFonts w:eastAsia="Calibri"/>
          <w:lang w:eastAsia="en-US"/>
        </w:rPr>
        <w:t xml:space="preserve"> odst. 1 </w:t>
      </w:r>
      <w:r w:rsidR="001E23CD" w:rsidRPr="00C65057">
        <w:rPr>
          <w:rFonts w:eastAsia="Calibri"/>
          <w:lang w:eastAsia="en-US"/>
        </w:rPr>
        <w:t xml:space="preserve">vysvětlovala, že </w:t>
      </w:r>
      <w:r w:rsidR="00C65057" w:rsidRPr="00C65057">
        <w:rPr>
          <w:rFonts w:eastAsia="Calibri"/>
          <w:lang w:eastAsia="en-US"/>
        </w:rPr>
        <w:t>druhá věta „</w:t>
      </w:r>
      <w:r w:rsidR="00C65057" w:rsidRPr="00C65057">
        <w:rPr>
          <w:rFonts w:eastAsia="Calibri"/>
          <w:i/>
          <w:lang w:eastAsia="en-US"/>
        </w:rPr>
        <w:t>odstraňuje za pomoci ostatních definičních znaků poštovní služby možnost volby právního režimu</w:t>
      </w:r>
      <w:r w:rsidR="00C65057">
        <w:rPr>
          <w:rFonts w:eastAsia="Calibri"/>
          <w:lang w:eastAsia="en-US"/>
        </w:rPr>
        <w:t xml:space="preserve">“, neboť je </w:t>
      </w:r>
      <w:r w:rsidR="001E23CD" w:rsidRPr="00C65057">
        <w:rPr>
          <w:rFonts w:eastAsia="Calibri"/>
          <w:lang w:eastAsia="en-US"/>
        </w:rPr>
        <w:t>třeba „</w:t>
      </w:r>
      <w:r w:rsidR="001E23CD" w:rsidRPr="00C65057">
        <w:rPr>
          <w:rFonts w:eastAsia="Calibri"/>
          <w:i/>
          <w:lang w:eastAsia="en-US"/>
        </w:rPr>
        <w:t>zamezit tomu, aby srovnatelné nebo zaměnitelné služby se základními službami byly poskytovány mimo rámec tohoto zákona.</w:t>
      </w:r>
      <w:r w:rsidR="001E23CD" w:rsidRPr="00C65057">
        <w:rPr>
          <w:rFonts w:eastAsia="Calibri"/>
          <w:lang w:eastAsia="en-US"/>
        </w:rPr>
        <w:t xml:space="preserve">“ </w:t>
      </w:r>
      <w:r w:rsidR="00AE5A37" w:rsidRPr="00C65057">
        <w:rPr>
          <w:rFonts w:eastAsia="Calibri"/>
          <w:lang w:eastAsia="en-US"/>
        </w:rPr>
        <w:t xml:space="preserve">Smyslem tohoto zdánlivého zpřísnění bylo nastavit rovné podmínky soutěže, kterou zákon od roku 2013 otevřel pro všechny podnikatele v sektoru poštovních služeb. </w:t>
      </w:r>
      <w:r w:rsidR="001E23CD" w:rsidRPr="00C65057">
        <w:rPr>
          <w:rFonts w:eastAsia="Calibri"/>
          <w:lang w:eastAsia="en-US"/>
        </w:rPr>
        <w:t xml:space="preserve">Jako nežádoucí jev </w:t>
      </w:r>
      <w:r w:rsidR="00AE5A37" w:rsidRPr="00C65057">
        <w:rPr>
          <w:rFonts w:eastAsia="Calibri"/>
          <w:lang w:eastAsia="en-US"/>
        </w:rPr>
        <w:t xml:space="preserve">proto vláda v důvodové zprávě </w:t>
      </w:r>
      <w:r w:rsidR="001E23CD" w:rsidRPr="00C65057">
        <w:rPr>
          <w:rFonts w:eastAsia="Calibri"/>
          <w:lang w:eastAsia="en-US"/>
        </w:rPr>
        <w:t>označila „</w:t>
      </w:r>
      <w:r w:rsidR="001E23CD" w:rsidRPr="00C65057">
        <w:rPr>
          <w:rFonts w:eastAsia="Calibri"/>
          <w:i/>
          <w:lang w:eastAsia="en-US"/>
        </w:rPr>
        <w:t>skutečnost, že podle dosavadní právní úpravy, např. v případě služby</w:t>
      </w:r>
      <w:r w:rsidR="00D200E8">
        <w:rPr>
          <w:rFonts w:eastAsia="Calibri"/>
          <w:i/>
          <w:lang w:eastAsia="en-US"/>
        </w:rPr>
        <w:t xml:space="preserve"> dodání (poštovních) balíků, je </w:t>
      </w:r>
      <w:r w:rsidR="001E23CD" w:rsidRPr="00C65057">
        <w:rPr>
          <w:rFonts w:eastAsia="Calibri"/>
          <w:i/>
          <w:lang w:eastAsia="en-US"/>
        </w:rPr>
        <w:t>možné si vybrat právní režim, podle kterého se tato služba může poskytovat např. podle obchodního zákoníku (smlouva o přepravě věci apod.).</w:t>
      </w:r>
      <w:r w:rsidR="001E23CD" w:rsidRPr="00C65057">
        <w:rPr>
          <w:rFonts w:eastAsia="Calibri"/>
          <w:lang w:eastAsia="en-US"/>
        </w:rPr>
        <w:t>“ Poštovní služby jsou pro zákazníky výhodnější než jiné alternativní přepravní služby, ovšem pro podnikatele bude většinou výhodnějš</w:t>
      </w:r>
      <w:r w:rsidR="00D200E8">
        <w:rPr>
          <w:rFonts w:eastAsia="Calibri"/>
          <w:lang w:eastAsia="en-US"/>
        </w:rPr>
        <w:t>í, aby své služby poskytovali v </w:t>
      </w:r>
      <w:r w:rsidR="001E23CD" w:rsidRPr="00C65057">
        <w:rPr>
          <w:rFonts w:eastAsia="Calibri"/>
          <w:lang w:eastAsia="en-US"/>
        </w:rPr>
        <w:t>jiném právním režimu než jako poštovní služby: „</w:t>
      </w:r>
      <w:r w:rsidR="001E23CD" w:rsidRPr="00C65057">
        <w:rPr>
          <w:rFonts w:eastAsia="Calibri"/>
          <w:i/>
          <w:lang w:eastAsia="en-US"/>
        </w:rPr>
        <w:t>V takovém případě mají totiž mnohem větší volnost – nemusejí dodržovat striktní požadavky na detailní úpravu právních vztahů dané zákonem o poštovních službách, nepodléhají dohledu regulačního úřadu, neplatí pro ně dokonce ani požadavek na dodržování poštovního tajemství podle § 16 zákona o poštovních službách. Takové účelové jednání podnikatele má rovněž devastující vliv na hospodářskou soutěž. Jde zejména o to, že si podnikatel, který tímto způsobem obešel zákon o poštovních službách, může – na rozdíl od seriózních provozovatelů poštovních služeb – ze zájemců o své služby vybírat jen ty, kteří mu slibují co největší ekonomický profit.</w:t>
      </w:r>
      <w:r w:rsidR="001E23CD" w:rsidRPr="00C65057">
        <w:rPr>
          <w:rFonts w:eastAsia="Calibri"/>
          <w:lang w:eastAsia="en-US"/>
        </w:rPr>
        <w:t>“</w:t>
      </w:r>
    </w:p>
    <w:p w14:paraId="4AA4E470" w14:textId="62366EC4" w:rsidR="00AE5A37" w:rsidRDefault="00AE5A37" w:rsidP="00D200E8">
      <w:pPr>
        <w:pStyle w:val="Styl1"/>
        <w:spacing w:after="80"/>
        <w:ind w:left="0" w:firstLine="0"/>
        <w:rPr>
          <w:rFonts w:eastAsia="Calibri"/>
          <w:lang w:eastAsia="en-US"/>
        </w:rPr>
      </w:pPr>
      <w:r>
        <w:rPr>
          <w:rFonts w:eastAsia="Calibri"/>
          <w:lang w:eastAsia="en-US"/>
        </w:rPr>
        <w:t xml:space="preserve">Na uvedených závěrech stojí též právní </w:t>
      </w:r>
      <w:r w:rsidR="00185CE2">
        <w:rPr>
          <w:rFonts w:eastAsia="Calibri"/>
          <w:lang w:eastAsia="en-US"/>
        </w:rPr>
        <w:t>literatura</w:t>
      </w:r>
      <w:r>
        <w:rPr>
          <w:rFonts w:eastAsia="Calibri"/>
          <w:lang w:eastAsia="en-US"/>
        </w:rPr>
        <w:t>. Jak k tomu uvádí v komentáři Lukáš Buzek, „</w:t>
      </w:r>
      <w:r w:rsidRPr="00573B29">
        <w:rPr>
          <w:rFonts w:eastAsia="Calibri"/>
          <w:i/>
          <w:lang w:eastAsia="en-US"/>
        </w:rPr>
        <w:t>poštovní služba byla do 31. prosince 2012 vymezena výhradně jako služba poskytovaná na základě poštovní smlouvy. To, zda bude služba spočívající v přepravě věci poskytována jako poštovní služba v režimu zákona o poštovních službách, záviselo až do liberalizační novely výhradně na rozhodnutí provozovatele. Jeho volba právního režimu rozhodla o právech a povinnostech, kterými bude při poskytování této služby vázán. Nyní se tento vztah, přinejmenším nominálně, zásadním způsobem obrací a poskytování služeb jako služeb poštovních je, v zákonem stanovených případech, povinné.</w:t>
      </w:r>
      <w:r>
        <w:rPr>
          <w:rFonts w:eastAsia="Calibri"/>
          <w:lang w:eastAsia="en-US"/>
        </w:rPr>
        <w:t xml:space="preserve">“ (BUZEK, Lukáš. </w:t>
      </w:r>
      <w:r w:rsidRPr="00AE5A37">
        <w:rPr>
          <w:rFonts w:eastAsia="Calibri"/>
          <w:i/>
          <w:lang w:eastAsia="en-US"/>
        </w:rPr>
        <w:t>Zákon o poštovních službách. Komentář</w:t>
      </w:r>
      <w:r>
        <w:rPr>
          <w:rFonts w:eastAsia="Calibri"/>
          <w:lang w:eastAsia="en-US"/>
        </w:rPr>
        <w:t xml:space="preserve">. Praha: Wolters Kluwer 2018, s. </w:t>
      </w:r>
      <w:r w:rsidR="00CA2A50">
        <w:rPr>
          <w:rFonts w:eastAsia="Calibri"/>
          <w:lang w:eastAsia="en-US"/>
        </w:rPr>
        <w:t>11).</w:t>
      </w:r>
    </w:p>
    <w:p w14:paraId="32DC885C" w14:textId="40FA4357" w:rsidR="00DE3FFD" w:rsidRPr="001E23CD" w:rsidRDefault="00DE3FFD" w:rsidP="00D200E8">
      <w:pPr>
        <w:pStyle w:val="Styl1"/>
        <w:spacing w:after="80"/>
        <w:ind w:left="0" w:firstLine="0"/>
        <w:rPr>
          <w:rFonts w:eastAsia="Calibri"/>
          <w:lang w:eastAsia="en-US"/>
        </w:rPr>
      </w:pPr>
      <w:bookmarkStart w:id="2" w:name="_Ref82014882"/>
      <w:r>
        <w:rPr>
          <w:rFonts w:eastAsia="Calibri"/>
          <w:lang w:eastAsia="en-US"/>
        </w:rPr>
        <w:t xml:space="preserve">Druhý senát tyto skutečnosti </w:t>
      </w:r>
      <w:r w:rsidR="006A7188">
        <w:rPr>
          <w:rFonts w:eastAsia="Calibri"/>
          <w:lang w:eastAsia="en-US"/>
        </w:rPr>
        <w:t xml:space="preserve">a výklad českého zákona </w:t>
      </w:r>
      <w:r>
        <w:rPr>
          <w:rFonts w:eastAsia="Calibri"/>
          <w:lang w:eastAsia="en-US"/>
        </w:rPr>
        <w:t xml:space="preserve">při svém rozhodování více méně opominul. Namísto toho </w:t>
      </w:r>
      <w:r w:rsidR="006A7188">
        <w:rPr>
          <w:rFonts w:eastAsia="Calibri"/>
          <w:lang w:eastAsia="en-US"/>
        </w:rPr>
        <w:t>se soustředil na výklad</w:t>
      </w:r>
      <w:r>
        <w:rPr>
          <w:rFonts w:eastAsia="Calibri"/>
          <w:lang w:eastAsia="en-US"/>
        </w:rPr>
        <w:t xml:space="preserve"> práv</w:t>
      </w:r>
      <w:r w:rsidR="006A7188">
        <w:rPr>
          <w:rFonts w:eastAsia="Calibri"/>
          <w:lang w:eastAsia="en-US"/>
        </w:rPr>
        <w:t>a</w:t>
      </w:r>
      <w:r>
        <w:rPr>
          <w:rFonts w:eastAsia="Calibri"/>
          <w:lang w:eastAsia="en-US"/>
        </w:rPr>
        <w:t xml:space="preserve"> EU a dovodil, že z</w:t>
      </w:r>
      <w:r w:rsidRPr="00DE3FFD">
        <w:rPr>
          <w:rFonts w:eastAsia="Calibri"/>
          <w:lang w:eastAsia="en-US"/>
        </w:rPr>
        <w:t xml:space="preserve"> žádného ustanovení poštovní směrnice neplyne, že </w:t>
      </w:r>
      <w:r>
        <w:rPr>
          <w:rFonts w:eastAsia="Calibri"/>
          <w:lang w:eastAsia="en-US"/>
        </w:rPr>
        <w:t>„</w:t>
      </w:r>
      <w:r w:rsidRPr="00DE3FFD">
        <w:rPr>
          <w:rFonts w:eastAsia="Calibri"/>
          <w:i/>
          <w:lang w:eastAsia="en-US"/>
        </w:rPr>
        <w:t>by záměrem sledovaným na evropské úrovni bylo omezení podnikatelského rozhodování těch subjektů, které se rozhodnou na trh s poštovními službami vstoupit a konkurovat národním poštovním operátorům</w:t>
      </w:r>
      <w:r>
        <w:rPr>
          <w:rFonts w:eastAsia="Calibri"/>
          <w:lang w:eastAsia="en-US"/>
        </w:rPr>
        <w:t>“</w:t>
      </w:r>
      <w:r w:rsidRPr="00DE3FFD">
        <w:rPr>
          <w:rFonts w:eastAsia="Calibri"/>
          <w:lang w:eastAsia="en-US"/>
        </w:rPr>
        <w:t xml:space="preserve"> </w:t>
      </w:r>
      <w:r>
        <w:t>(</w:t>
      </w:r>
      <w:r w:rsidRPr="006F4274">
        <w:t>2</w:t>
      </w:r>
      <w:r>
        <w:t> </w:t>
      </w:r>
      <w:r w:rsidRPr="006F4274">
        <w:t>As</w:t>
      </w:r>
      <w:r>
        <w:t> </w:t>
      </w:r>
      <w:r w:rsidRPr="006F4274">
        <w:t xml:space="preserve">121/2016, </w:t>
      </w:r>
      <w:r w:rsidRPr="00AE7919">
        <w:rPr>
          <w:i/>
        </w:rPr>
        <w:t>Geis Parcel CZ</w:t>
      </w:r>
      <w:r>
        <w:rPr>
          <w:i/>
        </w:rPr>
        <w:t xml:space="preserve">, </w:t>
      </w:r>
      <w:r w:rsidRPr="00680653">
        <w:t xml:space="preserve">bod </w:t>
      </w:r>
      <w:r>
        <w:t xml:space="preserve">33). Při tomto výkladu práva EU však druhý senát </w:t>
      </w:r>
      <w:r w:rsidR="00FD13B7">
        <w:t>pominul</w:t>
      </w:r>
      <w:r>
        <w:t xml:space="preserve"> </w:t>
      </w:r>
      <w:r w:rsidR="004874E1">
        <w:t xml:space="preserve">patřičný výklad práva domácího. Především nedbal </w:t>
      </w:r>
      <w:r>
        <w:t>jasného pokynu českého zákon</w:t>
      </w:r>
      <w:r w:rsidR="004874E1">
        <w:t>a</w:t>
      </w:r>
      <w:r>
        <w:t xml:space="preserve">, který nevyvolává žádné pochybnosti ani co do svého významu, ani co do souladu s právem EU (srov. k tomu např. věc </w:t>
      </w:r>
      <w:r w:rsidRPr="00300468">
        <w:rPr>
          <w:rFonts w:eastAsia="Calibri"/>
          <w:i/>
          <w:lang w:eastAsia="en-US"/>
        </w:rPr>
        <w:t>Confetra</w:t>
      </w:r>
      <w:r>
        <w:rPr>
          <w:rFonts w:eastAsia="Calibri"/>
          <w:lang w:eastAsia="en-US"/>
        </w:rPr>
        <w:t xml:space="preserve">, kde Soudní dvůr </w:t>
      </w:r>
      <w:r w:rsidR="006A7188">
        <w:rPr>
          <w:rFonts w:eastAsia="Calibri"/>
          <w:lang w:eastAsia="en-US"/>
        </w:rPr>
        <w:t>uzavřel</w:t>
      </w:r>
      <w:r>
        <w:rPr>
          <w:rFonts w:eastAsia="Calibri"/>
          <w:lang w:eastAsia="en-US"/>
        </w:rPr>
        <w:t xml:space="preserve">, že poštovní směrnice </w:t>
      </w:r>
      <w:r w:rsidRPr="00DE3FFD">
        <w:rPr>
          <w:rFonts w:eastAsia="Calibri"/>
          <w:lang w:eastAsia="en-US"/>
        </w:rPr>
        <w:t>musí být vykládán</w:t>
      </w:r>
      <w:r>
        <w:rPr>
          <w:rFonts w:eastAsia="Calibri"/>
          <w:lang w:eastAsia="en-US"/>
        </w:rPr>
        <w:t>a</w:t>
      </w:r>
      <w:r w:rsidRPr="00DE3FFD">
        <w:rPr>
          <w:rFonts w:eastAsia="Calibri"/>
          <w:lang w:eastAsia="en-US"/>
        </w:rPr>
        <w:t xml:space="preserve"> v tom smyslu, že </w:t>
      </w:r>
      <w:r>
        <w:rPr>
          <w:rFonts w:eastAsia="Calibri"/>
          <w:lang w:eastAsia="en-US"/>
        </w:rPr>
        <w:t>„</w:t>
      </w:r>
      <w:r w:rsidRPr="00DE3FFD">
        <w:rPr>
          <w:rFonts w:eastAsia="Calibri"/>
          <w:i/>
          <w:lang w:eastAsia="en-US"/>
        </w:rPr>
        <w:t>nebrání takové vnitrostátní právní úpravě</w:t>
      </w:r>
      <w:r w:rsidRPr="004874E1">
        <w:rPr>
          <w:rFonts w:eastAsia="Calibri"/>
          <w:lang w:eastAsia="en-US"/>
        </w:rPr>
        <w:t xml:space="preserve"> </w:t>
      </w:r>
      <w:r w:rsidR="004874E1" w:rsidRPr="004874E1">
        <w:rPr>
          <w:rFonts w:eastAsia="Calibri"/>
          <w:lang w:eastAsia="en-US"/>
        </w:rPr>
        <w:t>[</w:t>
      </w:r>
      <w:r w:rsidRPr="004874E1">
        <w:rPr>
          <w:rFonts w:eastAsia="Calibri"/>
          <w:lang w:eastAsia="en-US"/>
        </w:rPr>
        <w:t xml:space="preserve">jako je úprava </w:t>
      </w:r>
      <w:r w:rsidR="004874E1" w:rsidRPr="004874E1">
        <w:rPr>
          <w:rFonts w:eastAsia="Calibri"/>
          <w:lang w:eastAsia="en-US"/>
        </w:rPr>
        <w:t>Itálie]</w:t>
      </w:r>
      <w:r w:rsidRPr="00DE3FFD">
        <w:rPr>
          <w:rFonts w:eastAsia="Calibri"/>
          <w:i/>
          <w:lang w:eastAsia="en-US"/>
        </w:rPr>
        <w:t>, podle které podniky silniční dopravy, nákladní dopravy nebo služeb expresních zásilek, které poskytují služby spočívající ve výběru, třídění, přepravě a dodávání poštovních zásilek, s výjimkou případů, kdy je jejich činnost omezena na přepravu poštovních zásilek, představují poskytovatele poštovních služeb ve smyslu čl. 2 bod 1a této směrnice</w:t>
      </w:r>
      <w:r>
        <w:rPr>
          <w:rFonts w:eastAsia="Calibri"/>
          <w:lang w:eastAsia="en-US"/>
        </w:rPr>
        <w:t>“).</w:t>
      </w:r>
      <w:bookmarkEnd w:id="2"/>
      <w:r>
        <w:t xml:space="preserve">  </w:t>
      </w:r>
    </w:p>
    <w:p w14:paraId="51680BEF" w14:textId="29344019" w:rsidR="00735B40" w:rsidRDefault="00680653" w:rsidP="00D200E8">
      <w:pPr>
        <w:pStyle w:val="Styl1"/>
        <w:spacing w:after="80"/>
        <w:ind w:left="0" w:firstLine="0"/>
        <w:rPr>
          <w:rFonts w:eastAsia="Calibri"/>
          <w:lang w:eastAsia="en-US"/>
        </w:rPr>
      </w:pPr>
      <w:r>
        <w:rPr>
          <w:rFonts w:eastAsia="Calibri"/>
          <w:lang w:eastAsia="en-US"/>
        </w:rPr>
        <w:t>Z</w:t>
      </w:r>
      <w:r w:rsidR="00DE3FFD">
        <w:rPr>
          <w:rFonts w:eastAsia="Calibri"/>
          <w:lang w:eastAsia="en-US"/>
        </w:rPr>
        <w:t xml:space="preserve"> právě </w:t>
      </w:r>
      <w:r>
        <w:rPr>
          <w:rFonts w:eastAsia="Calibri"/>
          <w:lang w:eastAsia="en-US"/>
        </w:rPr>
        <w:t>uvedeného plyne</w:t>
      </w:r>
      <w:r w:rsidR="00DE3FFD">
        <w:rPr>
          <w:rFonts w:eastAsia="Calibri"/>
          <w:lang w:eastAsia="en-US"/>
        </w:rPr>
        <w:t xml:space="preserve"> též</w:t>
      </w:r>
      <w:r>
        <w:rPr>
          <w:rFonts w:eastAsia="Calibri"/>
          <w:lang w:eastAsia="en-US"/>
        </w:rPr>
        <w:t xml:space="preserve"> jasná odpověď na další otázku předloženou osmým senátem. </w:t>
      </w:r>
      <w:r>
        <w:t>Kontraktační povinnost daná kogentním ustanovením § 4 odst. 2 zákona o poštovních službách (</w:t>
      </w:r>
      <w:r w:rsidRPr="00680653">
        <w:rPr>
          <w:i/>
        </w:rPr>
        <w:t>Provozovatel je povinen uzavřít poštovní smlouvu s každým, kdo její uzavření v mezích poštovních podmínek a způsobem v nich stanoveným požaduje</w:t>
      </w:r>
      <w:r>
        <w:t>) zavazuje každého provozovatele poštovních služeb. Nejedná se však a ani jednat nemůže o definiční znak poštovních služeb, jak to naznačuje druhý senát</w:t>
      </w:r>
      <w:r w:rsidR="008873FC">
        <w:t>. Druhý senát k tomu uvádí, že „</w:t>
      </w:r>
      <w:r w:rsidR="008873FC" w:rsidRPr="008873FC">
        <w:rPr>
          <w:i/>
        </w:rPr>
        <w:t xml:space="preserve">zákonem o poštovních službách jsou regulovány pouze takové služby, které A) zpravidla zahrnují poštovní podání, třídění a přepravu poštovní zásilky </w:t>
      </w:r>
      <w:r w:rsidR="00D200E8">
        <w:rPr>
          <w:i/>
        </w:rPr>
        <w:t>prostřednictvím poštovní sítě a </w:t>
      </w:r>
      <w:r w:rsidR="008873FC" w:rsidRPr="008873FC">
        <w:rPr>
          <w:i/>
        </w:rPr>
        <w:t xml:space="preserve">jsou prováděny za účelem dodání poštovní zásilky příjemci (§ 1 odst. 2 věta druhá předmětného zákona) a které současně B) musí být poskytnuty na základě poštovní smlouvy každému ve </w:t>
      </w:r>
      <w:r w:rsidR="00D200E8">
        <w:rPr>
          <w:i/>
        </w:rPr>
        <w:t>veřejně přístupné provozovně za </w:t>
      </w:r>
      <w:r w:rsidR="008873FC" w:rsidRPr="008873FC">
        <w:rPr>
          <w:i/>
        </w:rPr>
        <w:t>předem stanovených podmínek</w:t>
      </w:r>
      <w:r w:rsidR="008873FC">
        <w:t>“</w:t>
      </w:r>
      <w:r w:rsidR="008873FC" w:rsidRPr="008873FC">
        <w:t xml:space="preserve"> </w:t>
      </w:r>
      <w:r>
        <w:t>(</w:t>
      </w:r>
      <w:r w:rsidRPr="006F4274">
        <w:t>2</w:t>
      </w:r>
      <w:r>
        <w:t> </w:t>
      </w:r>
      <w:r w:rsidRPr="006F4274">
        <w:t>As</w:t>
      </w:r>
      <w:r>
        <w:t> </w:t>
      </w:r>
      <w:r w:rsidRPr="006F4274">
        <w:t xml:space="preserve">121/2016, </w:t>
      </w:r>
      <w:r w:rsidRPr="00AE7919">
        <w:rPr>
          <w:i/>
        </w:rPr>
        <w:t>Geis Parcel CZ</w:t>
      </w:r>
      <w:r>
        <w:rPr>
          <w:i/>
        </w:rPr>
        <w:t xml:space="preserve">, </w:t>
      </w:r>
      <w:r w:rsidRPr="00680653">
        <w:t xml:space="preserve">bod </w:t>
      </w:r>
      <w:r w:rsidR="008873FC">
        <w:t>41</w:t>
      </w:r>
      <w:r>
        <w:t>)</w:t>
      </w:r>
      <w:r w:rsidR="008873FC">
        <w:t>. Takovýto závěr je však zjevně nesprávný, protože kontraktační povinnost je právním důsledkem toho, že určitá osoba splňuje znaky provozovatele poštovních služeb, nikoli předpokladem, aby byla určitá činnost vůbec zákonem regulována</w:t>
      </w:r>
      <w:r w:rsidR="006A7188">
        <w:rPr>
          <w:rFonts w:eastAsia="Calibri"/>
          <w:lang w:eastAsia="en-US"/>
        </w:rPr>
        <w:t xml:space="preserve"> (podobně též cit. </w:t>
      </w:r>
      <w:r w:rsidR="006A7188" w:rsidRPr="00823062">
        <w:rPr>
          <w:rFonts w:eastAsia="Calibri"/>
          <w:lang w:eastAsia="en-US"/>
        </w:rPr>
        <w:t xml:space="preserve">usnesení zvláštního senátu Konf 14/2019, </w:t>
      </w:r>
      <w:r w:rsidR="00D200E8">
        <w:rPr>
          <w:rFonts w:eastAsia="Calibri"/>
          <w:i/>
          <w:iCs/>
          <w:lang w:eastAsia="en-US"/>
        </w:rPr>
        <w:t>ATC </w:t>
      </w:r>
      <w:r w:rsidR="006A7188" w:rsidRPr="00823062">
        <w:rPr>
          <w:rFonts w:eastAsia="Calibri"/>
          <w:i/>
          <w:iCs/>
          <w:lang w:eastAsia="en-US"/>
        </w:rPr>
        <w:t>industry trade moravia</w:t>
      </w:r>
      <w:r w:rsidR="006A7188">
        <w:rPr>
          <w:rFonts w:eastAsia="Calibri"/>
          <w:lang w:eastAsia="en-US"/>
        </w:rPr>
        <w:t>, bod 16).</w:t>
      </w:r>
    </w:p>
    <w:p w14:paraId="1F9EB9DA" w14:textId="2D667E44" w:rsidR="008873FC" w:rsidRDefault="008873FC" w:rsidP="00D200E8">
      <w:pPr>
        <w:pStyle w:val="Styl1"/>
        <w:spacing w:after="80"/>
        <w:ind w:left="0" w:firstLine="0"/>
        <w:rPr>
          <w:rFonts w:eastAsia="Calibri"/>
          <w:lang w:eastAsia="en-US"/>
        </w:rPr>
      </w:pPr>
      <w:r w:rsidRPr="00DE3FFD">
        <w:rPr>
          <w:rFonts w:eastAsia="Calibri"/>
          <w:lang w:eastAsia="en-US"/>
        </w:rPr>
        <w:t>K podobnému závěru ostatně došel též prv</w:t>
      </w:r>
      <w:r w:rsidR="00165BAA">
        <w:rPr>
          <w:rFonts w:eastAsia="Calibri"/>
          <w:lang w:eastAsia="en-US"/>
        </w:rPr>
        <w:t>ní</w:t>
      </w:r>
      <w:r w:rsidRPr="00DE3FFD">
        <w:rPr>
          <w:rFonts w:eastAsia="Calibri"/>
          <w:lang w:eastAsia="en-US"/>
        </w:rPr>
        <w:t xml:space="preserve"> senát, </w:t>
      </w:r>
      <w:r w:rsidR="00DE3FFD" w:rsidRPr="00DE3FFD">
        <w:rPr>
          <w:rFonts w:eastAsia="Calibri"/>
          <w:lang w:eastAsia="en-US"/>
        </w:rPr>
        <w:t>dle něhož</w:t>
      </w:r>
      <w:r w:rsidRPr="00DE3FFD">
        <w:rPr>
          <w:rFonts w:eastAsia="Calibri"/>
          <w:lang w:eastAsia="en-US"/>
        </w:rPr>
        <w:t xml:space="preserve"> </w:t>
      </w:r>
      <w:r w:rsidR="00DE3FFD" w:rsidRPr="00DE3FFD">
        <w:rPr>
          <w:rFonts w:eastAsia="Calibri"/>
          <w:lang w:eastAsia="en-US"/>
        </w:rPr>
        <w:t>„</w:t>
      </w:r>
      <w:r w:rsidR="00D200E8">
        <w:rPr>
          <w:rFonts w:eastAsia="Calibri"/>
          <w:i/>
          <w:iCs/>
          <w:lang w:eastAsia="en-US"/>
        </w:rPr>
        <w:t>kontraktační povinnost ve </w:t>
      </w:r>
      <w:r w:rsidRPr="006712AF">
        <w:rPr>
          <w:rFonts w:eastAsia="Calibri"/>
          <w:i/>
          <w:iCs/>
          <w:lang w:eastAsia="en-US"/>
        </w:rPr>
        <w:t>smyslu § 4 odst. 2 zákona o poštovních</w:t>
      </w:r>
      <w:r w:rsidR="00DE3FFD" w:rsidRPr="006712AF">
        <w:rPr>
          <w:rFonts w:eastAsia="Calibri"/>
          <w:i/>
          <w:iCs/>
          <w:lang w:eastAsia="en-US"/>
        </w:rPr>
        <w:t xml:space="preserve"> </w:t>
      </w:r>
      <w:r w:rsidRPr="006712AF">
        <w:rPr>
          <w:rFonts w:eastAsia="Calibri"/>
          <w:i/>
          <w:iCs/>
          <w:lang w:eastAsia="en-US"/>
        </w:rPr>
        <w:t>službách nelze považovat za kritérium, které by bylo způsobilé odlišit poštovní služby od služeb</w:t>
      </w:r>
      <w:r w:rsidR="00DE3FFD" w:rsidRPr="006712AF">
        <w:rPr>
          <w:rFonts w:eastAsia="Calibri"/>
          <w:i/>
          <w:iCs/>
          <w:lang w:eastAsia="en-US"/>
        </w:rPr>
        <w:t xml:space="preserve"> </w:t>
      </w:r>
      <w:r w:rsidRPr="006712AF">
        <w:rPr>
          <w:rFonts w:eastAsia="Calibri"/>
          <w:i/>
          <w:iCs/>
          <w:lang w:eastAsia="en-US"/>
        </w:rPr>
        <w:t>jiných.</w:t>
      </w:r>
      <w:r w:rsidR="00DE3FFD" w:rsidRPr="00DE3FFD">
        <w:rPr>
          <w:rFonts w:eastAsia="Calibri"/>
          <w:lang w:eastAsia="en-US"/>
        </w:rPr>
        <w:t>“</w:t>
      </w:r>
      <w:r w:rsidRPr="00DE3FFD">
        <w:rPr>
          <w:rFonts w:eastAsia="Calibri"/>
          <w:lang w:eastAsia="en-US"/>
        </w:rPr>
        <w:t xml:space="preserve"> </w:t>
      </w:r>
      <w:r w:rsidR="00DE3FFD" w:rsidRPr="00DE3FFD">
        <w:rPr>
          <w:rFonts w:eastAsia="Calibri"/>
          <w:lang w:eastAsia="en-US"/>
        </w:rPr>
        <w:t>K</w:t>
      </w:r>
      <w:r w:rsidRPr="00DE3FFD">
        <w:rPr>
          <w:rFonts w:eastAsia="Calibri"/>
          <w:lang w:eastAsia="en-US"/>
        </w:rPr>
        <w:t xml:space="preserve">ontraktační povinnost </w:t>
      </w:r>
      <w:r w:rsidR="00DE3FFD" w:rsidRPr="00DE3FFD">
        <w:rPr>
          <w:rFonts w:eastAsia="Calibri"/>
          <w:lang w:eastAsia="en-US"/>
        </w:rPr>
        <w:t>je totiž „</w:t>
      </w:r>
      <w:r w:rsidRPr="00DE3FFD">
        <w:rPr>
          <w:rFonts w:eastAsia="Calibri"/>
          <w:i/>
          <w:lang w:eastAsia="en-US"/>
        </w:rPr>
        <w:t>až sekundárním důsledkem poskytování poštovní služby,</w:t>
      </w:r>
      <w:r w:rsidR="00DE3FFD" w:rsidRPr="00DE3FFD">
        <w:rPr>
          <w:rFonts w:eastAsia="Calibri"/>
          <w:i/>
          <w:lang w:eastAsia="en-US"/>
        </w:rPr>
        <w:t xml:space="preserve"> </w:t>
      </w:r>
      <w:r w:rsidRPr="00DE3FFD">
        <w:rPr>
          <w:rFonts w:eastAsia="Calibri"/>
          <w:i/>
          <w:lang w:eastAsia="en-US"/>
        </w:rPr>
        <w:t>nikoli primárním kritériem, které by umožňovalo odlišit poštovní služby od jiných věcně</w:t>
      </w:r>
      <w:r w:rsidR="00DE3FFD" w:rsidRPr="00DE3FFD">
        <w:rPr>
          <w:rFonts w:eastAsia="Calibri"/>
          <w:i/>
          <w:lang w:eastAsia="en-US"/>
        </w:rPr>
        <w:t xml:space="preserve"> </w:t>
      </w:r>
      <w:r w:rsidRPr="00DE3FFD">
        <w:rPr>
          <w:rFonts w:eastAsia="Calibri"/>
          <w:i/>
          <w:lang w:eastAsia="en-US"/>
        </w:rPr>
        <w:t>shodných služeb. Zákon ukládá kontraktační povinnost tomu, kdo je provozovatelem poštovních</w:t>
      </w:r>
      <w:r w:rsidR="00DE3FFD" w:rsidRPr="00DE3FFD">
        <w:rPr>
          <w:rFonts w:eastAsia="Calibri"/>
          <w:i/>
          <w:lang w:eastAsia="en-US"/>
        </w:rPr>
        <w:t xml:space="preserve"> </w:t>
      </w:r>
      <w:r w:rsidRPr="00DE3FFD">
        <w:rPr>
          <w:rFonts w:eastAsia="Calibri"/>
          <w:i/>
          <w:lang w:eastAsia="en-US"/>
        </w:rPr>
        <w:t xml:space="preserve">služeb, </w:t>
      </w:r>
      <w:r w:rsidR="00D200E8">
        <w:rPr>
          <w:rFonts w:eastAsia="Calibri"/>
          <w:i/>
          <w:lang w:eastAsia="en-US"/>
        </w:rPr>
        <w:t>tzn. že </w:t>
      </w:r>
      <w:r w:rsidRPr="00DE3FFD">
        <w:rPr>
          <w:rFonts w:eastAsia="Calibri"/>
          <w:i/>
          <w:lang w:eastAsia="en-US"/>
        </w:rPr>
        <w:t>provozovatel poštovních služeb je povinen dodržet požadavky stanovené</w:t>
      </w:r>
      <w:r w:rsidR="00DE3FFD" w:rsidRPr="00DE3FFD">
        <w:rPr>
          <w:rFonts w:eastAsia="Calibri"/>
          <w:i/>
          <w:lang w:eastAsia="en-US"/>
        </w:rPr>
        <w:t xml:space="preserve"> </w:t>
      </w:r>
      <w:r w:rsidRPr="00DE3FFD">
        <w:rPr>
          <w:rFonts w:eastAsia="Calibri"/>
          <w:i/>
          <w:lang w:eastAsia="en-US"/>
        </w:rPr>
        <w:t>v § 4 zákona o poštovních službách. Pokud je nedodrží (i třebas proto, že se mylně domnívá,</w:t>
      </w:r>
      <w:r w:rsidR="00DE3FFD" w:rsidRPr="00DE3FFD">
        <w:rPr>
          <w:rFonts w:eastAsia="Calibri"/>
          <w:i/>
          <w:lang w:eastAsia="en-US"/>
        </w:rPr>
        <w:t xml:space="preserve"> </w:t>
      </w:r>
      <w:r w:rsidRPr="00DE3FFD">
        <w:rPr>
          <w:rFonts w:eastAsia="Calibri"/>
          <w:i/>
          <w:lang w:eastAsia="en-US"/>
        </w:rPr>
        <w:t>že takovou povinností není vázán), porušuje své zákonem stanovené povinnosti, ale neznamená</w:t>
      </w:r>
      <w:r w:rsidR="00DE3FFD" w:rsidRPr="00DE3FFD">
        <w:rPr>
          <w:rFonts w:eastAsia="Calibri"/>
          <w:i/>
          <w:lang w:eastAsia="en-US"/>
        </w:rPr>
        <w:t xml:space="preserve"> </w:t>
      </w:r>
      <w:r w:rsidRPr="00DE3FFD">
        <w:rPr>
          <w:rFonts w:eastAsia="Calibri"/>
          <w:i/>
          <w:lang w:eastAsia="en-US"/>
        </w:rPr>
        <w:t>to, že není provozovatelem poštovních slu</w:t>
      </w:r>
      <w:r w:rsidR="00D200E8">
        <w:rPr>
          <w:rFonts w:eastAsia="Calibri"/>
          <w:i/>
          <w:lang w:eastAsia="en-US"/>
        </w:rPr>
        <w:t>žeb. Jinými slovy, § 4 zákona o </w:t>
      </w:r>
      <w:r w:rsidRPr="00DE3FFD">
        <w:rPr>
          <w:rFonts w:eastAsia="Calibri"/>
          <w:i/>
          <w:lang w:eastAsia="en-US"/>
        </w:rPr>
        <w:t>poštovních službách</w:t>
      </w:r>
      <w:r w:rsidR="00DE3FFD" w:rsidRPr="00DE3FFD">
        <w:rPr>
          <w:rFonts w:eastAsia="Calibri"/>
          <w:i/>
          <w:lang w:eastAsia="en-US"/>
        </w:rPr>
        <w:t xml:space="preserve"> </w:t>
      </w:r>
      <w:r w:rsidRPr="00DE3FFD">
        <w:rPr>
          <w:rFonts w:eastAsia="Calibri"/>
          <w:i/>
          <w:lang w:eastAsia="en-US"/>
        </w:rPr>
        <w:t>stanoví povinnost, která je charakteristická pro poštovn</w:t>
      </w:r>
      <w:r w:rsidR="00D200E8">
        <w:rPr>
          <w:rFonts w:eastAsia="Calibri"/>
          <w:i/>
          <w:lang w:eastAsia="en-US"/>
        </w:rPr>
        <w:t>í služby, ale není vodítkem pro </w:t>
      </w:r>
      <w:r w:rsidRPr="00DE3FFD">
        <w:rPr>
          <w:rFonts w:eastAsia="Calibri"/>
          <w:i/>
          <w:lang w:eastAsia="en-US"/>
        </w:rPr>
        <w:t>rozlišení,</w:t>
      </w:r>
      <w:r w:rsidR="00DE3FFD" w:rsidRPr="00DE3FFD">
        <w:rPr>
          <w:rFonts w:eastAsia="Calibri"/>
          <w:i/>
          <w:lang w:eastAsia="en-US"/>
        </w:rPr>
        <w:t xml:space="preserve"> </w:t>
      </w:r>
      <w:r w:rsidRPr="00DE3FFD">
        <w:rPr>
          <w:rFonts w:eastAsia="Calibri"/>
          <w:i/>
          <w:lang w:eastAsia="en-US"/>
        </w:rPr>
        <w:t>kdo je provozovatelem poštovních služeb a kdo nikoliv</w:t>
      </w:r>
      <w:r w:rsidR="00DE3FFD">
        <w:rPr>
          <w:rFonts w:eastAsia="Calibri"/>
          <w:lang w:eastAsia="en-US"/>
        </w:rPr>
        <w:t>“</w:t>
      </w:r>
      <w:r w:rsidR="002F7288">
        <w:rPr>
          <w:rFonts w:eastAsia="Calibri"/>
          <w:lang w:eastAsia="en-US"/>
        </w:rPr>
        <w:t xml:space="preserve"> (</w:t>
      </w:r>
      <w:r w:rsidR="002F7288" w:rsidRPr="002F7288">
        <w:rPr>
          <w:rFonts w:eastAsia="Calibri"/>
          <w:lang w:eastAsia="en-US"/>
        </w:rPr>
        <w:t>1</w:t>
      </w:r>
      <w:r w:rsidR="002F7288">
        <w:rPr>
          <w:rFonts w:eastAsia="Calibri"/>
          <w:lang w:eastAsia="en-US"/>
        </w:rPr>
        <w:t> </w:t>
      </w:r>
      <w:r w:rsidR="002F7288" w:rsidRPr="002F7288">
        <w:rPr>
          <w:rFonts w:eastAsia="Calibri"/>
          <w:lang w:eastAsia="en-US"/>
        </w:rPr>
        <w:t>As</w:t>
      </w:r>
      <w:r w:rsidR="002F7288">
        <w:rPr>
          <w:rFonts w:eastAsia="Calibri"/>
          <w:lang w:eastAsia="en-US"/>
        </w:rPr>
        <w:t> </w:t>
      </w:r>
      <w:r w:rsidR="002F7288" w:rsidRPr="002F7288">
        <w:rPr>
          <w:rFonts w:eastAsia="Calibri"/>
          <w:lang w:eastAsia="en-US"/>
        </w:rPr>
        <w:t>207/2017</w:t>
      </w:r>
      <w:r w:rsidR="002F7288">
        <w:rPr>
          <w:rFonts w:eastAsia="Calibri"/>
          <w:lang w:eastAsia="en-US"/>
        </w:rPr>
        <w:t xml:space="preserve">, </w:t>
      </w:r>
      <w:r w:rsidR="00D200E8">
        <w:rPr>
          <w:rFonts w:eastAsia="Calibri"/>
          <w:i/>
          <w:lang w:eastAsia="en-US"/>
        </w:rPr>
        <w:t>IN </w:t>
      </w:r>
      <w:r w:rsidR="002F7288" w:rsidRPr="002F7288">
        <w:rPr>
          <w:rFonts w:eastAsia="Calibri"/>
          <w:i/>
          <w:lang w:eastAsia="en-US"/>
        </w:rPr>
        <w:t>TIME SPEDICE</w:t>
      </w:r>
      <w:r w:rsidR="002F7288">
        <w:rPr>
          <w:rFonts w:eastAsia="Calibri"/>
          <w:lang w:eastAsia="en-US"/>
        </w:rPr>
        <w:t xml:space="preserve">, </w:t>
      </w:r>
      <w:r w:rsidR="002F7288" w:rsidRPr="002F7288">
        <w:rPr>
          <w:rFonts w:eastAsia="Calibri"/>
          <w:lang w:eastAsia="en-US"/>
        </w:rPr>
        <w:t>bod 56).</w:t>
      </w:r>
    </w:p>
    <w:p w14:paraId="274C947F" w14:textId="26CE32CA" w:rsidR="006712AF" w:rsidRDefault="006712AF" w:rsidP="00D200E8">
      <w:pPr>
        <w:pStyle w:val="Styl1"/>
        <w:spacing w:after="80"/>
        <w:ind w:left="0" w:firstLine="0"/>
        <w:rPr>
          <w:rFonts w:eastAsia="Calibri"/>
          <w:lang w:eastAsia="en-US"/>
        </w:rPr>
      </w:pPr>
      <w:r>
        <w:rPr>
          <w:rFonts w:eastAsia="Calibri"/>
          <w:lang w:eastAsia="en-US"/>
        </w:rPr>
        <w:t>Závěry druhého senátu nadto vytváří i řadu dalších problém</w:t>
      </w:r>
      <w:r w:rsidR="00223F23">
        <w:rPr>
          <w:rFonts w:eastAsia="Calibri"/>
          <w:lang w:eastAsia="en-US"/>
        </w:rPr>
        <w:t>ů</w:t>
      </w:r>
      <w:r>
        <w:rPr>
          <w:rFonts w:eastAsia="Calibri"/>
          <w:lang w:eastAsia="en-US"/>
        </w:rPr>
        <w:t xml:space="preserve">. Například </w:t>
      </w:r>
      <w:r w:rsidR="00040BD9">
        <w:rPr>
          <w:rFonts w:eastAsia="Calibri"/>
          <w:lang w:eastAsia="en-US"/>
        </w:rPr>
        <w:t>v důsledku výkladu druhého senátu by na podnikatele, kteří poskytují poštovní služby, vůbec nedopadala ustanovení o poštovním tajemství (§ 16 zákona o poštovních službách), o otevření poštovní zásilky (§ 8 zákona o poštovních službách) apod.</w:t>
      </w:r>
    </w:p>
    <w:p w14:paraId="005507B9" w14:textId="7A77B403" w:rsidR="00690D5D" w:rsidRPr="00D200E8" w:rsidRDefault="006712AF" w:rsidP="00B502C8">
      <w:pPr>
        <w:pStyle w:val="Styl1"/>
        <w:spacing w:before="80" w:after="80"/>
        <w:ind w:left="0" w:firstLine="0"/>
        <w:rPr>
          <w:rFonts w:eastAsia="Calibri"/>
          <w:lang w:eastAsia="en-US"/>
        </w:rPr>
      </w:pPr>
      <w:r>
        <w:rPr>
          <w:rFonts w:eastAsia="Calibri"/>
          <w:lang w:eastAsia="en-US"/>
        </w:rPr>
        <w:t xml:space="preserve">S ohledem na shora uvedené již bylo nadbytečné, aby rozšířený senát zvažoval, zda je výklad zákona o poštovních službách, tak jak ho učinil druhý senát, ještě v rozporu s právem EU. </w:t>
      </w:r>
      <w:r w:rsidR="00184546">
        <w:rPr>
          <w:rFonts w:eastAsia="Calibri"/>
          <w:lang w:eastAsia="en-US"/>
        </w:rPr>
        <w:t>V každém případě je takovýto výklad s právem EU</w:t>
      </w:r>
      <w:r w:rsidR="00B43BE0">
        <w:rPr>
          <w:rFonts w:eastAsia="Calibri"/>
          <w:lang w:eastAsia="en-US"/>
        </w:rPr>
        <w:t xml:space="preserve"> v souladu (srov. k tomu bod shora bod </w:t>
      </w:r>
      <w:r w:rsidR="00B43BE0">
        <w:rPr>
          <w:rFonts w:eastAsia="Calibri"/>
          <w:lang w:eastAsia="en-US"/>
        </w:rPr>
        <w:fldChar w:fldCharType="begin"/>
      </w:r>
      <w:r w:rsidR="00B43BE0">
        <w:rPr>
          <w:rFonts w:eastAsia="Calibri"/>
          <w:lang w:eastAsia="en-US"/>
        </w:rPr>
        <w:instrText xml:space="preserve"> REF _Ref82014882 \r \h </w:instrText>
      </w:r>
      <w:r w:rsidR="00B43BE0">
        <w:rPr>
          <w:rFonts w:eastAsia="Calibri"/>
          <w:lang w:eastAsia="en-US"/>
        </w:rPr>
      </w:r>
      <w:r w:rsidR="00B43BE0">
        <w:rPr>
          <w:rFonts w:eastAsia="Calibri"/>
          <w:lang w:eastAsia="en-US"/>
        </w:rPr>
        <w:fldChar w:fldCharType="separate"/>
      </w:r>
      <w:r w:rsidR="00B94877">
        <w:rPr>
          <w:rFonts w:eastAsia="Calibri"/>
          <w:lang w:eastAsia="en-US"/>
        </w:rPr>
        <w:t>[74]</w:t>
      </w:r>
      <w:r w:rsidR="00B43BE0">
        <w:rPr>
          <w:rFonts w:eastAsia="Calibri"/>
          <w:lang w:eastAsia="en-US"/>
        </w:rPr>
        <w:fldChar w:fldCharType="end"/>
      </w:r>
      <w:r w:rsidR="00B43BE0">
        <w:rPr>
          <w:rFonts w:eastAsia="Calibri"/>
          <w:lang w:eastAsia="en-US"/>
        </w:rPr>
        <w:t xml:space="preserve"> </w:t>
      </w:r>
      <w:r w:rsidR="00D200E8">
        <w:rPr>
          <w:rFonts w:eastAsia="Calibri"/>
          <w:i/>
          <w:iCs/>
          <w:lang w:eastAsia="en-US"/>
        </w:rPr>
        <w:t>in </w:t>
      </w:r>
      <w:r w:rsidR="00B43BE0" w:rsidRPr="00B94877">
        <w:rPr>
          <w:rFonts w:eastAsia="Calibri"/>
          <w:i/>
          <w:iCs/>
          <w:lang w:eastAsia="en-US"/>
        </w:rPr>
        <w:t>fine</w:t>
      </w:r>
      <w:r w:rsidR="00B43BE0">
        <w:rPr>
          <w:rFonts w:eastAsia="Calibri"/>
          <w:lang w:eastAsia="en-US"/>
        </w:rPr>
        <w:t>)</w:t>
      </w:r>
      <w:r w:rsidR="00184546">
        <w:rPr>
          <w:rFonts w:eastAsia="Calibri"/>
          <w:lang w:eastAsia="en-US"/>
        </w:rPr>
        <w:t>.</w:t>
      </w:r>
    </w:p>
    <w:p w14:paraId="5915F030" w14:textId="77777777" w:rsidR="00F23C31" w:rsidRPr="00DA333E" w:rsidRDefault="00F23C31" w:rsidP="00D200E8">
      <w:pPr>
        <w:pStyle w:val="Styl1"/>
        <w:numPr>
          <w:ilvl w:val="0"/>
          <w:numId w:val="0"/>
        </w:numPr>
        <w:spacing w:after="80"/>
        <w:jc w:val="center"/>
        <w:rPr>
          <w:rFonts w:eastAsia="Calibri" w:cs="Arial"/>
          <w:lang w:eastAsia="en-US"/>
        </w:rPr>
      </w:pPr>
      <w:r w:rsidRPr="00DA333E">
        <w:rPr>
          <w:rFonts w:eastAsia="Calibri" w:cs="Arial"/>
          <w:lang w:eastAsia="en-US"/>
        </w:rPr>
        <w:t>I</w:t>
      </w:r>
      <w:r w:rsidR="00084E46">
        <w:rPr>
          <w:rFonts w:eastAsia="Calibri" w:cs="Arial"/>
          <w:lang w:eastAsia="en-US"/>
        </w:rPr>
        <w:t>V</w:t>
      </w:r>
      <w:r w:rsidRPr="00DA333E">
        <w:rPr>
          <w:rFonts w:eastAsia="Calibri" w:cs="Arial"/>
          <w:lang w:eastAsia="en-US"/>
        </w:rPr>
        <w:t xml:space="preserve">. 2. </w:t>
      </w:r>
      <w:r w:rsidR="002F7288">
        <w:rPr>
          <w:rFonts w:eastAsia="Calibri" w:cs="Arial"/>
          <w:lang w:eastAsia="en-US"/>
        </w:rPr>
        <w:t>C</w:t>
      </w:r>
      <w:r w:rsidRPr="00DA333E">
        <w:rPr>
          <w:rFonts w:eastAsia="Calibri" w:cs="Arial"/>
          <w:lang w:eastAsia="en-US"/>
        </w:rPr>
        <w:t xml:space="preserve">. </w:t>
      </w:r>
      <w:r w:rsidRPr="00DA333E">
        <w:rPr>
          <w:rFonts w:eastAsia="Calibri" w:cs="Arial"/>
          <w:i/>
          <w:iCs/>
          <w:lang w:eastAsia="en-US"/>
        </w:rPr>
        <w:t>Shrnutí právního názoru rozšířeného senátu</w:t>
      </w:r>
    </w:p>
    <w:p w14:paraId="39AC532E" w14:textId="120A56DD" w:rsidR="001C5EA7" w:rsidRPr="00B94877" w:rsidRDefault="00B94877" w:rsidP="00D200E8">
      <w:pPr>
        <w:pStyle w:val="Styl1"/>
        <w:spacing w:after="80"/>
        <w:ind w:left="0" w:firstLine="0"/>
        <w:rPr>
          <w:rStyle w:val="textcolumn"/>
        </w:rPr>
      </w:pPr>
      <w:r w:rsidRPr="00B94877">
        <w:rPr>
          <w:rStyle w:val="textcolumn"/>
          <w:rFonts w:cs="Calibri"/>
          <w:bCs/>
        </w:rPr>
        <w:t xml:space="preserve">Zákon </w:t>
      </w:r>
      <w:r w:rsidRPr="00B94877">
        <w:rPr>
          <w:rFonts w:cs="Calibri"/>
          <w:bCs/>
        </w:rPr>
        <w:t xml:space="preserve">č. 29/2000 Sb., </w:t>
      </w:r>
      <w:r w:rsidRPr="00B94877">
        <w:rPr>
          <w:rStyle w:val="textcolumn"/>
          <w:rFonts w:cs="Calibri"/>
          <w:bCs/>
        </w:rPr>
        <w:t>o poštovních službách, ve z</w:t>
      </w:r>
      <w:r w:rsidR="00D200E8">
        <w:rPr>
          <w:rStyle w:val="textcolumn"/>
          <w:rFonts w:cs="Calibri"/>
          <w:bCs/>
        </w:rPr>
        <w:t>nění účinném do 14. 4. 2020, se </w:t>
      </w:r>
      <w:r w:rsidRPr="00B94877">
        <w:rPr>
          <w:rStyle w:val="textcolumn"/>
          <w:rFonts w:cs="Calibri"/>
          <w:bCs/>
        </w:rPr>
        <w:t>vztahoval na všechny poskytovatele poštovních služeb, nikoli jen na poštovní služby poskytované</w:t>
      </w:r>
      <w:r w:rsidRPr="00B94877">
        <w:rPr>
          <w:rFonts w:cs="Calibri"/>
          <w:bCs/>
        </w:rPr>
        <w:t xml:space="preserve"> držitelem poštovní licence.</w:t>
      </w:r>
      <w:r w:rsidRPr="00B94877">
        <w:rPr>
          <w:rStyle w:val="textcolumn"/>
          <w:rFonts w:cs="Calibri"/>
          <w:bCs/>
        </w:rPr>
        <w:t xml:space="preserve"> </w:t>
      </w:r>
      <w:r w:rsidRPr="00B94877">
        <w:rPr>
          <w:rFonts w:cs="Calibri"/>
          <w:bCs/>
        </w:rPr>
        <w:t>Poštovní službou je každá činnost, která odpovídá zákonnému vymezení obsahu poštovní smlouvy, tedy dodání poštovní zásilky nebo peněžní částky z místa podání sjednaným způsobem příjemci do místa uv</w:t>
      </w:r>
      <w:r w:rsidR="00D200E8">
        <w:rPr>
          <w:rFonts w:cs="Calibri"/>
          <w:bCs/>
        </w:rPr>
        <w:t>edeného v adrese (§ 1 odst. 2 a </w:t>
      </w:r>
      <w:r w:rsidRPr="00B94877">
        <w:rPr>
          <w:rFonts w:cs="Calibri"/>
          <w:bCs/>
        </w:rPr>
        <w:t xml:space="preserve">§ 5 odst. 1 zákona o poštovních službách). </w:t>
      </w:r>
      <w:r w:rsidRPr="00B94877">
        <w:rPr>
          <w:rStyle w:val="textcolumn"/>
          <w:rFonts w:cs="Calibri"/>
          <w:bCs/>
        </w:rPr>
        <w:t>Kontraktační povinnost (</w:t>
      </w:r>
      <w:r w:rsidR="00D200E8">
        <w:rPr>
          <w:rFonts w:cs="Calibri"/>
          <w:bCs/>
        </w:rPr>
        <w:t>§ 4 odst. 2 zákona o </w:t>
      </w:r>
      <w:r w:rsidRPr="00B94877">
        <w:rPr>
          <w:rFonts w:cs="Calibri"/>
          <w:bCs/>
        </w:rPr>
        <w:t>poštovních službách)</w:t>
      </w:r>
      <w:r w:rsidRPr="00B94877">
        <w:rPr>
          <w:rStyle w:val="textcolumn"/>
          <w:rFonts w:cs="Calibri"/>
          <w:bCs/>
        </w:rPr>
        <w:t xml:space="preserve"> nebyla definičním znakem poštovní služby</w:t>
      </w:r>
      <w:r w:rsidRPr="00B94877">
        <w:rPr>
          <w:rFonts w:cs="Calibri"/>
          <w:bCs/>
        </w:rPr>
        <w:t>; tato povinnost je právním důsledkem toho, že určitá osoba splňuje znaky provozovatele poštovních služeb</w:t>
      </w:r>
      <w:r w:rsidRPr="00B94877">
        <w:rPr>
          <w:rStyle w:val="textcolumn"/>
        </w:rPr>
        <w:t>.</w:t>
      </w:r>
      <w:r w:rsidR="001C5EA7" w:rsidRPr="00B94877">
        <w:rPr>
          <w:rStyle w:val="textcolumn"/>
        </w:rPr>
        <w:t xml:space="preserve"> </w:t>
      </w:r>
    </w:p>
    <w:p w14:paraId="22FFE999" w14:textId="77777777" w:rsidR="00D302A1" w:rsidRPr="00D200E8" w:rsidRDefault="00D302A1" w:rsidP="00D200E8">
      <w:pPr>
        <w:pStyle w:val="Styl1"/>
        <w:numPr>
          <w:ilvl w:val="0"/>
          <w:numId w:val="0"/>
        </w:numPr>
        <w:spacing w:after="80"/>
        <w:jc w:val="center"/>
        <w:rPr>
          <w:b/>
          <w:sz w:val="6"/>
        </w:rPr>
      </w:pPr>
    </w:p>
    <w:p w14:paraId="4EB15CE9" w14:textId="77777777" w:rsidR="00F23C31" w:rsidRPr="00DA333E" w:rsidRDefault="00F23C31" w:rsidP="00D200E8">
      <w:pPr>
        <w:pStyle w:val="Styl1"/>
        <w:numPr>
          <w:ilvl w:val="0"/>
          <w:numId w:val="0"/>
        </w:numPr>
        <w:spacing w:after="80"/>
        <w:jc w:val="center"/>
        <w:rPr>
          <w:b/>
          <w:i/>
        </w:rPr>
      </w:pPr>
      <w:r w:rsidRPr="00DA333E">
        <w:rPr>
          <w:b/>
        </w:rPr>
        <w:t xml:space="preserve">V. </w:t>
      </w:r>
      <w:r w:rsidRPr="00DA333E">
        <w:rPr>
          <w:b/>
          <w:i/>
        </w:rPr>
        <w:t>Aplikace právního názoru na nyní projednávanou věc</w:t>
      </w:r>
    </w:p>
    <w:p w14:paraId="054637AE" w14:textId="77777777" w:rsidR="00521897" w:rsidRPr="00DA333E" w:rsidRDefault="00521897" w:rsidP="00D200E8">
      <w:pPr>
        <w:pStyle w:val="Styl1"/>
        <w:spacing w:after="80"/>
        <w:ind w:left="0" w:firstLine="0"/>
        <w:rPr>
          <w:rStyle w:val="textcolumn"/>
        </w:rPr>
      </w:pPr>
      <w:r w:rsidRPr="00DA333E">
        <w:t>Rozšířený senát vztáhl výše uvedené závěry na nyní posuzovanou věc. Protože v ní šlo o </w:t>
      </w:r>
      <w:r w:rsidR="00EE506F">
        <w:t>klíčovou</w:t>
      </w:r>
      <w:r w:rsidRPr="00DA333E">
        <w:t xml:space="preserve"> kasační námitku, posoudil celou věc sám, a to v souladu s § 71 Jednacího řádu NSS.</w:t>
      </w:r>
    </w:p>
    <w:p w14:paraId="71D2CA4D" w14:textId="51E4C905" w:rsidR="00FB1C58" w:rsidRPr="00D15D34" w:rsidRDefault="00D15D34" w:rsidP="00D200E8">
      <w:pPr>
        <w:pStyle w:val="Styl1"/>
        <w:spacing w:after="80"/>
        <w:ind w:left="0" w:firstLine="0"/>
        <w:rPr>
          <w:rStyle w:val="textcolumn"/>
        </w:rPr>
      </w:pPr>
      <w:r>
        <w:rPr>
          <w:rStyle w:val="textcolumn"/>
        </w:rPr>
        <w:t xml:space="preserve">Městský soud v nynější věci vyšel ze závěrů druhého senátu ve věci </w:t>
      </w:r>
      <w:r w:rsidRPr="00234161">
        <w:rPr>
          <w:i/>
        </w:rPr>
        <w:t xml:space="preserve">Geis Parcel CZ </w:t>
      </w:r>
      <w:r w:rsidR="00D200E8">
        <w:t>a </w:t>
      </w:r>
      <w:r w:rsidRPr="00D15D34">
        <w:t>prvého senátu</w:t>
      </w:r>
      <w:r>
        <w:t xml:space="preserve"> </w:t>
      </w:r>
      <w:r w:rsidRPr="00234161">
        <w:rPr>
          <w:rFonts w:eastAsia="Calibri"/>
          <w:i/>
          <w:lang w:eastAsia="en-US"/>
        </w:rPr>
        <w:t>IN TIME SPEDICE</w:t>
      </w:r>
      <w:r w:rsidRPr="00234161">
        <w:rPr>
          <w:i/>
        </w:rPr>
        <w:t xml:space="preserve">. </w:t>
      </w:r>
      <w:r>
        <w:t xml:space="preserve">Podstatná část rozsudku městského soudu spočívá jen v přímé citaci vybraných pasáží obou rozsudků. </w:t>
      </w:r>
      <w:r w:rsidR="00234161">
        <w:t xml:space="preserve">Městský soud rovněž odmítl, že by mezi závěry prvého a druhého senátu existoval rozpor, neboť v obou případech NSS kasační stížnost stěžovatele proti rozsudkům městského soudu zamítl (bod 56 napadeného rozsudku). </w:t>
      </w:r>
      <w:r>
        <w:t xml:space="preserve">Na základě toho městský soud </w:t>
      </w:r>
      <w:r w:rsidRPr="00D15D34">
        <w:t xml:space="preserve">dovodil, </w:t>
      </w:r>
      <w:r>
        <w:t xml:space="preserve">že </w:t>
      </w:r>
      <w:r w:rsidR="00234161">
        <w:t xml:space="preserve">definice poštovní služby v </w:t>
      </w:r>
      <w:r w:rsidR="00D200E8">
        <w:t>zákoně o poštovních službách je </w:t>
      </w:r>
      <w:r w:rsidR="00234161">
        <w:t xml:space="preserve">nejednoznačná, resp. jedná se o definici kruhem. Pokud tedy služby, které poskytuje žalobkyně a další poskytovatelé obdobných služeb na trhu, mají být považovány za služby poštovní, tak je dle názoru soudu nutné a potřebné, aby zákon o poštovních službách tuto skutečnost stanovil zcela jednoznačně. Tak tomu za dnešní právní situace dle městského soudu není. Nelze </w:t>
      </w:r>
      <w:r w:rsidR="00D200E8">
        <w:t>dle </w:t>
      </w:r>
      <w:r w:rsidR="00952D01">
        <w:t xml:space="preserve">městského soudu </w:t>
      </w:r>
      <w:r w:rsidR="00234161">
        <w:t>odhlédnout od toho, že stále v českém právním řádu existuje živnost zas</w:t>
      </w:r>
      <w:r w:rsidR="00F1240D">
        <w:t>i</w:t>
      </w:r>
      <w:r w:rsidR="00234161">
        <w:t>latelská, stát tedy tuto živnost uznává, a z toho důvodu nelze automaticky živnost zas</w:t>
      </w:r>
      <w:r w:rsidR="00F1240D">
        <w:t>i</w:t>
      </w:r>
      <w:r w:rsidR="00234161">
        <w:t>latelskou považovat za poštovní službu. Soud tedy z výše uvedených důvodů žalobou napadené rozhodnutí stěžovatele jako nezákonné zrušil a věc vrátil žalovanému k dalšímu řízení.</w:t>
      </w:r>
    </w:p>
    <w:p w14:paraId="3EA7DFBD" w14:textId="633162E6" w:rsidR="00FB1C58" w:rsidRDefault="00234161" w:rsidP="00D200E8">
      <w:pPr>
        <w:pStyle w:val="Styl1"/>
        <w:spacing w:after="80"/>
        <w:ind w:left="0" w:firstLine="0"/>
      </w:pPr>
      <w:r>
        <w:t>Rozšířený senát</w:t>
      </w:r>
      <w:r w:rsidR="0030396A">
        <w:t xml:space="preserve"> si je vědom</w:t>
      </w:r>
      <w:r>
        <w:t xml:space="preserve">, že městský soud rozhodoval na základě tehdy platných právních názorů NSS. </w:t>
      </w:r>
      <w:r w:rsidR="0030396A">
        <w:t>S</w:t>
      </w:r>
      <w:r>
        <w:t xml:space="preserve">právnost závěrů, z nichž městský soud ve svém rozsudku vyšel, </w:t>
      </w:r>
      <w:r w:rsidR="0030396A">
        <w:t xml:space="preserve">však </w:t>
      </w:r>
      <w:r w:rsidR="00B004CD">
        <w:t>rozšířený senát v nynějším rozsudku odmítl. Proto je třeba zrušit též rozsudek městského soudu. V dalším řízení městský soud posoudí v návaznosti na žalobní body a se zřetelem na shora vytyče</w:t>
      </w:r>
      <w:r w:rsidR="00FD13B7">
        <w:t>ný</w:t>
      </w:r>
      <w:r w:rsidR="00B004CD">
        <w:t xml:space="preserve"> </w:t>
      </w:r>
      <w:r w:rsidR="00FD13B7">
        <w:t>výklad</w:t>
      </w:r>
      <w:r w:rsidR="00B004CD">
        <w:t xml:space="preserve"> zákona o poštovních službách, zda měl stěžovatel pravdu, že sporné </w:t>
      </w:r>
      <w:r w:rsidR="00B004CD" w:rsidRPr="0020401B">
        <w:rPr>
          <w:rStyle w:val="textcolumn"/>
        </w:rPr>
        <w:t xml:space="preserve">služby nabízené žalobkyní </w:t>
      </w:r>
      <w:r w:rsidR="00B004CD" w:rsidRPr="00B004CD">
        <w:rPr>
          <w:rStyle w:val="textcolumn"/>
        </w:rPr>
        <w:t xml:space="preserve">jsou </w:t>
      </w:r>
      <w:r w:rsidR="00B004CD" w:rsidRPr="0020401B">
        <w:rPr>
          <w:rStyle w:val="textcolumn"/>
        </w:rPr>
        <w:t>poštovními službami ve smyslu zákona o poštovních službách</w:t>
      </w:r>
      <w:r w:rsidR="00B004CD">
        <w:rPr>
          <w:rStyle w:val="textcolumn"/>
        </w:rPr>
        <w:t>.</w:t>
      </w:r>
      <w:r w:rsidR="00B004CD">
        <w:t xml:space="preserve"> </w:t>
      </w:r>
      <w:r>
        <w:t xml:space="preserve"> </w:t>
      </w:r>
    </w:p>
    <w:p w14:paraId="493F2190" w14:textId="1715620F" w:rsidR="00AE5A37" w:rsidRPr="00393C1C" w:rsidRDefault="00AE5A37" w:rsidP="00D200E8">
      <w:pPr>
        <w:pStyle w:val="Styl1"/>
        <w:spacing w:after="80"/>
        <w:ind w:left="0" w:firstLine="0"/>
      </w:pPr>
      <w:r w:rsidRPr="00DA333E">
        <w:t xml:space="preserve">Rozšířený senát </w:t>
      </w:r>
      <w:r>
        <w:t xml:space="preserve">proto </w:t>
      </w:r>
      <w:r w:rsidRPr="00393C1C">
        <w:t xml:space="preserve">v souladu s § 110 odst. 1 s. ř. s. zrušil rozsudek </w:t>
      </w:r>
      <w:r>
        <w:t>městs</w:t>
      </w:r>
      <w:r w:rsidR="00D200E8">
        <w:t>kého soudu a </w:t>
      </w:r>
      <w:r w:rsidRPr="00393C1C">
        <w:t xml:space="preserve">věc mu vrátil k dalšímu řízení. V souladu s § 110 odst. 4 s. ř. s. je </w:t>
      </w:r>
      <w:r>
        <w:t>městský</w:t>
      </w:r>
      <w:r w:rsidRPr="00393C1C">
        <w:t xml:space="preserve"> soud vázán právním názorem uvedeným v tomto </w:t>
      </w:r>
      <w:r w:rsidR="00B004CD">
        <w:t>rozsudku rozšířeného senátu</w:t>
      </w:r>
      <w:r w:rsidRPr="00393C1C">
        <w:t xml:space="preserve">. O náhradě nákladů řízení o kasační stížnosti rozhodne </w:t>
      </w:r>
      <w:r>
        <w:t>měst</w:t>
      </w:r>
      <w:r w:rsidRPr="00393C1C">
        <w:t>ský soud (§ 110 odst. 3 s. ř. s.).</w:t>
      </w:r>
    </w:p>
    <w:p w14:paraId="15F76B3B" w14:textId="77777777" w:rsidR="00860C60" w:rsidRPr="00D200E8" w:rsidRDefault="00860C60" w:rsidP="00D200E8">
      <w:pPr>
        <w:spacing w:after="80"/>
        <w:jc w:val="both"/>
        <w:rPr>
          <w:rFonts w:ascii="Garamond" w:eastAsia="Calibri" w:hAnsi="Garamond"/>
          <w:sz w:val="4"/>
          <w:lang w:eastAsia="en-US"/>
        </w:rPr>
      </w:pPr>
    </w:p>
    <w:p w14:paraId="4FD968B6" w14:textId="77777777" w:rsidR="00422F84" w:rsidRPr="00DA333E" w:rsidRDefault="00422F84" w:rsidP="00D200E8">
      <w:pPr>
        <w:spacing w:after="80"/>
        <w:jc w:val="both"/>
        <w:rPr>
          <w:rFonts w:ascii="Garamond" w:eastAsia="Calibri" w:hAnsi="Garamond"/>
          <w:lang w:eastAsia="en-US"/>
        </w:rPr>
      </w:pPr>
      <w:r w:rsidRPr="00DA333E">
        <w:rPr>
          <w:rFonts w:ascii="Garamond" w:eastAsia="Calibri" w:hAnsi="Garamond"/>
          <w:b/>
          <w:spacing w:val="60"/>
          <w:lang w:eastAsia="en-US"/>
        </w:rPr>
        <w:t>Poučení:</w:t>
      </w:r>
      <w:r w:rsidRPr="00DA333E">
        <w:rPr>
          <w:rFonts w:ascii="Garamond" w:eastAsia="Calibri" w:hAnsi="Garamond"/>
          <w:b/>
          <w:lang w:eastAsia="en-US"/>
        </w:rPr>
        <w:t xml:space="preserve"> </w:t>
      </w:r>
      <w:r w:rsidRPr="00DA333E">
        <w:rPr>
          <w:rFonts w:ascii="Garamond" w:eastAsia="Calibri" w:hAnsi="Garamond"/>
          <w:lang w:eastAsia="en-US"/>
        </w:rPr>
        <w:t xml:space="preserve">Proti tomuto </w:t>
      </w:r>
      <w:r w:rsidR="00155D7E" w:rsidRPr="00DA333E">
        <w:rPr>
          <w:rFonts w:ascii="Garamond" w:eastAsia="Calibri" w:hAnsi="Garamond"/>
          <w:lang w:eastAsia="en-US"/>
        </w:rPr>
        <w:t>rozsudku</w:t>
      </w:r>
      <w:r w:rsidRPr="00DA333E">
        <w:rPr>
          <w:rFonts w:ascii="Garamond" w:eastAsia="Calibri" w:hAnsi="Garamond"/>
          <w:lang w:eastAsia="en-US"/>
        </w:rPr>
        <w:t xml:space="preserve"> </w:t>
      </w:r>
      <w:r w:rsidRPr="00DA333E">
        <w:rPr>
          <w:rFonts w:ascii="Garamond" w:eastAsia="Calibri" w:hAnsi="Garamond"/>
          <w:b/>
          <w:spacing w:val="60"/>
          <w:lang w:eastAsia="en-US"/>
        </w:rPr>
        <w:t>nejsou</w:t>
      </w:r>
      <w:r w:rsidRPr="00DA333E">
        <w:rPr>
          <w:rFonts w:ascii="Garamond" w:eastAsia="Calibri" w:hAnsi="Garamond"/>
          <w:b/>
          <w:lang w:eastAsia="en-US"/>
        </w:rPr>
        <w:t xml:space="preserve">  </w:t>
      </w:r>
      <w:r w:rsidRPr="00DA333E">
        <w:rPr>
          <w:rFonts w:ascii="Garamond" w:eastAsia="Calibri" w:hAnsi="Garamond"/>
          <w:lang w:eastAsia="en-US"/>
        </w:rPr>
        <w:t xml:space="preserve"> opravné prostředky přípustné.</w:t>
      </w:r>
    </w:p>
    <w:p w14:paraId="382A1B91" w14:textId="77777777" w:rsidR="00422F84" w:rsidRPr="00D200E8" w:rsidRDefault="00422F84" w:rsidP="00D200E8">
      <w:pPr>
        <w:spacing w:after="80"/>
        <w:rPr>
          <w:rFonts w:ascii="Garamond" w:eastAsia="Calibri" w:hAnsi="Garamond"/>
          <w:sz w:val="6"/>
          <w:lang w:eastAsia="en-US"/>
        </w:rPr>
      </w:pPr>
    </w:p>
    <w:p w14:paraId="6A030F04" w14:textId="666D2C75" w:rsidR="00422F84" w:rsidRPr="00B502C8" w:rsidRDefault="000C71FF" w:rsidP="00B502C8">
      <w:pPr>
        <w:jc w:val="center"/>
        <w:rPr>
          <w:rFonts w:ascii="Garamond" w:eastAsia="Calibri" w:hAnsi="Garamond"/>
          <w:lang w:eastAsia="en-US"/>
        </w:rPr>
      </w:pPr>
      <w:r w:rsidRPr="00DA333E">
        <w:rPr>
          <w:rFonts w:ascii="Garamond" w:eastAsia="Calibri" w:hAnsi="Garamond"/>
          <w:lang w:eastAsia="en-US"/>
        </w:rPr>
        <w:t xml:space="preserve">V Brně dne </w:t>
      </w:r>
      <w:r w:rsidR="00D200E8">
        <w:rPr>
          <w:rFonts w:ascii="Garamond" w:eastAsia="Calibri" w:hAnsi="Garamond"/>
          <w:lang w:eastAsia="en-US"/>
        </w:rPr>
        <w:t xml:space="preserve">14. září </w:t>
      </w:r>
      <w:r w:rsidR="00C44D23" w:rsidRPr="00DA333E">
        <w:rPr>
          <w:rFonts w:ascii="Garamond" w:eastAsia="Calibri" w:hAnsi="Garamond"/>
          <w:lang w:eastAsia="en-US"/>
        </w:rPr>
        <w:t>2021</w:t>
      </w:r>
    </w:p>
    <w:p w14:paraId="1263EF36" w14:textId="4747A4CF" w:rsidR="00422F84" w:rsidRPr="00DA333E" w:rsidRDefault="006D1B29" w:rsidP="00422F84">
      <w:pPr>
        <w:ind w:left="5529" w:firstLine="4"/>
        <w:jc w:val="center"/>
        <w:rPr>
          <w:rFonts w:ascii="Garamond" w:eastAsia="Calibri" w:hAnsi="Garamond"/>
          <w:lang w:eastAsia="en-US"/>
        </w:rPr>
      </w:pPr>
      <w:r w:rsidRPr="00DA333E">
        <w:rPr>
          <w:rFonts w:ascii="Garamond" w:eastAsia="Calibri" w:hAnsi="Garamond"/>
          <w:lang w:eastAsia="en-US"/>
        </w:rPr>
        <w:t>Josef Baxa</w:t>
      </w:r>
    </w:p>
    <w:p w14:paraId="6255A0D4" w14:textId="4B144EA1" w:rsidR="00AB09E5" w:rsidRDefault="006D1B29" w:rsidP="00D200E8">
      <w:pPr>
        <w:ind w:left="5529" w:firstLine="4"/>
        <w:jc w:val="center"/>
        <w:rPr>
          <w:rFonts w:ascii="Garamond" w:eastAsia="Calibri" w:hAnsi="Garamond"/>
          <w:lang w:eastAsia="en-US"/>
        </w:rPr>
      </w:pPr>
      <w:r w:rsidRPr="00DA333E">
        <w:rPr>
          <w:rFonts w:ascii="Garamond" w:eastAsia="Calibri" w:hAnsi="Garamond"/>
          <w:lang w:eastAsia="en-US"/>
        </w:rPr>
        <w:t>p</w:t>
      </w:r>
      <w:r w:rsidR="00422F84" w:rsidRPr="00DA333E">
        <w:rPr>
          <w:rFonts w:ascii="Garamond" w:eastAsia="Calibri" w:hAnsi="Garamond"/>
          <w:lang w:eastAsia="en-US"/>
        </w:rPr>
        <w:t>ředsed</w:t>
      </w:r>
      <w:r w:rsidRPr="00DA333E">
        <w:rPr>
          <w:rFonts w:ascii="Garamond" w:eastAsia="Calibri" w:hAnsi="Garamond"/>
          <w:lang w:eastAsia="en-US"/>
        </w:rPr>
        <w:t>a rozšířeného</w:t>
      </w:r>
      <w:r w:rsidR="00422F84" w:rsidRPr="00DA333E">
        <w:rPr>
          <w:rFonts w:ascii="Garamond" w:eastAsia="Calibri" w:hAnsi="Garamond"/>
          <w:lang w:eastAsia="en-US"/>
        </w:rPr>
        <w:t xml:space="preserve"> senát</w:t>
      </w:r>
      <w:r w:rsidR="0079594E" w:rsidRPr="00DA333E">
        <w:rPr>
          <w:rFonts w:ascii="Garamond" w:eastAsia="Calibri" w:hAnsi="Garamond"/>
          <w:lang w:eastAsia="en-US"/>
        </w:rPr>
        <w:t>u</w:t>
      </w:r>
      <w:r w:rsidR="000C71FF">
        <w:rPr>
          <w:rFonts w:ascii="Garamond" w:eastAsia="Calibri" w:hAnsi="Garamond"/>
          <w:lang w:eastAsia="en-US"/>
        </w:rPr>
        <w:t xml:space="preserve"> </w:t>
      </w:r>
    </w:p>
    <w:sectPr w:rsidR="00AB09E5" w:rsidSect="001F746C">
      <w:headerReference w:type="even" r:id="rId12"/>
      <w:headerReference w:type="default" r:id="rId13"/>
      <w:headerReference w:type="first" r:id="rId14"/>
      <w:footnotePr>
        <w:numFmt w:val="chicago"/>
      </w:footnotePr>
      <w:pgSz w:w="11906" w:h="16838"/>
      <w:pgMar w:top="1134" w:right="1418" w:bottom="1134" w:left="1418"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DB344F" w16cid:durableId="24E3363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BE9B7" w14:textId="77777777" w:rsidR="00552FFD" w:rsidRDefault="00552FFD" w:rsidP="00D40A7C">
      <w:r>
        <w:separator/>
      </w:r>
    </w:p>
  </w:endnote>
  <w:endnote w:type="continuationSeparator" w:id="0">
    <w:p w14:paraId="012929B6" w14:textId="77777777" w:rsidR="00552FFD" w:rsidRDefault="00552FFD" w:rsidP="00D40A7C">
      <w:r>
        <w:continuationSeparator/>
      </w:r>
    </w:p>
  </w:endnote>
  <w:endnote w:type="continuationNotice" w:id="1">
    <w:p w14:paraId="4849E084" w14:textId="77777777" w:rsidR="00552FFD" w:rsidRDefault="00552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altName w:val="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1B6DC" w14:textId="77777777" w:rsidR="00552FFD" w:rsidRDefault="00552FFD" w:rsidP="00D40A7C">
      <w:r>
        <w:separator/>
      </w:r>
    </w:p>
  </w:footnote>
  <w:footnote w:type="continuationSeparator" w:id="0">
    <w:p w14:paraId="514993E2" w14:textId="77777777" w:rsidR="00552FFD" w:rsidRDefault="00552FFD" w:rsidP="00D40A7C">
      <w:r>
        <w:continuationSeparator/>
      </w:r>
    </w:p>
  </w:footnote>
  <w:footnote w:type="continuationNotice" w:id="1">
    <w:p w14:paraId="3EE90F55" w14:textId="77777777" w:rsidR="00552FFD" w:rsidRDefault="00552FFD"/>
  </w:footnote>
  <w:footnote w:id="2">
    <w:p w14:paraId="7734634B" w14:textId="77777777" w:rsidR="002C05E3" w:rsidRDefault="002C05E3" w:rsidP="00184926">
      <w:pPr>
        <w:pStyle w:val="Textpoznpodarou"/>
        <w:jc w:val="both"/>
      </w:pPr>
      <w:r w:rsidRPr="00184926">
        <w:rPr>
          <w:rStyle w:val="Znakapoznpodarou"/>
          <w:rFonts w:ascii="Garamond" w:hAnsi="Garamond"/>
          <w:sz w:val="22"/>
          <w:szCs w:val="22"/>
        </w:rPr>
        <w:footnoteRef/>
      </w:r>
      <w:r w:rsidRPr="00184926">
        <w:rPr>
          <w:rFonts w:ascii="Garamond" w:hAnsi="Garamond"/>
          <w:sz w:val="22"/>
          <w:szCs w:val="22"/>
        </w:rPr>
        <w:t xml:space="preserve"> Úř. věst. L 15, 21.</w:t>
      </w:r>
      <w:r>
        <w:rPr>
          <w:rFonts w:ascii="Garamond" w:hAnsi="Garamond"/>
          <w:sz w:val="22"/>
          <w:szCs w:val="22"/>
        </w:rPr>
        <w:t> </w:t>
      </w:r>
      <w:r w:rsidRPr="00184926">
        <w:rPr>
          <w:rFonts w:ascii="Garamond" w:hAnsi="Garamond"/>
          <w:sz w:val="22"/>
          <w:szCs w:val="22"/>
        </w:rPr>
        <w:t>1.</w:t>
      </w:r>
      <w:r>
        <w:rPr>
          <w:rFonts w:ascii="Garamond" w:hAnsi="Garamond"/>
          <w:sz w:val="22"/>
          <w:szCs w:val="22"/>
        </w:rPr>
        <w:t> </w:t>
      </w:r>
      <w:r w:rsidRPr="00184926">
        <w:rPr>
          <w:rFonts w:ascii="Garamond" w:hAnsi="Garamond"/>
          <w:sz w:val="22"/>
          <w:szCs w:val="22"/>
        </w:rPr>
        <w:t>1998, s. 14</w:t>
      </w:r>
      <w:r>
        <w:rPr>
          <w:rFonts w:ascii="Garamond" w:hAnsi="Garamond"/>
          <w:sz w:val="22"/>
          <w:szCs w:val="22"/>
        </w:rPr>
        <w:t>-</w:t>
      </w:r>
      <w:r w:rsidRPr="00184926">
        <w:rPr>
          <w:rFonts w:ascii="Garamond" w:hAnsi="Garamond"/>
          <w:sz w:val="22"/>
          <w:szCs w:val="22"/>
        </w:rPr>
        <w:t>25</w:t>
      </w:r>
      <w:r>
        <w:rPr>
          <w:rFonts w:ascii="Garamond" w:hAnsi="Garamond"/>
          <w:sz w:val="22"/>
          <w:szCs w:val="22"/>
        </w:rPr>
        <w:t xml:space="preserve">, </w:t>
      </w:r>
      <w:r w:rsidRPr="00184926">
        <w:rPr>
          <w:rFonts w:ascii="Garamond" w:hAnsi="Garamond"/>
          <w:sz w:val="22"/>
          <w:szCs w:val="22"/>
        </w:rPr>
        <w:t xml:space="preserve">zvláštní vydání v českém jazyce: Kapitola 06 Svazek 003 </w:t>
      </w:r>
      <w:r>
        <w:rPr>
          <w:rFonts w:ascii="Garamond" w:hAnsi="Garamond"/>
          <w:sz w:val="22"/>
          <w:szCs w:val="22"/>
        </w:rPr>
        <w:t>s</w:t>
      </w:r>
      <w:r w:rsidRPr="00184926">
        <w:rPr>
          <w:rFonts w:ascii="Garamond" w:hAnsi="Garamond"/>
          <w:sz w:val="22"/>
          <w:szCs w:val="22"/>
        </w:rPr>
        <w:t>. 71</w:t>
      </w:r>
      <w:r>
        <w:rPr>
          <w:rFonts w:ascii="Garamond" w:hAnsi="Garamond"/>
          <w:sz w:val="22"/>
          <w:szCs w:val="22"/>
        </w:rPr>
        <w:t>-</w:t>
      </w:r>
      <w:r w:rsidRPr="00184926">
        <w:rPr>
          <w:rFonts w:ascii="Garamond" w:hAnsi="Garamond"/>
          <w:sz w:val="22"/>
          <w:szCs w:val="22"/>
        </w:rPr>
        <w:t>82</w:t>
      </w:r>
      <w:r>
        <w:rPr>
          <w:rFonts w:ascii="Garamond" w:hAnsi="Garamond"/>
          <w:sz w:val="22"/>
          <w:szCs w:val="22"/>
        </w:rPr>
        <w:t>. Platné znění směrnice dostupné v systému EurLex.</w:t>
      </w:r>
    </w:p>
  </w:footnote>
  <w:footnote w:id="3">
    <w:p w14:paraId="2FD22996" w14:textId="79887A13" w:rsidR="002C05E3" w:rsidRPr="00066785" w:rsidRDefault="002C05E3" w:rsidP="00066785">
      <w:pPr>
        <w:pStyle w:val="Textpoznpodarou"/>
        <w:jc w:val="both"/>
        <w:rPr>
          <w:rFonts w:ascii="Garamond" w:hAnsi="Garamond"/>
        </w:rPr>
      </w:pPr>
      <w:r w:rsidRPr="00066785">
        <w:rPr>
          <w:rStyle w:val="Znakapoznpodarou"/>
          <w:rFonts w:ascii="Garamond" w:hAnsi="Garamond"/>
        </w:rPr>
        <w:sym w:font="Symbol" w:char="F02A"/>
      </w:r>
      <w:r w:rsidRPr="00066785">
        <w:rPr>
          <w:rStyle w:val="Znakapoznpodarou"/>
          <w:rFonts w:ascii="Garamond" w:hAnsi="Garamond"/>
        </w:rPr>
        <w:sym w:font="Symbol" w:char="F02A"/>
      </w:r>
      <w:r w:rsidRPr="00066785">
        <w:rPr>
          <w:rFonts w:ascii="Garamond" w:hAnsi="Garamond"/>
        </w:rPr>
        <w:t xml:space="preserve">  Úř. věst. L 112, 2.</w:t>
      </w:r>
      <w:r>
        <w:rPr>
          <w:rFonts w:ascii="Garamond" w:hAnsi="Garamond"/>
        </w:rPr>
        <w:t xml:space="preserve"> </w:t>
      </w:r>
      <w:r w:rsidRPr="00066785">
        <w:rPr>
          <w:rFonts w:ascii="Garamond" w:hAnsi="Garamond"/>
        </w:rPr>
        <w:t>5.</w:t>
      </w:r>
      <w:r>
        <w:rPr>
          <w:rFonts w:ascii="Garamond" w:hAnsi="Garamond"/>
        </w:rPr>
        <w:t xml:space="preserve"> </w:t>
      </w:r>
      <w:r w:rsidRPr="00066785">
        <w:rPr>
          <w:rFonts w:ascii="Garamond" w:hAnsi="Garamond"/>
        </w:rPr>
        <w:t>2018, s. 19-28</w:t>
      </w:r>
    </w:p>
  </w:footnote>
  <w:footnote w:id="4">
    <w:p w14:paraId="341598AE" w14:textId="4FC179DA" w:rsidR="002C05E3" w:rsidRDefault="002C05E3" w:rsidP="00F30D26">
      <w:pPr>
        <w:pStyle w:val="Textpoznpodarou"/>
        <w:jc w:val="both"/>
      </w:pPr>
      <w:r w:rsidRPr="00F30D26">
        <w:rPr>
          <w:rStyle w:val="Znakapoznpodarou"/>
        </w:rPr>
        <w:sym w:font="Symbol" w:char="F02A"/>
      </w:r>
      <w:r w:rsidRPr="00F30D26">
        <w:rPr>
          <w:rStyle w:val="Znakapoznpodarou"/>
        </w:rPr>
        <w:sym w:font="Symbol" w:char="F02A"/>
      </w:r>
      <w:r w:rsidRPr="00F30D26">
        <w:rPr>
          <w:rStyle w:val="Znakapoznpodarou"/>
        </w:rPr>
        <w:sym w:font="Symbol" w:char="F02A"/>
      </w:r>
      <w:r>
        <w:t xml:space="preserve"> </w:t>
      </w:r>
      <w:r w:rsidRPr="00F30D26">
        <w:rPr>
          <w:rFonts w:ascii="Garamond" w:hAnsi="Garamond"/>
        </w:rPr>
        <w:t xml:space="preserve">Směrnice Evropského parlamentu a Rady 2008/6/ES ze dne 20. února 2008, kterou se mění směrnice 97/67/ES s ohledem na úplné dotvoření vnitřního trhu poštovních služeb Společenství, </w:t>
      </w:r>
      <w:r w:rsidRPr="00F30D26">
        <w:rPr>
          <w:rStyle w:val="Zdraznn"/>
          <w:rFonts w:ascii="Garamond" w:hAnsi="Garamond"/>
          <w:i w:val="0"/>
          <w:iCs w:val="0"/>
        </w:rPr>
        <w:t>Úř. věst. L 52, 27.2.2008, s. 3</w:t>
      </w:r>
      <w:r>
        <w:rPr>
          <w:rStyle w:val="Zdraznn"/>
          <w:rFonts w:ascii="Garamond" w:hAnsi="Garamond"/>
          <w:i w:val="0"/>
          <w:iCs w:val="0"/>
        </w:rPr>
        <w:t>-</w:t>
      </w:r>
      <w:r w:rsidRPr="00F30D26">
        <w:rPr>
          <w:rStyle w:val="Zdraznn"/>
          <w:rFonts w:ascii="Garamond" w:hAnsi="Garamond"/>
          <w:i w:val="0"/>
          <w:iCs w:val="0"/>
        </w:rPr>
        <w:t>20</w:t>
      </w:r>
    </w:p>
  </w:footnote>
  <w:footnote w:id="5">
    <w:p w14:paraId="70324510" w14:textId="443F0442" w:rsidR="002C05E3" w:rsidRPr="006558D5" w:rsidRDefault="002C05E3" w:rsidP="006558D5">
      <w:pPr>
        <w:pStyle w:val="Textpoznpodarou"/>
        <w:jc w:val="both"/>
        <w:rPr>
          <w:rFonts w:ascii="Garamond" w:hAnsi="Garamond" w:cstheme="minorHAnsi"/>
        </w:rPr>
      </w:pPr>
      <w:r w:rsidRPr="006558D5">
        <w:rPr>
          <w:rStyle w:val="Znakapoznpodarou"/>
          <w:rFonts w:ascii="Garamond" w:hAnsi="Garamond" w:cstheme="minorHAnsi"/>
        </w:rPr>
        <w:footnoteRef/>
      </w:r>
      <w:r w:rsidRPr="006558D5">
        <w:rPr>
          <w:rFonts w:ascii="Garamond" w:hAnsi="Garamond" w:cstheme="minorHAnsi"/>
        </w:rPr>
        <w:t xml:space="preserve"> </w:t>
      </w:r>
      <w:r w:rsidRPr="006558D5">
        <w:rPr>
          <w:rFonts w:ascii="Garamond" w:hAnsi="Garamond" w:cstheme="minorHAnsi"/>
          <w:i/>
        </w:rPr>
        <w:t>Decreto legislativo n. 261 – Attuazione della direttiva 97/67/CE concernente regole comuni per lo sviluppo del mercato interno dei servizi postali comunitari e per il miglioramento della qualita’ del servizio</w:t>
      </w:r>
      <w:r w:rsidRPr="006558D5">
        <w:rPr>
          <w:rFonts w:ascii="Garamond" w:hAnsi="Garamond" w:cstheme="minorHAnsi"/>
        </w:rPr>
        <w:t xml:space="preserve"> (legislativní nařízení č. 261 o provedení směrnice 97/67/ES o společných pravidlech pro rozvoj vnitřního trhu poštovních služeb ve Společenství a o zlepšení kvality služeb) ze dne 22. 7. 1999 (GURI, č. 182, ze dne 5. 8. 1999), ve znění pozdějších novelizací.</w:t>
      </w:r>
    </w:p>
  </w:footnote>
  <w:footnote w:id="6">
    <w:p w14:paraId="1CA31C27" w14:textId="1B214AB0" w:rsidR="002C05E3" w:rsidRPr="009D44D5" w:rsidRDefault="002C05E3" w:rsidP="003A67C7">
      <w:pPr>
        <w:pStyle w:val="Textpoznpodarou"/>
        <w:jc w:val="left"/>
        <w:rPr>
          <w:rFonts w:ascii="Garamond" w:hAnsi="Garamond"/>
        </w:rPr>
      </w:pPr>
      <w:r w:rsidRPr="009D44D5">
        <w:rPr>
          <w:rStyle w:val="Znakapoznpodarou"/>
          <w:rFonts w:ascii="Garamond" w:hAnsi="Garamond"/>
        </w:rPr>
        <w:footnoteRef/>
      </w:r>
      <w:r w:rsidRPr="009D44D5">
        <w:rPr>
          <w:rFonts w:ascii="Garamond" w:hAnsi="Garamond"/>
        </w:rPr>
        <w:t xml:space="preserve"> </w:t>
      </w:r>
      <w:r w:rsidRPr="009D44D5">
        <w:rPr>
          <w:rFonts w:ascii="Garamond" w:hAnsi="Garamond"/>
          <w:i/>
        </w:rPr>
        <w:t>Postgesetz vom 22. Dezember 1997</w:t>
      </w:r>
      <w:r w:rsidRPr="009D44D5">
        <w:rPr>
          <w:rFonts w:ascii="Garamond" w:hAnsi="Garamond"/>
        </w:rPr>
        <w:t xml:space="preserve"> (BGBl. I S. 3294), das zuletzt durch Artikel 1 des Gesetzes vom 9. März 2021 (BGBl. I s. 324) geändert worden ist </w:t>
      </w:r>
      <w:r w:rsidR="003A67C7">
        <w:rPr>
          <w:rFonts w:ascii="Garamond" w:hAnsi="Garamond"/>
        </w:rPr>
        <w:t xml:space="preserve">                                                                                                                      </w:t>
      </w:r>
      <w:r w:rsidRPr="009D44D5">
        <w:rPr>
          <w:rFonts w:ascii="Garamond" w:hAnsi="Garamond"/>
        </w:rPr>
        <w:t>(dostupné na https://www.gesetze-im-internet.de/postg_1998/BJNR329400997.html)</w:t>
      </w:r>
    </w:p>
  </w:footnote>
  <w:footnote w:id="7">
    <w:p w14:paraId="10E74532" w14:textId="29C6BF10" w:rsidR="002C05E3" w:rsidRDefault="002C05E3" w:rsidP="00EA2A24">
      <w:pPr>
        <w:pStyle w:val="Textpoznpodarou"/>
        <w:jc w:val="both"/>
      </w:pPr>
      <w:r w:rsidRPr="00EA2A24">
        <w:rPr>
          <w:rStyle w:val="Znakapoznpodarou"/>
        </w:rPr>
        <w:sym w:font="Symbol" w:char="F022"/>
      </w:r>
      <w:r>
        <w:t xml:space="preserve">  </w:t>
      </w:r>
      <w:r w:rsidRPr="004E65B3">
        <w:rPr>
          <w:rFonts w:ascii="Garamond" w:hAnsi="Garamond"/>
          <w:i/>
          <w:iCs/>
        </w:rPr>
        <w:t>Bundesgesetz über die Regulierung des Postmarktes (Postmarktgesetz-PMG)</w:t>
      </w:r>
      <w:r w:rsidRPr="004E65B3">
        <w:rPr>
          <w:rFonts w:ascii="Garamond" w:hAnsi="Garamond"/>
        </w:rPr>
        <w:t>; BGBl. I Nr. 123/2009</w:t>
      </w:r>
      <w:r w:rsidR="003A67C7">
        <w:rPr>
          <w:rFonts w:ascii="Garamond" w:hAnsi="Garamond"/>
        </w:rPr>
        <w:t xml:space="preserve"> (dostupné na </w:t>
      </w:r>
      <w:r w:rsidRPr="004E65B3">
        <w:rPr>
          <w:rFonts w:ascii="Garamond" w:hAnsi="Garamond"/>
        </w:rPr>
        <w:t>https://www.ris.bka.gv.at/GeltendeFassung.wxe?Abfrage=Bundesnormen&amp;Gesetzesnummer=20006582</w:t>
      </w:r>
      <w:r>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84520" w14:textId="341161BF" w:rsidR="002C05E3" w:rsidRPr="001F746C" w:rsidRDefault="001F746C" w:rsidP="001F746C">
    <w:pPr>
      <w:pStyle w:val="Zhlav"/>
      <w:jc w:val="right"/>
      <w:rPr>
        <w:rFonts w:ascii="Garamond" w:hAnsi="Garamond"/>
      </w:rPr>
    </w:pPr>
    <w:r w:rsidRPr="001F746C">
      <w:rPr>
        <w:rFonts w:ascii="Garamond" w:hAnsi="Garamond"/>
      </w:rPr>
      <w:t xml:space="preserve">8 As 70/2018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66A0A" w14:textId="623CD21C" w:rsidR="00D200E8" w:rsidRPr="001F746C" w:rsidRDefault="001F746C" w:rsidP="001F746C">
    <w:pPr>
      <w:pStyle w:val="Zhlav"/>
      <w:rPr>
        <w:rFonts w:ascii="Garamond" w:hAnsi="Garamond"/>
      </w:rPr>
    </w:pPr>
    <w:r w:rsidRPr="001F746C">
      <w:rPr>
        <w:rFonts w:ascii="Garamond" w:hAnsi="Garamond"/>
      </w:rPr>
      <w:t>pokračování</w:t>
    </w:r>
    <w:r w:rsidRPr="001F746C">
      <w:rPr>
        <w:rFonts w:ascii="Garamond" w:hAnsi="Garamond"/>
      </w:rPr>
      <w:tab/>
    </w:r>
    <w:r w:rsidRPr="001F746C">
      <w:rPr>
        <w:rFonts w:ascii="Garamond" w:hAnsi="Garamond"/>
      </w:rPr>
      <w:tab/>
      <w:t xml:space="preserve">8 As 70/2018 - </w:t>
    </w:r>
    <w:r w:rsidRPr="001F746C">
      <w:rPr>
        <w:rFonts w:ascii="Garamond" w:hAnsi="Garamond"/>
      </w:rPr>
      <w:fldChar w:fldCharType="begin"/>
    </w:r>
    <w:r w:rsidRPr="001F746C">
      <w:rPr>
        <w:rFonts w:ascii="Garamond" w:hAnsi="Garamond"/>
      </w:rPr>
      <w:instrText xml:space="preserve"> = 100   + INT ((</w:instrText>
    </w:r>
    <w:r w:rsidRPr="001F746C">
      <w:rPr>
        <w:rFonts w:ascii="Garamond" w:hAnsi="Garamond"/>
      </w:rPr>
      <w:fldChar w:fldCharType="begin"/>
    </w:r>
    <w:r w:rsidRPr="001F746C">
      <w:rPr>
        <w:rFonts w:ascii="Garamond" w:hAnsi="Garamond"/>
      </w:rPr>
      <w:instrText xml:space="preserve"> PAGE</w:instrText>
    </w:r>
    <w:r w:rsidRPr="001F746C">
      <w:rPr>
        <w:rFonts w:ascii="Garamond" w:hAnsi="Garamond"/>
      </w:rPr>
      <w:fldChar w:fldCharType="separate"/>
    </w:r>
    <w:r w:rsidR="00BB3A53">
      <w:rPr>
        <w:rFonts w:ascii="Garamond" w:hAnsi="Garamond"/>
        <w:noProof/>
      </w:rPr>
      <w:instrText>15</w:instrText>
    </w:r>
    <w:r w:rsidRPr="001F746C">
      <w:rPr>
        <w:rFonts w:ascii="Garamond" w:hAnsi="Garamond"/>
        <w:noProof/>
      </w:rPr>
      <w:fldChar w:fldCharType="end"/>
    </w:r>
    <w:r w:rsidRPr="001F746C">
      <w:rPr>
        <w:rFonts w:ascii="Garamond" w:hAnsi="Garamond"/>
      </w:rPr>
      <w:instrText xml:space="preserve">+1)/2)-1 </w:instrText>
    </w:r>
    <w:r w:rsidRPr="001F746C">
      <w:rPr>
        <w:rFonts w:ascii="Garamond" w:hAnsi="Garamond"/>
      </w:rPr>
      <w:fldChar w:fldCharType="separate"/>
    </w:r>
    <w:r w:rsidR="00BB3A53">
      <w:rPr>
        <w:rFonts w:ascii="Garamond" w:hAnsi="Garamond"/>
        <w:noProof/>
      </w:rPr>
      <w:t>107</w:t>
    </w:r>
    <w:r w:rsidRPr="001F746C">
      <w:rPr>
        <w:rFonts w:ascii="Garamond" w:hAnsi="Garamond"/>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9792" w14:textId="77944165" w:rsidR="002C05E3" w:rsidRPr="001F746C" w:rsidRDefault="001F746C" w:rsidP="001F746C">
    <w:pPr>
      <w:pStyle w:val="Zhlav"/>
      <w:jc w:val="right"/>
      <w:rPr>
        <w:rFonts w:ascii="Garamond" w:hAnsi="Garamond"/>
      </w:rPr>
    </w:pPr>
    <w:r w:rsidRPr="001F746C">
      <w:rPr>
        <w:rFonts w:ascii="Garamond" w:hAnsi="Garamond"/>
      </w:rPr>
      <w:t xml:space="preserve">8 As 70/2018 - </w:t>
    </w:r>
    <w:r w:rsidRPr="001F746C">
      <w:rPr>
        <w:rFonts w:ascii="Garamond" w:hAnsi="Garamond"/>
      </w:rPr>
      <w:fldChar w:fldCharType="begin"/>
    </w:r>
    <w:r w:rsidRPr="001F746C">
      <w:rPr>
        <w:rFonts w:ascii="Garamond" w:hAnsi="Garamond"/>
      </w:rPr>
      <w:instrText xml:space="preserve"> = 100   + INT ((</w:instrText>
    </w:r>
    <w:r w:rsidRPr="001F746C">
      <w:rPr>
        <w:rFonts w:ascii="Garamond" w:hAnsi="Garamond"/>
      </w:rPr>
      <w:fldChar w:fldCharType="begin"/>
    </w:r>
    <w:r w:rsidRPr="001F746C">
      <w:rPr>
        <w:rFonts w:ascii="Garamond" w:hAnsi="Garamond"/>
      </w:rPr>
      <w:instrText xml:space="preserve"> PAGE</w:instrText>
    </w:r>
    <w:r w:rsidRPr="001F746C">
      <w:rPr>
        <w:rFonts w:ascii="Garamond" w:hAnsi="Garamond"/>
      </w:rPr>
      <w:fldChar w:fldCharType="separate"/>
    </w:r>
    <w:r w:rsidR="00BB3A53">
      <w:rPr>
        <w:rFonts w:ascii="Garamond" w:hAnsi="Garamond"/>
        <w:noProof/>
      </w:rPr>
      <w:instrText>1</w:instrText>
    </w:r>
    <w:r w:rsidRPr="001F746C">
      <w:rPr>
        <w:rFonts w:ascii="Garamond" w:hAnsi="Garamond"/>
        <w:noProof/>
      </w:rPr>
      <w:fldChar w:fldCharType="end"/>
    </w:r>
    <w:r w:rsidRPr="001F746C">
      <w:rPr>
        <w:rFonts w:ascii="Garamond" w:hAnsi="Garamond"/>
      </w:rPr>
      <w:instrText xml:space="preserve">+1)/2)-1 </w:instrText>
    </w:r>
    <w:r w:rsidRPr="001F746C">
      <w:rPr>
        <w:rFonts w:ascii="Garamond" w:hAnsi="Garamond"/>
      </w:rPr>
      <w:fldChar w:fldCharType="separate"/>
    </w:r>
    <w:r w:rsidR="00BB3A53">
      <w:rPr>
        <w:rFonts w:ascii="Garamond" w:hAnsi="Garamond"/>
        <w:noProof/>
      </w:rPr>
      <w:t>100</w:t>
    </w:r>
    <w:r w:rsidRPr="001F746C">
      <w:rPr>
        <w:rFonts w:ascii="Garamond" w:hAnsi="Garamond"/>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Zkladnodstavec"/>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0E16B00"/>
    <w:multiLevelType w:val="hybridMultilevel"/>
    <w:tmpl w:val="A36286AE"/>
    <w:lvl w:ilvl="0" w:tplc="0405000F">
      <w:start w:val="1"/>
      <w:numFmt w:val="decimal"/>
      <w:lvlText w:val="%1."/>
      <w:lvlJc w:val="left"/>
      <w:pPr>
        <w:ind w:left="720" w:hanging="360"/>
      </w:pPr>
    </w:lvl>
    <w:lvl w:ilvl="1" w:tplc="36D623C8">
      <w:start w:val="1"/>
      <w:numFmt w:val="decimal"/>
      <w:pStyle w:val="Zkladnsslovnm"/>
      <w:lvlText w:val="[%2]"/>
      <w:lvlJc w:val="left"/>
      <w:pPr>
        <w:ind w:left="1440" w:hanging="360"/>
      </w:pPr>
      <w:rPr>
        <w:rFonts w:hint="default"/>
        <w:b w:val="0"/>
        <w:i w:val="0"/>
      </w:rPr>
    </w:lvl>
    <w:lvl w:ilvl="2" w:tplc="CF96542C">
      <w:start w:val="5"/>
      <w:numFmt w:val="bullet"/>
      <w:lvlText w:val=""/>
      <w:lvlJc w:val="left"/>
      <w:pPr>
        <w:ind w:left="2985" w:hanging="1005"/>
      </w:pPr>
      <w:rPr>
        <w:rFonts w:ascii="Symbol" w:eastAsia="Times New Roman" w:hAnsi="Symbol" w:cs="Times New Roman"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2BB75EE"/>
    <w:multiLevelType w:val="hybridMultilevel"/>
    <w:tmpl w:val="D28A97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5053C3B"/>
    <w:multiLevelType w:val="hybridMultilevel"/>
    <w:tmpl w:val="A5B20D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C055678"/>
    <w:multiLevelType w:val="hybridMultilevel"/>
    <w:tmpl w:val="87543B9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55336E"/>
    <w:multiLevelType w:val="hybridMultilevel"/>
    <w:tmpl w:val="31CE18B4"/>
    <w:lvl w:ilvl="0" w:tplc="2A80DDD0">
      <w:start w:val="1"/>
      <w:numFmt w:val="decimal"/>
      <w:lvlText w:val="[%1]"/>
      <w:lvlJc w:val="left"/>
      <w:pPr>
        <w:ind w:left="720" w:hanging="360"/>
      </w:pPr>
      <w:rPr>
        <w:rFonts w:hint="default"/>
        <w:b w:val="0"/>
        <w:i w:val="0"/>
        <w:sz w:val="24"/>
        <w:szCs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D8311D7"/>
    <w:multiLevelType w:val="hybridMultilevel"/>
    <w:tmpl w:val="2C40F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46587"/>
    <w:multiLevelType w:val="hybridMultilevel"/>
    <w:tmpl w:val="2E140C9C"/>
    <w:lvl w:ilvl="0" w:tplc="0FEE630E">
      <w:start w:val="1"/>
      <w:numFmt w:val="upperRoman"/>
      <w:lvlText w:val="%1."/>
      <w:lvlJc w:val="left"/>
      <w:pPr>
        <w:tabs>
          <w:tab w:val="num" w:pos="720"/>
        </w:tabs>
        <w:ind w:left="720" w:hanging="72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17BC3B34"/>
    <w:multiLevelType w:val="hybridMultilevel"/>
    <w:tmpl w:val="26F4D246"/>
    <w:lvl w:ilvl="0" w:tplc="6F4C4236">
      <w:start w:val="1"/>
      <w:numFmt w:val="decimal"/>
      <w:pStyle w:val="odst"/>
      <w:lvlText w:val="[%1]"/>
      <w:lvlJc w:val="left"/>
      <w:pPr>
        <w:ind w:left="502" w:hanging="360"/>
      </w:pPr>
      <w:rPr>
        <w:rFonts w:hint="default"/>
        <w:b w:val="0"/>
        <w:i w:val="0"/>
        <w:color w:val="auto"/>
        <w:sz w:val="24"/>
        <w:szCs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D0F02DB"/>
    <w:multiLevelType w:val="hybridMultilevel"/>
    <w:tmpl w:val="1AB4EEE8"/>
    <w:lvl w:ilvl="0" w:tplc="973C6088">
      <w:start w:val="1"/>
      <w:numFmt w:val="decimal"/>
      <w:lvlText w:val="[%1]"/>
      <w:lvlJc w:val="left"/>
      <w:pPr>
        <w:tabs>
          <w:tab w:val="num" w:pos="1080"/>
        </w:tabs>
        <w:ind w:left="1080" w:hanging="360"/>
      </w:pPr>
      <w:rPr>
        <w:rFonts w:hint="default"/>
        <w:b w:val="0"/>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1544C4B"/>
    <w:multiLevelType w:val="hybridMultilevel"/>
    <w:tmpl w:val="3626DF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4C560C1"/>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D892220"/>
    <w:multiLevelType w:val="hybridMultilevel"/>
    <w:tmpl w:val="E080380C"/>
    <w:lvl w:ilvl="0" w:tplc="8166C228">
      <w:start w:val="1"/>
      <w:numFmt w:val="decimal"/>
      <w:pStyle w:val="Styl1"/>
      <w:lvlText w:val="[%1]"/>
      <w:lvlJc w:val="left"/>
      <w:pPr>
        <w:ind w:left="1920" w:hanging="360"/>
      </w:pPr>
      <w:rPr>
        <w:rFonts w:hint="default"/>
        <w:b w:val="0"/>
        <w:i w:val="0"/>
        <w:sz w:val="24"/>
        <w:szCs w:val="24"/>
      </w:rPr>
    </w:lvl>
    <w:lvl w:ilvl="1" w:tplc="04050019">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4" w15:restartNumberingAfterBreak="0">
    <w:nsid w:val="54143798"/>
    <w:multiLevelType w:val="hybridMultilevel"/>
    <w:tmpl w:val="B1AA59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0C95095"/>
    <w:multiLevelType w:val="hybridMultilevel"/>
    <w:tmpl w:val="2F543440"/>
    <w:lvl w:ilvl="0" w:tplc="824888B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3"/>
  </w:num>
  <w:num w:numId="4">
    <w:abstractNumId w:val="2"/>
  </w:num>
  <w:num w:numId="5">
    <w:abstractNumId w:val="12"/>
  </w:num>
  <w:num w:numId="6">
    <w:abstractNumId w:val="5"/>
  </w:num>
  <w:num w:numId="7">
    <w:abstractNumId w:val="4"/>
  </w:num>
  <w:num w:numId="8">
    <w:abstractNumId w:val="3"/>
  </w:num>
  <w:num w:numId="9">
    <w:abstractNumId w:val="15"/>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7"/>
  </w:num>
  <w:num w:numId="13">
    <w:abstractNumId w:val="11"/>
  </w:num>
  <w:num w:numId="14">
    <w:abstractNumId w:val="10"/>
  </w:num>
  <w:num w:numId="15">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evenAndOddHeaders/>
  <w:drawingGridHorizontalSpacing w:val="120"/>
  <w:displayHorizontalDrawingGridEvery w:val="2"/>
  <w:characterSpacingControl w:val="doNotCompress"/>
  <w:hdrShapeDefaults>
    <o:shapedefaults v:ext="edit" spidmax="14337"/>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4AF"/>
    <w:rsid w:val="0000030E"/>
    <w:rsid w:val="00000917"/>
    <w:rsid w:val="00000BFE"/>
    <w:rsid w:val="00000E06"/>
    <w:rsid w:val="00004118"/>
    <w:rsid w:val="00004E14"/>
    <w:rsid w:val="00004F3D"/>
    <w:rsid w:val="00005BED"/>
    <w:rsid w:val="00007741"/>
    <w:rsid w:val="00010560"/>
    <w:rsid w:val="00010A27"/>
    <w:rsid w:val="000111CA"/>
    <w:rsid w:val="000112F4"/>
    <w:rsid w:val="00011FAE"/>
    <w:rsid w:val="00013158"/>
    <w:rsid w:val="000135F3"/>
    <w:rsid w:val="00013F9E"/>
    <w:rsid w:val="0001514B"/>
    <w:rsid w:val="0001761E"/>
    <w:rsid w:val="0002676F"/>
    <w:rsid w:val="000269F0"/>
    <w:rsid w:val="00030C71"/>
    <w:rsid w:val="0003173F"/>
    <w:rsid w:val="0003413A"/>
    <w:rsid w:val="00034225"/>
    <w:rsid w:val="00034A9D"/>
    <w:rsid w:val="00036CB1"/>
    <w:rsid w:val="0004098D"/>
    <w:rsid w:val="00040BD9"/>
    <w:rsid w:val="00042103"/>
    <w:rsid w:val="0004244E"/>
    <w:rsid w:val="00042C06"/>
    <w:rsid w:val="00042D20"/>
    <w:rsid w:val="00043337"/>
    <w:rsid w:val="00044F81"/>
    <w:rsid w:val="00045B26"/>
    <w:rsid w:val="00051917"/>
    <w:rsid w:val="00052CF3"/>
    <w:rsid w:val="0005359D"/>
    <w:rsid w:val="00055ED4"/>
    <w:rsid w:val="00057E09"/>
    <w:rsid w:val="00060B5B"/>
    <w:rsid w:val="000623E1"/>
    <w:rsid w:val="00066785"/>
    <w:rsid w:val="00066A68"/>
    <w:rsid w:val="00067698"/>
    <w:rsid w:val="00070373"/>
    <w:rsid w:val="00070948"/>
    <w:rsid w:val="00074F9B"/>
    <w:rsid w:val="00076095"/>
    <w:rsid w:val="0007609D"/>
    <w:rsid w:val="00077493"/>
    <w:rsid w:val="00077B59"/>
    <w:rsid w:val="00077E88"/>
    <w:rsid w:val="0008170A"/>
    <w:rsid w:val="000848D1"/>
    <w:rsid w:val="00084E46"/>
    <w:rsid w:val="0008561E"/>
    <w:rsid w:val="000860AE"/>
    <w:rsid w:val="00086248"/>
    <w:rsid w:val="00086A97"/>
    <w:rsid w:val="000877E6"/>
    <w:rsid w:val="00087DF4"/>
    <w:rsid w:val="00090E7B"/>
    <w:rsid w:val="000917F6"/>
    <w:rsid w:val="00091C98"/>
    <w:rsid w:val="00093689"/>
    <w:rsid w:val="00094A58"/>
    <w:rsid w:val="00094FE9"/>
    <w:rsid w:val="000963C4"/>
    <w:rsid w:val="00096953"/>
    <w:rsid w:val="00096AFB"/>
    <w:rsid w:val="00097B72"/>
    <w:rsid w:val="00097E2F"/>
    <w:rsid w:val="000A019D"/>
    <w:rsid w:val="000A0E2C"/>
    <w:rsid w:val="000A2AB2"/>
    <w:rsid w:val="000A3018"/>
    <w:rsid w:val="000A44ED"/>
    <w:rsid w:val="000A4BD2"/>
    <w:rsid w:val="000A5318"/>
    <w:rsid w:val="000A5769"/>
    <w:rsid w:val="000A7D8E"/>
    <w:rsid w:val="000B2C40"/>
    <w:rsid w:val="000B4682"/>
    <w:rsid w:val="000B53BA"/>
    <w:rsid w:val="000B564D"/>
    <w:rsid w:val="000B57DE"/>
    <w:rsid w:val="000B6132"/>
    <w:rsid w:val="000B7D44"/>
    <w:rsid w:val="000C0BDA"/>
    <w:rsid w:val="000C0C4E"/>
    <w:rsid w:val="000C2350"/>
    <w:rsid w:val="000C30DB"/>
    <w:rsid w:val="000C35AB"/>
    <w:rsid w:val="000C4D3B"/>
    <w:rsid w:val="000C71FF"/>
    <w:rsid w:val="000C7DF5"/>
    <w:rsid w:val="000D0073"/>
    <w:rsid w:val="000D08B5"/>
    <w:rsid w:val="000D0A9E"/>
    <w:rsid w:val="000D1E85"/>
    <w:rsid w:val="000D22E7"/>
    <w:rsid w:val="000D3211"/>
    <w:rsid w:val="000D4F1E"/>
    <w:rsid w:val="000D53D7"/>
    <w:rsid w:val="000D53EC"/>
    <w:rsid w:val="000D57D9"/>
    <w:rsid w:val="000D60DA"/>
    <w:rsid w:val="000D6E54"/>
    <w:rsid w:val="000E146F"/>
    <w:rsid w:val="000E16B3"/>
    <w:rsid w:val="000E2705"/>
    <w:rsid w:val="000E40DA"/>
    <w:rsid w:val="000E5758"/>
    <w:rsid w:val="000E7593"/>
    <w:rsid w:val="000E7F2E"/>
    <w:rsid w:val="000F328E"/>
    <w:rsid w:val="000F3640"/>
    <w:rsid w:val="000F405A"/>
    <w:rsid w:val="000F4745"/>
    <w:rsid w:val="000F54B3"/>
    <w:rsid w:val="000F57B5"/>
    <w:rsid w:val="001005F4"/>
    <w:rsid w:val="00101434"/>
    <w:rsid w:val="00103ECE"/>
    <w:rsid w:val="00106089"/>
    <w:rsid w:val="00106C91"/>
    <w:rsid w:val="00107833"/>
    <w:rsid w:val="001078AE"/>
    <w:rsid w:val="00110961"/>
    <w:rsid w:val="00113AAE"/>
    <w:rsid w:val="00117B3F"/>
    <w:rsid w:val="00120B34"/>
    <w:rsid w:val="001223D5"/>
    <w:rsid w:val="001226C1"/>
    <w:rsid w:val="00125D47"/>
    <w:rsid w:val="00130407"/>
    <w:rsid w:val="00132473"/>
    <w:rsid w:val="00132BB9"/>
    <w:rsid w:val="00132D29"/>
    <w:rsid w:val="00133B60"/>
    <w:rsid w:val="001344AC"/>
    <w:rsid w:val="0013509B"/>
    <w:rsid w:val="00135B1B"/>
    <w:rsid w:val="001427E9"/>
    <w:rsid w:val="00142F02"/>
    <w:rsid w:val="0014640F"/>
    <w:rsid w:val="0014730E"/>
    <w:rsid w:val="001478FE"/>
    <w:rsid w:val="001500D3"/>
    <w:rsid w:val="00150777"/>
    <w:rsid w:val="00151FF7"/>
    <w:rsid w:val="001524E5"/>
    <w:rsid w:val="0015287C"/>
    <w:rsid w:val="00153868"/>
    <w:rsid w:val="00155D7E"/>
    <w:rsid w:val="00157E7E"/>
    <w:rsid w:val="00161F44"/>
    <w:rsid w:val="001638B8"/>
    <w:rsid w:val="00163BBD"/>
    <w:rsid w:val="001642FD"/>
    <w:rsid w:val="0016502E"/>
    <w:rsid w:val="00165989"/>
    <w:rsid w:val="00165BAA"/>
    <w:rsid w:val="00166604"/>
    <w:rsid w:val="0016763B"/>
    <w:rsid w:val="00170D06"/>
    <w:rsid w:val="00171873"/>
    <w:rsid w:val="0017189D"/>
    <w:rsid w:val="00172961"/>
    <w:rsid w:val="001736F8"/>
    <w:rsid w:val="00173DC4"/>
    <w:rsid w:val="001747D6"/>
    <w:rsid w:val="001768A9"/>
    <w:rsid w:val="001772A6"/>
    <w:rsid w:val="00177BA6"/>
    <w:rsid w:val="00180262"/>
    <w:rsid w:val="001803FC"/>
    <w:rsid w:val="00180746"/>
    <w:rsid w:val="00183140"/>
    <w:rsid w:val="00183CAA"/>
    <w:rsid w:val="00184546"/>
    <w:rsid w:val="00184926"/>
    <w:rsid w:val="00185CE2"/>
    <w:rsid w:val="001900FE"/>
    <w:rsid w:val="00190DDF"/>
    <w:rsid w:val="00190DF1"/>
    <w:rsid w:val="00191B21"/>
    <w:rsid w:val="00192B83"/>
    <w:rsid w:val="001A04EB"/>
    <w:rsid w:val="001A1FE3"/>
    <w:rsid w:val="001A4318"/>
    <w:rsid w:val="001A505B"/>
    <w:rsid w:val="001A510D"/>
    <w:rsid w:val="001A64C8"/>
    <w:rsid w:val="001A6579"/>
    <w:rsid w:val="001A662D"/>
    <w:rsid w:val="001A7730"/>
    <w:rsid w:val="001B016C"/>
    <w:rsid w:val="001B09BA"/>
    <w:rsid w:val="001B428D"/>
    <w:rsid w:val="001B49BA"/>
    <w:rsid w:val="001B4B67"/>
    <w:rsid w:val="001B4CA2"/>
    <w:rsid w:val="001B54A5"/>
    <w:rsid w:val="001B635D"/>
    <w:rsid w:val="001B7245"/>
    <w:rsid w:val="001B7D73"/>
    <w:rsid w:val="001C026C"/>
    <w:rsid w:val="001C1958"/>
    <w:rsid w:val="001C3446"/>
    <w:rsid w:val="001C3C01"/>
    <w:rsid w:val="001C4E10"/>
    <w:rsid w:val="001C5EA7"/>
    <w:rsid w:val="001C6636"/>
    <w:rsid w:val="001C7C83"/>
    <w:rsid w:val="001C7E3F"/>
    <w:rsid w:val="001D0143"/>
    <w:rsid w:val="001D1275"/>
    <w:rsid w:val="001D274A"/>
    <w:rsid w:val="001D30C6"/>
    <w:rsid w:val="001D39BE"/>
    <w:rsid w:val="001D4B69"/>
    <w:rsid w:val="001D661A"/>
    <w:rsid w:val="001D6FD1"/>
    <w:rsid w:val="001D73C9"/>
    <w:rsid w:val="001E23CD"/>
    <w:rsid w:val="001E3B8B"/>
    <w:rsid w:val="001E5343"/>
    <w:rsid w:val="001E592E"/>
    <w:rsid w:val="001E722A"/>
    <w:rsid w:val="001F1244"/>
    <w:rsid w:val="001F1BAA"/>
    <w:rsid w:val="001F21D9"/>
    <w:rsid w:val="001F6713"/>
    <w:rsid w:val="001F70F9"/>
    <w:rsid w:val="001F746C"/>
    <w:rsid w:val="001F798B"/>
    <w:rsid w:val="00200AD2"/>
    <w:rsid w:val="00202FB7"/>
    <w:rsid w:val="0020401B"/>
    <w:rsid w:val="002153A6"/>
    <w:rsid w:val="00216289"/>
    <w:rsid w:val="00216499"/>
    <w:rsid w:val="00220A62"/>
    <w:rsid w:val="00220C13"/>
    <w:rsid w:val="002211B6"/>
    <w:rsid w:val="002211BD"/>
    <w:rsid w:val="00221C72"/>
    <w:rsid w:val="00223F23"/>
    <w:rsid w:val="00227E2F"/>
    <w:rsid w:val="00230404"/>
    <w:rsid w:val="00230A9F"/>
    <w:rsid w:val="0023141E"/>
    <w:rsid w:val="002316A5"/>
    <w:rsid w:val="00232EC6"/>
    <w:rsid w:val="00233BFF"/>
    <w:rsid w:val="00234161"/>
    <w:rsid w:val="00236B6C"/>
    <w:rsid w:val="0024053B"/>
    <w:rsid w:val="0024152E"/>
    <w:rsid w:val="00242437"/>
    <w:rsid w:val="00242E21"/>
    <w:rsid w:val="002437FB"/>
    <w:rsid w:val="00245854"/>
    <w:rsid w:val="00247664"/>
    <w:rsid w:val="00247A87"/>
    <w:rsid w:val="00250C96"/>
    <w:rsid w:val="0025391A"/>
    <w:rsid w:val="00253EB7"/>
    <w:rsid w:val="00254F5A"/>
    <w:rsid w:val="00257A1A"/>
    <w:rsid w:val="00260D73"/>
    <w:rsid w:val="002612E7"/>
    <w:rsid w:val="0026192F"/>
    <w:rsid w:val="00266628"/>
    <w:rsid w:val="002701CC"/>
    <w:rsid w:val="0027135A"/>
    <w:rsid w:val="0027401D"/>
    <w:rsid w:val="00274697"/>
    <w:rsid w:val="002767BD"/>
    <w:rsid w:val="002771BD"/>
    <w:rsid w:val="002773CA"/>
    <w:rsid w:val="00280123"/>
    <w:rsid w:val="0028080A"/>
    <w:rsid w:val="00280FFF"/>
    <w:rsid w:val="00281659"/>
    <w:rsid w:val="00282158"/>
    <w:rsid w:val="00283B30"/>
    <w:rsid w:val="002850A8"/>
    <w:rsid w:val="00285A26"/>
    <w:rsid w:val="002866A8"/>
    <w:rsid w:val="00290215"/>
    <w:rsid w:val="00291EF4"/>
    <w:rsid w:val="00292409"/>
    <w:rsid w:val="0029250C"/>
    <w:rsid w:val="00292B22"/>
    <w:rsid w:val="002932C7"/>
    <w:rsid w:val="00293857"/>
    <w:rsid w:val="00293EBF"/>
    <w:rsid w:val="0029625C"/>
    <w:rsid w:val="0029640C"/>
    <w:rsid w:val="002A136A"/>
    <w:rsid w:val="002A179D"/>
    <w:rsid w:val="002A5361"/>
    <w:rsid w:val="002A5DDA"/>
    <w:rsid w:val="002B0548"/>
    <w:rsid w:val="002B1629"/>
    <w:rsid w:val="002B18FE"/>
    <w:rsid w:val="002B2089"/>
    <w:rsid w:val="002B299B"/>
    <w:rsid w:val="002B467A"/>
    <w:rsid w:val="002B4C89"/>
    <w:rsid w:val="002C05E3"/>
    <w:rsid w:val="002C0A37"/>
    <w:rsid w:val="002C0C43"/>
    <w:rsid w:val="002C1D0F"/>
    <w:rsid w:val="002C4B47"/>
    <w:rsid w:val="002C558F"/>
    <w:rsid w:val="002C5EFB"/>
    <w:rsid w:val="002C74C4"/>
    <w:rsid w:val="002D04C8"/>
    <w:rsid w:val="002D28FB"/>
    <w:rsid w:val="002D4462"/>
    <w:rsid w:val="002D569E"/>
    <w:rsid w:val="002D56DD"/>
    <w:rsid w:val="002D5DA5"/>
    <w:rsid w:val="002D68B4"/>
    <w:rsid w:val="002D7CBD"/>
    <w:rsid w:val="002E1FCD"/>
    <w:rsid w:val="002E2CC4"/>
    <w:rsid w:val="002E359B"/>
    <w:rsid w:val="002E4354"/>
    <w:rsid w:val="002E558A"/>
    <w:rsid w:val="002E5947"/>
    <w:rsid w:val="002E6079"/>
    <w:rsid w:val="002F3F13"/>
    <w:rsid w:val="002F5361"/>
    <w:rsid w:val="002F7288"/>
    <w:rsid w:val="0030015C"/>
    <w:rsid w:val="00300468"/>
    <w:rsid w:val="00300EDC"/>
    <w:rsid w:val="00301DBD"/>
    <w:rsid w:val="00303190"/>
    <w:rsid w:val="0030396A"/>
    <w:rsid w:val="003053EC"/>
    <w:rsid w:val="00306C79"/>
    <w:rsid w:val="00306E6F"/>
    <w:rsid w:val="003078E5"/>
    <w:rsid w:val="003101B3"/>
    <w:rsid w:val="00310774"/>
    <w:rsid w:val="003117D3"/>
    <w:rsid w:val="003177BE"/>
    <w:rsid w:val="00317AE3"/>
    <w:rsid w:val="003226BB"/>
    <w:rsid w:val="00323715"/>
    <w:rsid w:val="00323AC7"/>
    <w:rsid w:val="003248C4"/>
    <w:rsid w:val="00324D67"/>
    <w:rsid w:val="00324F60"/>
    <w:rsid w:val="003258B5"/>
    <w:rsid w:val="003273FB"/>
    <w:rsid w:val="00330BBA"/>
    <w:rsid w:val="00330CD7"/>
    <w:rsid w:val="00331C4F"/>
    <w:rsid w:val="00332708"/>
    <w:rsid w:val="00334E45"/>
    <w:rsid w:val="0033724A"/>
    <w:rsid w:val="00345D76"/>
    <w:rsid w:val="0034621F"/>
    <w:rsid w:val="00347C5A"/>
    <w:rsid w:val="003503D6"/>
    <w:rsid w:val="003509C0"/>
    <w:rsid w:val="00350B91"/>
    <w:rsid w:val="00352231"/>
    <w:rsid w:val="0035264C"/>
    <w:rsid w:val="0035303C"/>
    <w:rsid w:val="00353851"/>
    <w:rsid w:val="003556E3"/>
    <w:rsid w:val="00356D2C"/>
    <w:rsid w:val="003574B2"/>
    <w:rsid w:val="0036017C"/>
    <w:rsid w:val="003618B7"/>
    <w:rsid w:val="0036227C"/>
    <w:rsid w:val="00362B64"/>
    <w:rsid w:val="0036400F"/>
    <w:rsid w:val="00366BB9"/>
    <w:rsid w:val="003679FE"/>
    <w:rsid w:val="0037060F"/>
    <w:rsid w:val="00370B33"/>
    <w:rsid w:val="0037178D"/>
    <w:rsid w:val="00376979"/>
    <w:rsid w:val="00377628"/>
    <w:rsid w:val="00377703"/>
    <w:rsid w:val="00377CC6"/>
    <w:rsid w:val="00381BAC"/>
    <w:rsid w:val="00383088"/>
    <w:rsid w:val="00383FE3"/>
    <w:rsid w:val="003855CA"/>
    <w:rsid w:val="00385ED9"/>
    <w:rsid w:val="00386191"/>
    <w:rsid w:val="00386435"/>
    <w:rsid w:val="00387437"/>
    <w:rsid w:val="00387568"/>
    <w:rsid w:val="0038789F"/>
    <w:rsid w:val="00390344"/>
    <w:rsid w:val="00392DDB"/>
    <w:rsid w:val="0039415E"/>
    <w:rsid w:val="003949CB"/>
    <w:rsid w:val="003A1AFD"/>
    <w:rsid w:val="003A4970"/>
    <w:rsid w:val="003A67C7"/>
    <w:rsid w:val="003A6AED"/>
    <w:rsid w:val="003A7762"/>
    <w:rsid w:val="003B03E4"/>
    <w:rsid w:val="003B088B"/>
    <w:rsid w:val="003B0ED0"/>
    <w:rsid w:val="003B3D90"/>
    <w:rsid w:val="003C1136"/>
    <w:rsid w:val="003C11E5"/>
    <w:rsid w:val="003C3A53"/>
    <w:rsid w:val="003C3E1B"/>
    <w:rsid w:val="003C625D"/>
    <w:rsid w:val="003C7B9C"/>
    <w:rsid w:val="003D04D3"/>
    <w:rsid w:val="003D10C9"/>
    <w:rsid w:val="003D15CC"/>
    <w:rsid w:val="003D16CF"/>
    <w:rsid w:val="003D2B69"/>
    <w:rsid w:val="003D4A8B"/>
    <w:rsid w:val="003D64A5"/>
    <w:rsid w:val="003D700A"/>
    <w:rsid w:val="003D77EC"/>
    <w:rsid w:val="003E1608"/>
    <w:rsid w:val="003E193E"/>
    <w:rsid w:val="003E222C"/>
    <w:rsid w:val="003E238E"/>
    <w:rsid w:val="003E2E51"/>
    <w:rsid w:val="003E3127"/>
    <w:rsid w:val="003E641E"/>
    <w:rsid w:val="003E6AB5"/>
    <w:rsid w:val="003E7682"/>
    <w:rsid w:val="003F2F7F"/>
    <w:rsid w:val="003F55C0"/>
    <w:rsid w:val="003F5933"/>
    <w:rsid w:val="003F598D"/>
    <w:rsid w:val="003F7482"/>
    <w:rsid w:val="003F767C"/>
    <w:rsid w:val="003F7FA0"/>
    <w:rsid w:val="00401312"/>
    <w:rsid w:val="00402903"/>
    <w:rsid w:val="00402C23"/>
    <w:rsid w:val="00403141"/>
    <w:rsid w:val="004035BA"/>
    <w:rsid w:val="00403E66"/>
    <w:rsid w:val="00404FDE"/>
    <w:rsid w:val="00405E35"/>
    <w:rsid w:val="00407160"/>
    <w:rsid w:val="0041082E"/>
    <w:rsid w:val="0041285E"/>
    <w:rsid w:val="00416D3D"/>
    <w:rsid w:val="00417EE1"/>
    <w:rsid w:val="004213C6"/>
    <w:rsid w:val="004213FB"/>
    <w:rsid w:val="00421606"/>
    <w:rsid w:val="00421D1A"/>
    <w:rsid w:val="00422F84"/>
    <w:rsid w:val="00427480"/>
    <w:rsid w:val="004300AE"/>
    <w:rsid w:val="004314E8"/>
    <w:rsid w:val="004329E6"/>
    <w:rsid w:val="00434687"/>
    <w:rsid w:val="00435443"/>
    <w:rsid w:val="004359C7"/>
    <w:rsid w:val="00437201"/>
    <w:rsid w:val="0044030E"/>
    <w:rsid w:val="00440EDE"/>
    <w:rsid w:val="0044271D"/>
    <w:rsid w:val="004438B2"/>
    <w:rsid w:val="00445101"/>
    <w:rsid w:val="0044600A"/>
    <w:rsid w:val="00446FEB"/>
    <w:rsid w:val="00447F3B"/>
    <w:rsid w:val="00450101"/>
    <w:rsid w:val="00450599"/>
    <w:rsid w:val="00450D29"/>
    <w:rsid w:val="00450F38"/>
    <w:rsid w:val="0045121A"/>
    <w:rsid w:val="00451438"/>
    <w:rsid w:val="00452AF3"/>
    <w:rsid w:val="00455E56"/>
    <w:rsid w:val="00460DBD"/>
    <w:rsid w:val="004617D2"/>
    <w:rsid w:val="00461F2D"/>
    <w:rsid w:val="0046254D"/>
    <w:rsid w:val="004626E6"/>
    <w:rsid w:val="00462809"/>
    <w:rsid w:val="00463A10"/>
    <w:rsid w:val="0046476D"/>
    <w:rsid w:val="00464AD6"/>
    <w:rsid w:val="00466005"/>
    <w:rsid w:val="00466528"/>
    <w:rsid w:val="00467CDC"/>
    <w:rsid w:val="00467CE4"/>
    <w:rsid w:val="00470FDF"/>
    <w:rsid w:val="004719B3"/>
    <w:rsid w:val="00471B62"/>
    <w:rsid w:val="00471D18"/>
    <w:rsid w:val="0047454E"/>
    <w:rsid w:val="00474B38"/>
    <w:rsid w:val="00474CBB"/>
    <w:rsid w:val="0047768F"/>
    <w:rsid w:val="00482E20"/>
    <w:rsid w:val="00483902"/>
    <w:rsid w:val="00486121"/>
    <w:rsid w:val="0048621E"/>
    <w:rsid w:val="0048716F"/>
    <w:rsid w:val="004874E1"/>
    <w:rsid w:val="004900C8"/>
    <w:rsid w:val="004903CE"/>
    <w:rsid w:val="00492112"/>
    <w:rsid w:val="00495C20"/>
    <w:rsid w:val="00497141"/>
    <w:rsid w:val="004A2C6D"/>
    <w:rsid w:val="004A364C"/>
    <w:rsid w:val="004A37E4"/>
    <w:rsid w:val="004A3933"/>
    <w:rsid w:val="004A44BD"/>
    <w:rsid w:val="004A57A0"/>
    <w:rsid w:val="004A64CF"/>
    <w:rsid w:val="004B15DD"/>
    <w:rsid w:val="004B20FD"/>
    <w:rsid w:val="004B2784"/>
    <w:rsid w:val="004B3A04"/>
    <w:rsid w:val="004B5A33"/>
    <w:rsid w:val="004C0AED"/>
    <w:rsid w:val="004C31FF"/>
    <w:rsid w:val="004C5BFF"/>
    <w:rsid w:val="004D1472"/>
    <w:rsid w:val="004D20FA"/>
    <w:rsid w:val="004D23EC"/>
    <w:rsid w:val="004D5883"/>
    <w:rsid w:val="004D6EAC"/>
    <w:rsid w:val="004D76A2"/>
    <w:rsid w:val="004D7E42"/>
    <w:rsid w:val="004D7F3A"/>
    <w:rsid w:val="004E05EE"/>
    <w:rsid w:val="004E16BE"/>
    <w:rsid w:val="004E2E9B"/>
    <w:rsid w:val="004E2F80"/>
    <w:rsid w:val="004E4445"/>
    <w:rsid w:val="004E4D85"/>
    <w:rsid w:val="004E51FE"/>
    <w:rsid w:val="004E65B3"/>
    <w:rsid w:val="004E76BF"/>
    <w:rsid w:val="004F2625"/>
    <w:rsid w:val="004F32FA"/>
    <w:rsid w:val="004F5CA2"/>
    <w:rsid w:val="004F7218"/>
    <w:rsid w:val="004F7966"/>
    <w:rsid w:val="00500B87"/>
    <w:rsid w:val="005067DA"/>
    <w:rsid w:val="00506824"/>
    <w:rsid w:val="005071D2"/>
    <w:rsid w:val="00510F37"/>
    <w:rsid w:val="00511F66"/>
    <w:rsid w:val="00515260"/>
    <w:rsid w:val="00515956"/>
    <w:rsid w:val="00517C18"/>
    <w:rsid w:val="005204B0"/>
    <w:rsid w:val="005216E6"/>
    <w:rsid w:val="00521897"/>
    <w:rsid w:val="005220C6"/>
    <w:rsid w:val="0052424F"/>
    <w:rsid w:val="0052659C"/>
    <w:rsid w:val="00526DF8"/>
    <w:rsid w:val="00527759"/>
    <w:rsid w:val="005360FC"/>
    <w:rsid w:val="00536D10"/>
    <w:rsid w:val="00540B28"/>
    <w:rsid w:val="00540DD4"/>
    <w:rsid w:val="0054172B"/>
    <w:rsid w:val="00542B3F"/>
    <w:rsid w:val="00542B84"/>
    <w:rsid w:val="00542BEE"/>
    <w:rsid w:val="00545433"/>
    <w:rsid w:val="005460C4"/>
    <w:rsid w:val="0054662C"/>
    <w:rsid w:val="005478C1"/>
    <w:rsid w:val="00547D60"/>
    <w:rsid w:val="0055071B"/>
    <w:rsid w:val="00551954"/>
    <w:rsid w:val="00551B39"/>
    <w:rsid w:val="00551D1A"/>
    <w:rsid w:val="005520FE"/>
    <w:rsid w:val="00552FFD"/>
    <w:rsid w:val="00560114"/>
    <w:rsid w:val="00560AA0"/>
    <w:rsid w:val="005610AC"/>
    <w:rsid w:val="005638E5"/>
    <w:rsid w:val="005641CF"/>
    <w:rsid w:val="005642AA"/>
    <w:rsid w:val="00570D7A"/>
    <w:rsid w:val="005719B5"/>
    <w:rsid w:val="00571FA6"/>
    <w:rsid w:val="0057359B"/>
    <w:rsid w:val="00573B29"/>
    <w:rsid w:val="0057405F"/>
    <w:rsid w:val="0057410F"/>
    <w:rsid w:val="005767AA"/>
    <w:rsid w:val="00577FCC"/>
    <w:rsid w:val="0058447D"/>
    <w:rsid w:val="00584E0B"/>
    <w:rsid w:val="00585DA3"/>
    <w:rsid w:val="00586A7C"/>
    <w:rsid w:val="00587F54"/>
    <w:rsid w:val="00590067"/>
    <w:rsid w:val="005911F8"/>
    <w:rsid w:val="005922CB"/>
    <w:rsid w:val="00594DCB"/>
    <w:rsid w:val="00595739"/>
    <w:rsid w:val="0059789B"/>
    <w:rsid w:val="005978CA"/>
    <w:rsid w:val="005A12C3"/>
    <w:rsid w:val="005A1FEE"/>
    <w:rsid w:val="005A2CD3"/>
    <w:rsid w:val="005A302A"/>
    <w:rsid w:val="005A3711"/>
    <w:rsid w:val="005A5730"/>
    <w:rsid w:val="005B125C"/>
    <w:rsid w:val="005B2786"/>
    <w:rsid w:val="005B38D6"/>
    <w:rsid w:val="005B5569"/>
    <w:rsid w:val="005B56F8"/>
    <w:rsid w:val="005B5DC0"/>
    <w:rsid w:val="005B6238"/>
    <w:rsid w:val="005B65DB"/>
    <w:rsid w:val="005C2EB5"/>
    <w:rsid w:val="005C4056"/>
    <w:rsid w:val="005D0958"/>
    <w:rsid w:val="005D1EA3"/>
    <w:rsid w:val="005D1EDE"/>
    <w:rsid w:val="005D2794"/>
    <w:rsid w:val="005D4344"/>
    <w:rsid w:val="005D457E"/>
    <w:rsid w:val="005D5BD3"/>
    <w:rsid w:val="005D6C0F"/>
    <w:rsid w:val="005D6F73"/>
    <w:rsid w:val="005D74AD"/>
    <w:rsid w:val="005E0D26"/>
    <w:rsid w:val="005E3DD4"/>
    <w:rsid w:val="005E49E4"/>
    <w:rsid w:val="005E73D4"/>
    <w:rsid w:val="005F0AA4"/>
    <w:rsid w:val="005F206C"/>
    <w:rsid w:val="005F2D29"/>
    <w:rsid w:val="005F5B68"/>
    <w:rsid w:val="005F5D62"/>
    <w:rsid w:val="005F5E11"/>
    <w:rsid w:val="005F6D9E"/>
    <w:rsid w:val="005F7997"/>
    <w:rsid w:val="006001DA"/>
    <w:rsid w:val="00600848"/>
    <w:rsid w:val="00602014"/>
    <w:rsid w:val="00603E29"/>
    <w:rsid w:val="00605DEF"/>
    <w:rsid w:val="00607412"/>
    <w:rsid w:val="00607B46"/>
    <w:rsid w:val="00610D19"/>
    <w:rsid w:val="0061109A"/>
    <w:rsid w:val="00611E90"/>
    <w:rsid w:val="00613196"/>
    <w:rsid w:val="00613C3E"/>
    <w:rsid w:val="00613CCF"/>
    <w:rsid w:val="00614DC9"/>
    <w:rsid w:val="00615A27"/>
    <w:rsid w:val="006166A3"/>
    <w:rsid w:val="00621208"/>
    <w:rsid w:val="00622D0C"/>
    <w:rsid w:val="00622DDC"/>
    <w:rsid w:val="0062450A"/>
    <w:rsid w:val="006246BC"/>
    <w:rsid w:val="00625988"/>
    <w:rsid w:val="00626192"/>
    <w:rsid w:val="00627380"/>
    <w:rsid w:val="00630748"/>
    <w:rsid w:val="00630A66"/>
    <w:rsid w:val="0063121B"/>
    <w:rsid w:val="00632AF4"/>
    <w:rsid w:val="006333E2"/>
    <w:rsid w:val="00635A8F"/>
    <w:rsid w:val="00636CBF"/>
    <w:rsid w:val="00637F23"/>
    <w:rsid w:val="00641CDC"/>
    <w:rsid w:val="00642800"/>
    <w:rsid w:val="00643543"/>
    <w:rsid w:val="00643C24"/>
    <w:rsid w:val="00645E33"/>
    <w:rsid w:val="00651158"/>
    <w:rsid w:val="0065231B"/>
    <w:rsid w:val="006530F2"/>
    <w:rsid w:val="006558D5"/>
    <w:rsid w:val="00656B87"/>
    <w:rsid w:val="00657304"/>
    <w:rsid w:val="00657923"/>
    <w:rsid w:val="00661472"/>
    <w:rsid w:val="0066334E"/>
    <w:rsid w:val="00664274"/>
    <w:rsid w:val="00664AB4"/>
    <w:rsid w:val="00664CBD"/>
    <w:rsid w:val="0066508D"/>
    <w:rsid w:val="006668F2"/>
    <w:rsid w:val="0067082C"/>
    <w:rsid w:val="006712AF"/>
    <w:rsid w:val="00680653"/>
    <w:rsid w:val="006822C6"/>
    <w:rsid w:val="0068294F"/>
    <w:rsid w:val="00683BC5"/>
    <w:rsid w:val="00690D5D"/>
    <w:rsid w:val="00690F83"/>
    <w:rsid w:val="0069291D"/>
    <w:rsid w:val="0069303E"/>
    <w:rsid w:val="0069484A"/>
    <w:rsid w:val="00695E2B"/>
    <w:rsid w:val="00695E67"/>
    <w:rsid w:val="0069607E"/>
    <w:rsid w:val="0069621E"/>
    <w:rsid w:val="00696B26"/>
    <w:rsid w:val="006A0483"/>
    <w:rsid w:val="006A15BF"/>
    <w:rsid w:val="006A2BE4"/>
    <w:rsid w:val="006A4F7F"/>
    <w:rsid w:val="006A581E"/>
    <w:rsid w:val="006A7188"/>
    <w:rsid w:val="006A77EE"/>
    <w:rsid w:val="006A7FD6"/>
    <w:rsid w:val="006B1235"/>
    <w:rsid w:val="006B2107"/>
    <w:rsid w:val="006B458C"/>
    <w:rsid w:val="006B5B5B"/>
    <w:rsid w:val="006B633E"/>
    <w:rsid w:val="006B69E1"/>
    <w:rsid w:val="006C0188"/>
    <w:rsid w:val="006C46E2"/>
    <w:rsid w:val="006C7D93"/>
    <w:rsid w:val="006D1B29"/>
    <w:rsid w:val="006D4C44"/>
    <w:rsid w:val="006D522A"/>
    <w:rsid w:val="006D71C7"/>
    <w:rsid w:val="006D7FD8"/>
    <w:rsid w:val="006E186F"/>
    <w:rsid w:val="006E3417"/>
    <w:rsid w:val="006E349B"/>
    <w:rsid w:val="006E5032"/>
    <w:rsid w:val="006E5BEB"/>
    <w:rsid w:val="006E5CF1"/>
    <w:rsid w:val="006E6E45"/>
    <w:rsid w:val="006E7280"/>
    <w:rsid w:val="006F05F0"/>
    <w:rsid w:val="006F06F8"/>
    <w:rsid w:val="006F20B7"/>
    <w:rsid w:val="006F2938"/>
    <w:rsid w:val="006F294F"/>
    <w:rsid w:val="006F3C6C"/>
    <w:rsid w:val="006F3D39"/>
    <w:rsid w:val="006F412D"/>
    <w:rsid w:val="006F72B6"/>
    <w:rsid w:val="007018B3"/>
    <w:rsid w:val="00701B42"/>
    <w:rsid w:val="00701DFF"/>
    <w:rsid w:val="00703716"/>
    <w:rsid w:val="00705A12"/>
    <w:rsid w:val="00706F68"/>
    <w:rsid w:val="00712BCC"/>
    <w:rsid w:val="0071477E"/>
    <w:rsid w:val="00714C4D"/>
    <w:rsid w:val="007156F0"/>
    <w:rsid w:val="00715CDD"/>
    <w:rsid w:val="00723496"/>
    <w:rsid w:val="0072720A"/>
    <w:rsid w:val="00730344"/>
    <w:rsid w:val="007305EF"/>
    <w:rsid w:val="00731782"/>
    <w:rsid w:val="007324DF"/>
    <w:rsid w:val="00732BF9"/>
    <w:rsid w:val="00732CB1"/>
    <w:rsid w:val="00734C74"/>
    <w:rsid w:val="00735B40"/>
    <w:rsid w:val="00735F29"/>
    <w:rsid w:val="007368C6"/>
    <w:rsid w:val="00736E7A"/>
    <w:rsid w:val="007406AE"/>
    <w:rsid w:val="00740E4B"/>
    <w:rsid w:val="0074218E"/>
    <w:rsid w:val="007443FE"/>
    <w:rsid w:val="00744692"/>
    <w:rsid w:val="00744E49"/>
    <w:rsid w:val="0074575C"/>
    <w:rsid w:val="00745D99"/>
    <w:rsid w:val="0074670F"/>
    <w:rsid w:val="00746C33"/>
    <w:rsid w:val="0075008F"/>
    <w:rsid w:val="00751C74"/>
    <w:rsid w:val="00753001"/>
    <w:rsid w:val="00753306"/>
    <w:rsid w:val="00753F3E"/>
    <w:rsid w:val="00755160"/>
    <w:rsid w:val="00755299"/>
    <w:rsid w:val="0075576C"/>
    <w:rsid w:val="00757556"/>
    <w:rsid w:val="00757E8C"/>
    <w:rsid w:val="00761201"/>
    <w:rsid w:val="00762784"/>
    <w:rsid w:val="0076381A"/>
    <w:rsid w:val="007643C0"/>
    <w:rsid w:val="00765BA1"/>
    <w:rsid w:val="0076697F"/>
    <w:rsid w:val="00766E65"/>
    <w:rsid w:val="007674C6"/>
    <w:rsid w:val="007721F2"/>
    <w:rsid w:val="00773AA3"/>
    <w:rsid w:val="007742E6"/>
    <w:rsid w:val="00774D4B"/>
    <w:rsid w:val="007750F9"/>
    <w:rsid w:val="00775785"/>
    <w:rsid w:val="00776434"/>
    <w:rsid w:val="00777646"/>
    <w:rsid w:val="0078038E"/>
    <w:rsid w:val="0078111A"/>
    <w:rsid w:val="007818FD"/>
    <w:rsid w:val="0078382E"/>
    <w:rsid w:val="0078625F"/>
    <w:rsid w:val="00787101"/>
    <w:rsid w:val="0079044A"/>
    <w:rsid w:val="0079092B"/>
    <w:rsid w:val="0079112B"/>
    <w:rsid w:val="007919FA"/>
    <w:rsid w:val="00792016"/>
    <w:rsid w:val="00792042"/>
    <w:rsid w:val="00793E92"/>
    <w:rsid w:val="007940CC"/>
    <w:rsid w:val="007942A2"/>
    <w:rsid w:val="00794472"/>
    <w:rsid w:val="007951C7"/>
    <w:rsid w:val="0079594E"/>
    <w:rsid w:val="00795BFC"/>
    <w:rsid w:val="007A1955"/>
    <w:rsid w:val="007A24A5"/>
    <w:rsid w:val="007A2B5A"/>
    <w:rsid w:val="007A2CA3"/>
    <w:rsid w:val="007A59A2"/>
    <w:rsid w:val="007A77A0"/>
    <w:rsid w:val="007B1128"/>
    <w:rsid w:val="007B1A0F"/>
    <w:rsid w:val="007B22A8"/>
    <w:rsid w:val="007B27C8"/>
    <w:rsid w:val="007B2CD7"/>
    <w:rsid w:val="007B3696"/>
    <w:rsid w:val="007B5106"/>
    <w:rsid w:val="007B527C"/>
    <w:rsid w:val="007B5951"/>
    <w:rsid w:val="007C005A"/>
    <w:rsid w:val="007C1FA2"/>
    <w:rsid w:val="007C3F5C"/>
    <w:rsid w:val="007C4D0E"/>
    <w:rsid w:val="007C4D62"/>
    <w:rsid w:val="007C5B7C"/>
    <w:rsid w:val="007C6DE5"/>
    <w:rsid w:val="007D07A6"/>
    <w:rsid w:val="007D228B"/>
    <w:rsid w:val="007D3A58"/>
    <w:rsid w:val="007D660E"/>
    <w:rsid w:val="007D6FE5"/>
    <w:rsid w:val="007E0385"/>
    <w:rsid w:val="007E1794"/>
    <w:rsid w:val="007E1E31"/>
    <w:rsid w:val="007E2AD3"/>
    <w:rsid w:val="007E464E"/>
    <w:rsid w:val="007E60B8"/>
    <w:rsid w:val="007E632B"/>
    <w:rsid w:val="007E7747"/>
    <w:rsid w:val="007E7BB2"/>
    <w:rsid w:val="007F03E7"/>
    <w:rsid w:val="007F12FF"/>
    <w:rsid w:val="007F13C5"/>
    <w:rsid w:val="007F1C4C"/>
    <w:rsid w:val="007F1F09"/>
    <w:rsid w:val="007F21AA"/>
    <w:rsid w:val="007F2D93"/>
    <w:rsid w:val="007F3B02"/>
    <w:rsid w:val="007F418C"/>
    <w:rsid w:val="007F5A55"/>
    <w:rsid w:val="007F7A86"/>
    <w:rsid w:val="0080034B"/>
    <w:rsid w:val="00800BAC"/>
    <w:rsid w:val="00801186"/>
    <w:rsid w:val="00802A5B"/>
    <w:rsid w:val="008031B4"/>
    <w:rsid w:val="00804B45"/>
    <w:rsid w:val="00805EB0"/>
    <w:rsid w:val="008065B9"/>
    <w:rsid w:val="00806ABC"/>
    <w:rsid w:val="008126DB"/>
    <w:rsid w:val="00815148"/>
    <w:rsid w:val="00815D0F"/>
    <w:rsid w:val="0081741D"/>
    <w:rsid w:val="008205FC"/>
    <w:rsid w:val="00821A70"/>
    <w:rsid w:val="00821D6E"/>
    <w:rsid w:val="0082222A"/>
    <w:rsid w:val="00823062"/>
    <w:rsid w:val="00823C6F"/>
    <w:rsid w:val="00825B8E"/>
    <w:rsid w:val="00825F96"/>
    <w:rsid w:val="00826B41"/>
    <w:rsid w:val="008304E6"/>
    <w:rsid w:val="00832F58"/>
    <w:rsid w:val="00833821"/>
    <w:rsid w:val="008349DD"/>
    <w:rsid w:val="008364A2"/>
    <w:rsid w:val="0083790D"/>
    <w:rsid w:val="008379C4"/>
    <w:rsid w:val="00837ADD"/>
    <w:rsid w:val="0084035A"/>
    <w:rsid w:val="00840CAB"/>
    <w:rsid w:val="008414FC"/>
    <w:rsid w:val="00841BBC"/>
    <w:rsid w:val="00844507"/>
    <w:rsid w:val="008464A9"/>
    <w:rsid w:val="00846B55"/>
    <w:rsid w:val="00847E62"/>
    <w:rsid w:val="00853260"/>
    <w:rsid w:val="00853DB7"/>
    <w:rsid w:val="00857840"/>
    <w:rsid w:val="0086003D"/>
    <w:rsid w:val="00860834"/>
    <w:rsid w:val="00860C60"/>
    <w:rsid w:val="00860D37"/>
    <w:rsid w:val="00862C7B"/>
    <w:rsid w:val="0086371D"/>
    <w:rsid w:val="00863E70"/>
    <w:rsid w:val="0086521D"/>
    <w:rsid w:val="00866465"/>
    <w:rsid w:val="00866CB6"/>
    <w:rsid w:val="008674F0"/>
    <w:rsid w:val="00867FA4"/>
    <w:rsid w:val="00870AD6"/>
    <w:rsid w:val="008746CE"/>
    <w:rsid w:val="008760B1"/>
    <w:rsid w:val="008760FE"/>
    <w:rsid w:val="00877F75"/>
    <w:rsid w:val="00877FE4"/>
    <w:rsid w:val="00880260"/>
    <w:rsid w:val="00880655"/>
    <w:rsid w:val="00882B4D"/>
    <w:rsid w:val="00886B94"/>
    <w:rsid w:val="008873FC"/>
    <w:rsid w:val="00887BCB"/>
    <w:rsid w:val="008905B6"/>
    <w:rsid w:val="008912CF"/>
    <w:rsid w:val="00894326"/>
    <w:rsid w:val="00895747"/>
    <w:rsid w:val="00895A8C"/>
    <w:rsid w:val="00895CFD"/>
    <w:rsid w:val="00896E82"/>
    <w:rsid w:val="008A0857"/>
    <w:rsid w:val="008A1A10"/>
    <w:rsid w:val="008A2646"/>
    <w:rsid w:val="008A4764"/>
    <w:rsid w:val="008A5054"/>
    <w:rsid w:val="008A5199"/>
    <w:rsid w:val="008A67C7"/>
    <w:rsid w:val="008B226A"/>
    <w:rsid w:val="008B2A82"/>
    <w:rsid w:val="008B4C12"/>
    <w:rsid w:val="008B4D7C"/>
    <w:rsid w:val="008B6542"/>
    <w:rsid w:val="008B790A"/>
    <w:rsid w:val="008C1577"/>
    <w:rsid w:val="008C1E78"/>
    <w:rsid w:val="008C255F"/>
    <w:rsid w:val="008C2FB6"/>
    <w:rsid w:val="008C3450"/>
    <w:rsid w:val="008C36B5"/>
    <w:rsid w:val="008C79F8"/>
    <w:rsid w:val="008D03DA"/>
    <w:rsid w:val="008D1F08"/>
    <w:rsid w:val="008D2411"/>
    <w:rsid w:val="008D29C4"/>
    <w:rsid w:val="008D2E89"/>
    <w:rsid w:val="008D3509"/>
    <w:rsid w:val="008D6ECF"/>
    <w:rsid w:val="008E10A6"/>
    <w:rsid w:val="008E1174"/>
    <w:rsid w:val="008E1C55"/>
    <w:rsid w:val="008E2923"/>
    <w:rsid w:val="008E6438"/>
    <w:rsid w:val="008E6A59"/>
    <w:rsid w:val="008E6A7F"/>
    <w:rsid w:val="008E70E0"/>
    <w:rsid w:val="008E7766"/>
    <w:rsid w:val="008F00AE"/>
    <w:rsid w:val="008F2776"/>
    <w:rsid w:val="008F4326"/>
    <w:rsid w:val="008F49D4"/>
    <w:rsid w:val="008F776C"/>
    <w:rsid w:val="009003E4"/>
    <w:rsid w:val="00902ACD"/>
    <w:rsid w:val="009046CD"/>
    <w:rsid w:val="009050E7"/>
    <w:rsid w:val="00906715"/>
    <w:rsid w:val="00907109"/>
    <w:rsid w:val="00910771"/>
    <w:rsid w:val="00911A80"/>
    <w:rsid w:val="009121CC"/>
    <w:rsid w:val="009122FB"/>
    <w:rsid w:val="00912C32"/>
    <w:rsid w:val="0091317A"/>
    <w:rsid w:val="00915527"/>
    <w:rsid w:val="009163A9"/>
    <w:rsid w:val="00916814"/>
    <w:rsid w:val="00920C89"/>
    <w:rsid w:val="0092160D"/>
    <w:rsid w:val="00921701"/>
    <w:rsid w:val="00921DEF"/>
    <w:rsid w:val="00923885"/>
    <w:rsid w:val="00923E83"/>
    <w:rsid w:val="0092482B"/>
    <w:rsid w:val="00926974"/>
    <w:rsid w:val="00927970"/>
    <w:rsid w:val="0093075D"/>
    <w:rsid w:val="00930DDD"/>
    <w:rsid w:val="00931DC2"/>
    <w:rsid w:val="00932ABD"/>
    <w:rsid w:val="00933219"/>
    <w:rsid w:val="009335C7"/>
    <w:rsid w:val="00936E9D"/>
    <w:rsid w:val="00936FEC"/>
    <w:rsid w:val="009371DC"/>
    <w:rsid w:val="009371FD"/>
    <w:rsid w:val="00942589"/>
    <w:rsid w:val="009429AE"/>
    <w:rsid w:val="00946408"/>
    <w:rsid w:val="009500F4"/>
    <w:rsid w:val="0095257F"/>
    <w:rsid w:val="00952B6C"/>
    <w:rsid w:val="00952D01"/>
    <w:rsid w:val="00952D2B"/>
    <w:rsid w:val="0095338A"/>
    <w:rsid w:val="00954359"/>
    <w:rsid w:val="00957AD7"/>
    <w:rsid w:val="009623C7"/>
    <w:rsid w:val="0096338B"/>
    <w:rsid w:val="0096554E"/>
    <w:rsid w:val="00971A95"/>
    <w:rsid w:val="00971CE6"/>
    <w:rsid w:val="0097231F"/>
    <w:rsid w:val="0097569C"/>
    <w:rsid w:val="00976A11"/>
    <w:rsid w:val="00977681"/>
    <w:rsid w:val="00980AE5"/>
    <w:rsid w:val="009820DB"/>
    <w:rsid w:val="00982827"/>
    <w:rsid w:val="009838C1"/>
    <w:rsid w:val="00983AEC"/>
    <w:rsid w:val="00987DE0"/>
    <w:rsid w:val="00991B31"/>
    <w:rsid w:val="00991E43"/>
    <w:rsid w:val="0099247F"/>
    <w:rsid w:val="00992D34"/>
    <w:rsid w:val="00994560"/>
    <w:rsid w:val="00994859"/>
    <w:rsid w:val="009A077C"/>
    <w:rsid w:val="009A0A34"/>
    <w:rsid w:val="009A2CDE"/>
    <w:rsid w:val="009A3618"/>
    <w:rsid w:val="009A44D3"/>
    <w:rsid w:val="009A49D6"/>
    <w:rsid w:val="009A73ED"/>
    <w:rsid w:val="009A7ACE"/>
    <w:rsid w:val="009B35F6"/>
    <w:rsid w:val="009B39ED"/>
    <w:rsid w:val="009B56B2"/>
    <w:rsid w:val="009B57CB"/>
    <w:rsid w:val="009C06AF"/>
    <w:rsid w:val="009C0BB2"/>
    <w:rsid w:val="009C12C3"/>
    <w:rsid w:val="009C25C8"/>
    <w:rsid w:val="009C7116"/>
    <w:rsid w:val="009C71FE"/>
    <w:rsid w:val="009D2B5A"/>
    <w:rsid w:val="009D4423"/>
    <w:rsid w:val="009D44D5"/>
    <w:rsid w:val="009D469A"/>
    <w:rsid w:val="009D511D"/>
    <w:rsid w:val="009D6349"/>
    <w:rsid w:val="009E5E13"/>
    <w:rsid w:val="009E6199"/>
    <w:rsid w:val="009E7F4F"/>
    <w:rsid w:val="009F01C5"/>
    <w:rsid w:val="009F0455"/>
    <w:rsid w:val="009F1C8E"/>
    <w:rsid w:val="009F2798"/>
    <w:rsid w:val="009F4211"/>
    <w:rsid w:val="009F4A55"/>
    <w:rsid w:val="009F6F09"/>
    <w:rsid w:val="009F76FF"/>
    <w:rsid w:val="00A00B69"/>
    <w:rsid w:val="00A029D0"/>
    <w:rsid w:val="00A02A74"/>
    <w:rsid w:val="00A0753C"/>
    <w:rsid w:val="00A07649"/>
    <w:rsid w:val="00A07D8B"/>
    <w:rsid w:val="00A10935"/>
    <w:rsid w:val="00A12960"/>
    <w:rsid w:val="00A15493"/>
    <w:rsid w:val="00A20888"/>
    <w:rsid w:val="00A22A4D"/>
    <w:rsid w:val="00A2322B"/>
    <w:rsid w:val="00A23949"/>
    <w:rsid w:val="00A24DE2"/>
    <w:rsid w:val="00A25820"/>
    <w:rsid w:val="00A31BA6"/>
    <w:rsid w:val="00A31E34"/>
    <w:rsid w:val="00A34BE2"/>
    <w:rsid w:val="00A34F79"/>
    <w:rsid w:val="00A35BC5"/>
    <w:rsid w:val="00A362A4"/>
    <w:rsid w:val="00A3666A"/>
    <w:rsid w:val="00A377BE"/>
    <w:rsid w:val="00A4062A"/>
    <w:rsid w:val="00A40CD2"/>
    <w:rsid w:val="00A40DC7"/>
    <w:rsid w:val="00A47462"/>
    <w:rsid w:val="00A47D92"/>
    <w:rsid w:val="00A5021B"/>
    <w:rsid w:val="00A522ED"/>
    <w:rsid w:val="00A52D16"/>
    <w:rsid w:val="00A53361"/>
    <w:rsid w:val="00A53D4B"/>
    <w:rsid w:val="00A54757"/>
    <w:rsid w:val="00A54785"/>
    <w:rsid w:val="00A54D50"/>
    <w:rsid w:val="00A5559D"/>
    <w:rsid w:val="00A62A92"/>
    <w:rsid w:val="00A62FF8"/>
    <w:rsid w:val="00A63717"/>
    <w:rsid w:val="00A66CF6"/>
    <w:rsid w:val="00A67D1A"/>
    <w:rsid w:val="00A76005"/>
    <w:rsid w:val="00A76B43"/>
    <w:rsid w:val="00A77981"/>
    <w:rsid w:val="00A8104E"/>
    <w:rsid w:val="00A82D1E"/>
    <w:rsid w:val="00A83E34"/>
    <w:rsid w:val="00A8623F"/>
    <w:rsid w:val="00A90452"/>
    <w:rsid w:val="00A91D2F"/>
    <w:rsid w:val="00A947FD"/>
    <w:rsid w:val="00A94C37"/>
    <w:rsid w:val="00A96F69"/>
    <w:rsid w:val="00A97125"/>
    <w:rsid w:val="00A97889"/>
    <w:rsid w:val="00A97E49"/>
    <w:rsid w:val="00AA005B"/>
    <w:rsid w:val="00AA02F6"/>
    <w:rsid w:val="00AA26DD"/>
    <w:rsid w:val="00AA28B1"/>
    <w:rsid w:val="00AA3195"/>
    <w:rsid w:val="00AB09E5"/>
    <w:rsid w:val="00AB2015"/>
    <w:rsid w:val="00AB2541"/>
    <w:rsid w:val="00AB26FF"/>
    <w:rsid w:val="00AB2B2A"/>
    <w:rsid w:val="00AB3B79"/>
    <w:rsid w:val="00AB3F37"/>
    <w:rsid w:val="00AB60DE"/>
    <w:rsid w:val="00AB6330"/>
    <w:rsid w:val="00AC1066"/>
    <w:rsid w:val="00AC148A"/>
    <w:rsid w:val="00AC1646"/>
    <w:rsid w:val="00AC19D7"/>
    <w:rsid w:val="00AC42AB"/>
    <w:rsid w:val="00AC5A2C"/>
    <w:rsid w:val="00AC650C"/>
    <w:rsid w:val="00AC65D8"/>
    <w:rsid w:val="00AC6D57"/>
    <w:rsid w:val="00AC6D7A"/>
    <w:rsid w:val="00AD0AAD"/>
    <w:rsid w:val="00AD0E2E"/>
    <w:rsid w:val="00AD1733"/>
    <w:rsid w:val="00AD1945"/>
    <w:rsid w:val="00AD2ADA"/>
    <w:rsid w:val="00AD3B68"/>
    <w:rsid w:val="00AD4590"/>
    <w:rsid w:val="00AD6A46"/>
    <w:rsid w:val="00AE01CD"/>
    <w:rsid w:val="00AE0C97"/>
    <w:rsid w:val="00AE5A37"/>
    <w:rsid w:val="00AE7919"/>
    <w:rsid w:val="00AE7C47"/>
    <w:rsid w:val="00AF152E"/>
    <w:rsid w:val="00AF3701"/>
    <w:rsid w:val="00AF4A48"/>
    <w:rsid w:val="00AF4FB4"/>
    <w:rsid w:val="00AF5C49"/>
    <w:rsid w:val="00AF6493"/>
    <w:rsid w:val="00AF756A"/>
    <w:rsid w:val="00B004CD"/>
    <w:rsid w:val="00B0213C"/>
    <w:rsid w:val="00B03143"/>
    <w:rsid w:val="00B03D87"/>
    <w:rsid w:val="00B04DF2"/>
    <w:rsid w:val="00B07BEB"/>
    <w:rsid w:val="00B12DD9"/>
    <w:rsid w:val="00B147C1"/>
    <w:rsid w:val="00B2065B"/>
    <w:rsid w:val="00B224FA"/>
    <w:rsid w:val="00B22CF1"/>
    <w:rsid w:val="00B24B60"/>
    <w:rsid w:val="00B25785"/>
    <w:rsid w:val="00B25D7A"/>
    <w:rsid w:val="00B261D5"/>
    <w:rsid w:val="00B2752D"/>
    <w:rsid w:val="00B32AF9"/>
    <w:rsid w:val="00B33BC3"/>
    <w:rsid w:val="00B33DC1"/>
    <w:rsid w:val="00B34977"/>
    <w:rsid w:val="00B35621"/>
    <w:rsid w:val="00B3646C"/>
    <w:rsid w:val="00B371F7"/>
    <w:rsid w:val="00B37683"/>
    <w:rsid w:val="00B3778E"/>
    <w:rsid w:val="00B41384"/>
    <w:rsid w:val="00B43BE0"/>
    <w:rsid w:val="00B43C61"/>
    <w:rsid w:val="00B43D68"/>
    <w:rsid w:val="00B44561"/>
    <w:rsid w:val="00B4489C"/>
    <w:rsid w:val="00B45037"/>
    <w:rsid w:val="00B45074"/>
    <w:rsid w:val="00B47267"/>
    <w:rsid w:val="00B4782E"/>
    <w:rsid w:val="00B47CF4"/>
    <w:rsid w:val="00B502C8"/>
    <w:rsid w:val="00B50F7E"/>
    <w:rsid w:val="00B520A2"/>
    <w:rsid w:val="00B523AE"/>
    <w:rsid w:val="00B526CC"/>
    <w:rsid w:val="00B53AB1"/>
    <w:rsid w:val="00B5571E"/>
    <w:rsid w:val="00B557A6"/>
    <w:rsid w:val="00B55877"/>
    <w:rsid w:val="00B564CB"/>
    <w:rsid w:val="00B566D6"/>
    <w:rsid w:val="00B5762E"/>
    <w:rsid w:val="00B60B42"/>
    <w:rsid w:val="00B6273C"/>
    <w:rsid w:val="00B63401"/>
    <w:rsid w:val="00B6396C"/>
    <w:rsid w:val="00B65543"/>
    <w:rsid w:val="00B66552"/>
    <w:rsid w:val="00B677FF"/>
    <w:rsid w:val="00B73828"/>
    <w:rsid w:val="00B73D35"/>
    <w:rsid w:val="00B753C1"/>
    <w:rsid w:val="00B7660A"/>
    <w:rsid w:val="00B775F7"/>
    <w:rsid w:val="00B77AED"/>
    <w:rsid w:val="00B77CE0"/>
    <w:rsid w:val="00B8119D"/>
    <w:rsid w:val="00B82637"/>
    <w:rsid w:val="00B82D40"/>
    <w:rsid w:val="00B830AC"/>
    <w:rsid w:val="00B8376D"/>
    <w:rsid w:val="00B8421D"/>
    <w:rsid w:val="00B84973"/>
    <w:rsid w:val="00B85404"/>
    <w:rsid w:val="00B85CB9"/>
    <w:rsid w:val="00B85D84"/>
    <w:rsid w:val="00B85F66"/>
    <w:rsid w:val="00B90E1D"/>
    <w:rsid w:val="00B91824"/>
    <w:rsid w:val="00B94877"/>
    <w:rsid w:val="00B954D9"/>
    <w:rsid w:val="00B96D79"/>
    <w:rsid w:val="00B9742A"/>
    <w:rsid w:val="00B974F1"/>
    <w:rsid w:val="00BA174A"/>
    <w:rsid w:val="00BA40AF"/>
    <w:rsid w:val="00BA4D32"/>
    <w:rsid w:val="00BA4D7B"/>
    <w:rsid w:val="00BA67D4"/>
    <w:rsid w:val="00BB0583"/>
    <w:rsid w:val="00BB0904"/>
    <w:rsid w:val="00BB15F9"/>
    <w:rsid w:val="00BB29C7"/>
    <w:rsid w:val="00BB2ABD"/>
    <w:rsid w:val="00BB3162"/>
    <w:rsid w:val="00BB3275"/>
    <w:rsid w:val="00BB3A53"/>
    <w:rsid w:val="00BB4376"/>
    <w:rsid w:val="00BB44C4"/>
    <w:rsid w:val="00BC1056"/>
    <w:rsid w:val="00BC1123"/>
    <w:rsid w:val="00BC3152"/>
    <w:rsid w:val="00BC5E85"/>
    <w:rsid w:val="00BC7FFD"/>
    <w:rsid w:val="00BD0578"/>
    <w:rsid w:val="00BD1D7C"/>
    <w:rsid w:val="00BD200D"/>
    <w:rsid w:val="00BD4343"/>
    <w:rsid w:val="00BD5DB6"/>
    <w:rsid w:val="00BD671B"/>
    <w:rsid w:val="00BD68F0"/>
    <w:rsid w:val="00BD7B88"/>
    <w:rsid w:val="00BE10C7"/>
    <w:rsid w:val="00BE16E9"/>
    <w:rsid w:val="00BE41AD"/>
    <w:rsid w:val="00BE5CD5"/>
    <w:rsid w:val="00BE68AB"/>
    <w:rsid w:val="00BE69CA"/>
    <w:rsid w:val="00BE7753"/>
    <w:rsid w:val="00BF08BA"/>
    <w:rsid w:val="00BF1790"/>
    <w:rsid w:val="00BF1979"/>
    <w:rsid w:val="00C00228"/>
    <w:rsid w:val="00C00609"/>
    <w:rsid w:val="00C01BF7"/>
    <w:rsid w:val="00C0252D"/>
    <w:rsid w:val="00C02A53"/>
    <w:rsid w:val="00C02A68"/>
    <w:rsid w:val="00C030D9"/>
    <w:rsid w:val="00C03388"/>
    <w:rsid w:val="00C03458"/>
    <w:rsid w:val="00C045AC"/>
    <w:rsid w:val="00C069F5"/>
    <w:rsid w:val="00C07450"/>
    <w:rsid w:val="00C075B7"/>
    <w:rsid w:val="00C11F98"/>
    <w:rsid w:val="00C1252D"/>
    <w:rsid w:val="00C1401E"/>
    <w:rsid w:val="00C14142"/>
    <w:rsid w:val="00C14F79"/>
    <w:rsid w:val="00C150DE"/>
    <w:rsid w:val="00C15233"/>
    <w:rsid w:val="00C153B7"/>
    <w:rsid w:val="00C17118"/>
    <w:rsid w:val="00C175FA"/>
    <w:rsid w:val="00C17FDC"/>
    <w:rsid w:val="00C20BF8"/>
    <w:rsid w:val="00C2140F"/>
    <w:rsid w:val="00C22265"/>
    <w:rsid w:val="00C249B0"/>
    <w:rsid w:val="00C267F5"/>
    <w:rsid w:val="00C27E90"/>
    <w:rsid w:val="00C310FF"/>
    <w:rsid w:val="00C31844"/>
    <w:rsid w:val="00C31B13"/>
    <w:rsid w:val="00C324C3"/>
    <w:rsid w:val="00C32997"/>
    <w:rsid w:val="00C34EE2"/>
    <w:rsid w:val="00C35602"/>
    <w:rsid w:val="00C36645"/>
    <w:rsid w:val="00C367CD"/>
    <w:rsid w:val="00C4319B"/>
    <w:rsid w:val="00C43AE4"/>
    <w:rsid w:val="00C447E6"/>
    <w:rsid w:val="00C448DD"/>
    <w:rsid w:val="00C44A3F"/>
    <w:rsid w:val="00C44D23"/>
    <w:rsid w:val="00C44D27"/>
    <w:rsid w:val="00C45F0A"/>
    <w:rsid w:val="00C47C95"/>
    <w:rsid w:val="00C47D2F"/>
    <w:rsid w:val="00C500CD"/>
    <w:rsid w:val="00C50D97"/>
    <w:rsid w:val="00C50E6C"/>
    <w:rsid w:val="00C5130F"/>
    <w:rsid w:val="00C52EC7"/>
    <w:rsid w:val="00C57CE7"/>
    <w:rsid w:val="00C6006E"/>
    <w:rsid w:val="00C60455"/>
    <w:rsid w:val="00C60B6E"/>
    <w:rsid w:val="00C620A4"/>
    <w:rsid w:val="00C64514"/>
    <w:rsid w:val="00C65057"/>
    <w:rsid w:val="00C6587B"/>
    <w:rsid w:val="00C66ABD"/>
    <w:rsid w:val="00C6716C"/>
    <w:rsid w:val="00C6739A"/>
    <w:rsid w:val="00C67810"/>
    <w:rsid w:val="00C67E74"/>
    <w:rsid w:val="00C70399"/>
    <w:rsid w:val="00C70534"/>
    <w:rsid w:val="00C70A15"/>
    <w:rsid w:val="00C72274"/>
    <w:rsid w:val="00C72E32"/>
    <w:rsid w:val="00C73267"/>
    <w:rsid w:val="00C75E53"/>
    <w:rsid w:val="00C760FB"/>
    <w:rsid w:val="00C824E8"/>
    <w:rsid w:val="00C82E09"/>
    <w:rsid w:val="00C83043"/>
    <w:rsid w:val="00C830D4"/>
    <w:rsid w:val="00C831D7"/>
    <w:rsid w:val="00C85E42"/>
    <w:rsid w:val="00C86390"/>
    <w:rsid w:val="00C86E80"/>
    <w:rsid w:val="00C8744F"/>
    <w:rsid w:val="00C909F5"/>
    <w:rsid w:val="00C93FD5"/>
    <w:rsid w:val="00C94235"/>
    <w:rsid w:val="00C9450D"/>
    <w:rsid w:val="00C94D2D"/>
    <w:rsid w:val="00C973C3"/>
    <w:rsid w:val="00C97E1C"/>
    <w:rsid w:val="00CA06DD"/>
    <w:rsid w:val="00CA0F2C"/>
    <w:rsid w:val="00CA17B5"/>
    <w:rsid w:val="00CA2A50"/>
    <w:rsid w:val="00CA3412"/>
    <w:rsid w:val="00CA3AB4"/>
    <w:rsid w:val="00CA5E43"/>
    <w:rsid w:val="00CA66A2"/>
    <w:rsid w:val="00CA6788"/>
    <w:rsid w:val="00CA69E3"/>
    <w:rsid w:val="00CB2A9B"/>
    <w:rsid w:val="00CB3285"/>
    <w:rsid w:val="00CB3561"/>
    <w:rsid w:val="00CB58A0"/>
    <w:rsid w:val="00CB7059"/>
    <w:rsid w:val="00CC0B29"/>
    <w:rsid w:val="00CC1324"/>
    <w:rsid w:val="00CC2055"/>
    <w:rsid w:val="00CC23C0"/>
    <w:rsid w:val="00CC2675"/>
    <w:rsid w:val="00CC3322"/>
    <w:rsid w:val="00CC4BC6"/>
    <w:rsid w:val="00CC69BA"/>
    <w:rsid w:val="00CC7257"/>
    <w:rsid w:val="00CD189A"/>
    <w:rsid w:val="00CD1B38"/>
    <w:rsid w:val="00CD2352"/>
    <w:rsid w:val="00CD4FD6"/>
    <w:rsid w:val="00CD5387"/>
    <w:rsid w:val="00CD5ABA"/>
    <w:rsid w:val="00CD60DA"/>
    <w:rsid w:val="00CD6A00"/>
    <w:rsid w:val="00CD7FB2"/>
    <w:rsid w:val="00CE16BA"/>
    <w:rsid w:val="00CE3452"/>
    <w:rsid w:val="00CE4245"/>
    <w:rsid w:val="00CF21FA"/>
    <w:rsid w:val="00CF3329"/>
    <w:rsid w:val="00CF3D37"/>
    <w:rsid w:val="00CF5FBB"/>
    <w:rsid w:val="00CF7D39"/>
    <w:rsid w:val="00D01D6F"/>
    <w:rsid w:val="00D0212E"/>
    <w:rsid w:val="00D02A38"/>
    <w:rsid w:val="00D02B68"/>
    <w:rsid w:val="00D02F4D"/>
    <w:rsid w:val="00D03B7F"/>
    <w:rsid w:val="00D0558D"/>
    <w:rsid w:val="00D0633C"/>
    <w:rsid w:val="00D0753A"/>
    <w:rsid w:val="00D07C24"/>
    <w:rsid w:val="00D108B1"/>
    <w:rsid w:val="00D11B24"/>
    <w:rsid w:val="00D11FB0"/>
    <w:rsid w:val="00D12D4C"/>
    <w:rsid w:val="00D15D34"/>
    <w:rsid w:val="00D16970"/>
    <w:rsid w:val="00D200E8"/>
    <w:rsid w:val="00D20717"/>
    <w:rsid w:val="00D208BF"/>
    <w:rsid w:val="00D2200F"/>
    <w:rsid w:val="00D23063"/>
    <w:rsid w:val="00D23C4C"/>
    <w:rsid w:val="00D24889"/>
    <w:rsid w:val="00D26154"/>
    <w:rsid w:val="00D26D7F"/>
    <w:rsid w:val="00D276E6"/>
    <w:rsid w:val="00D27B6D"/>
    <w:rsid w:val="00D302A1"/>
    <w:rsid w:val="00D310A1"/>
    <w:rsid w:val="00D31350"/>
    <w:rsid w:val="00D3232E"/>
    <w:rsid w:val="00D34835"/>
    <w:rsid w:val="00D361DB"/>
    <w:rsid w:val="00D36283"/>
    <w:rsid w:val="00D3663D"/>
    <w:rsid w:val="00D372B2"/>
    <w:rsid w:val="00D40A7C"/>
    <w:rsid w:val="00D41AD7"/>
    <w:rsid w:val="00D4314E"/>
    <w:rsid w:val="00D4638C"/>
    <w:rsid w:val="00D47B1F"/>
    <w:rsid w:val="00D47C03"/>
    <w:rsid w:val="00D50BFC"/>
    <w:rsid w:val="00D520D8"/>
    <w:rsid w:val="00D53B47"/>
    <w:rsid w:val="00D56607"/>
    <w:rsid w:val="00D56BF5"/>
    <w:rsid w:val="00D57C0A"/>
    <w:rsid w:val="00D57DB5"/>
    <w:rsid w:val="00D628A3"/>
    <w:rsid w:val="00D63BE1"/>
    <w:rsid w:val="00D65FD5"/>
    <w:rsid w:val="00D66B2E"/>
    <w:rsid w:val="00D66BF7"/>
    <w:rsid w:val="00D67BA6"/>
    <w:rsid w:val="00D7060B"/>
    <w:rsid w:val="00D712CA"/>
    <w:rsid w:val="00D71C50"/>
    <w:rsid w:val="00D75925"/>
    <w:rsid w:val="00D77605"/>
    <w:rsid w:val="00D810D6"/>
    <w:rsid w:val="00D81FFE"/>
    <w:rsid w:val="00D8273C"/>
    <w:rsid w:val="00D83F46"/>
    <w:rsid w:val="00D844AF"/>
    <w:rsid w:val="00D849D4"/>
    <w:rsid w:val="00D86631"/>
    <w:rsid w:val="00D873F0"/>
    <w:rsid w:val="00D87D2B"/>
    <w:rsid w:val="00D90A8D"/>
    <w:rsid w:val="00D91B9C"/>
    <w:rsid w:val="00D935AE"/>
    <w:rsid w:val="00D945D1"/>
    <w:rsid w:val="00D972BC"/>
    <w:rsid w:val="00DA0D54"/>
    <w:rsid w:val="00DA1E1C"/>
    <w:rsid w:val="00DA333E"/>
    <w:rsid w:val="00DA33FC"/>
    <w:rsid w:val="00DA3F36"/>
    <w:rsid w:val="00DA48B6"/>
    <w:rsid w:val="00DA6112"/>
    <w:rsid w:val="00DA7BF0"/>
    <w:rsid w:val="00DB0294"/>
    <w:rsid w:val="00DB0FA1"/>
    <w:rsid w:val="00DB20C7"/>
    <w:rsid w:val="00DB4DE2"/>
    <w:rsid w:val="00DB7559"/>
    <w:rsid w:val="00DB773C"/>
    <w:rsid w:val="00DB775F"/>
    <w:rsid w:val="00DC2223"/>
    <w:rsid w:val="00DC22E4"/>
    <w:rsid w:val="00DC36A7"/>
    <w:rsid w:val="00DC3B23"/>
    <w:rsid w:val="00DC4434"/>
    <w:rsid w:val="00DC4D0E"/>
    <w:rsid w:val="00DC706E"/>
    <w:rsid w:val="00DC72F0"/>
    <w:rsid w:val="00DC76EA"/>
    <w:rsid w:val="00DD119C"/>
    <w:rsid w:val="00DD1A42"/>
    <w:rsid w:val="00DD3345"/>
    <w:rsid w:val="00DD5258"/>
    <w:rsid w:val="00DD6151"/>
    <w:rsid w:val="00DE067A"/>
    <w:rsid w:val="00DE0CD5"/>
    <w:rsid w:val="00DE3421"/>
    <w:rsid w:val="00DE3FFD"/>
    <w:rsid w:val="00DE4602"/>
    <w:rsid w:val="00DE579B"/>
    <w:rsid w:val="00DE5D11"/>
    <w:rsid w:val="00DE62CF"/>
    <w:rsid w:val="00DE6F16"/>
    <w:rsid w:val="00DF0202"/>
    <w:rsid w:val="00DF0C2A"/>
    <w:rsid w:val="00DF113A"/>
    <w:rsid w:val="00DF6A3E"/>
    <w:rsid w:val="00DF7F19"/>
    <w:rsid w:val="00E03B4A"/>
    <w:rsid w:val="00E0462D"/>
    <w:rsid w:val="00E04668"/>
    <w:rsid w:val="00E04893"/>
    <w:rsid w:val="00E0783F"/>
    <w:rsid w:val="00E10124"/>
    <w:rsid w:val="00E1038A"/>
    <w:rsid w:val="00E10FD0"/>
    <w:rsid w:val="00E117E6"/>
    <w:rsid w:val="00E131B9"/>
    <w:rsid w:val="00E134F9"/>
    <w:rsid w:val="00E13C72"/>
    <w:rsid w:val="00E147B4"/>
    <w:rsid w:val="00E151FB"/>
    <w:rsid w:val="00E15282"/>
    <w:rsid w:val="00E16783"/>
    <w:rsid w:val="00E16CCD"/>
    <w:rsid w:val="00E21AB7"/>
    <w:rsid w:val="00E24D1E"/>
    <w:rsid w:val="00E26410"/>
    <w:rsid w:val="00E26501"/>
    <w:rsid w:val="00E27C83"/>
    <w:rsid w:val="00E31359"/>
    <w:rsid w:val="00E32D8B"/>
    <w:rsid w:val="00E36DC2"/>
    <w:rsid w:val="00E40193"/>
    <w:rsid w:val="00E40516"/>
    <w:rsid w:val="00E417DA"/>
    <w:rsid w:val="00E41B0D"/>
    <w:rsid w:val="00E42AA1"/>
    <w:rsid w:val="00E471DE"/>
    <w:rsid w:val="00E47986"/>
    <w:rsid w:val="00E50892"/>
    <w:rsid w:val="00E508CA"/>
    <w:rsid w:val="00E51EF6"/>
    <w:rsid w:val="00E52261"/>
    <w:rsid w:val="00E5262C"/>
    <w:rsid w:val="00E53720"/>
    <w:rsid w:val="00E5417E"/>
    <w:rsid w:val="00E54EC2"/>
    <w:rsid w:val="00E56672"/>
    <w:rsid w:val="00E57364"/>
    <w:rsid w:val="00E5745D"/>
    <w:rsid w:val="00E577A0"/>
    <w:rsid w:val="00E57F08"/>
    <w:rsid w:val="00E60A0E"/>
    <w:rsid w:val="00E611D4"/>
    <w:rsid w:val="00E62F03"/>
    <w:rsid w:val="00E63907"/>
    <w:rsid w:val="00E6396C"/>
    <w:rsid w:val="00E670AF"/>
    <w:rsid w:val="00E67155"/>
    <w:rsid w:val="00E67F80"/>
    <w:rsid w:val="00E704C1"/>
    <w:rsid w:val="00E7124B"/>
    <w:rsid w:val="00E72256"/>
    <w:rsid w:val="00E7280C"/>
    <w:rsid w:val="00E731EC"/>
    <w:rsid w:val="00E74C57"/>
    <w:rsid w:val="00E7611C"/>
    <w:rsid w:val="00E7769E"/>
    <w:rsid w:val="00E77E1D"/>
    <w:rsid w:val="00E80CC0"/>
    <w:rsid w:val="00E81449"/>
    <w:rsid w:val="00E86F5F"/>
    <w:rsid w:val="00E87686"/>
    <w:rsid w:val="00E90F81"/>
    <w:rsid w:val="00E91893"/>
    <w:rsid w:val="00E9404C"/>
    <w:rsid w:val="00E949C2"/>
    <w:rsid w:val="00E94A14"/>
    <w:rsid w:val="00E96FD6"/>
    <w:rsid w:val="00E97A53"/>
    <w:rsid w:val="00EA0401"/>
    <w:rsid w:val="00EA0443"/>
    <w:rsid w:val="00EA1024"/>
    <w:rsid w:val="00EA189A"/>
    <w:rsid w:val="00EA1D79"/>
    <w:rsid w:val="00EA2A24"/>
    <w:rsid w:val="00EA2F5A"/>
    <w:rsid w:val="00EA4823"/>
    <w:rsid w:val="00EA5150"/>
    <w:rsid w:val="00EA5D3E"/>
    <w:rsid w:val="00EA7561"/>
    <w:rsid w:val="00EA7F44"/>
    <w:rsid w:val="00EB166E"/>
    <w:rsid w:val="00EB1A59"/>
    <w:rsid w:val="00EB279E"/>
    <w:rsid w:val="00EB590D"/>
    <w:rsid w:val="00EC03C9"/>
    <w:rsid w:val="00EC06C2"/>
    <w:rsid w:val="00EC09E6"/>
    <w:rsid w:val="00EC0FC8"/>
    <w:rsid w:val="00EC1AF1"/>
    <w:rsid w:val="00EC4092"/>
    <w:rsid w:val="00EC445A"/>
    <w:rsid w:val="00ED1777"/>
    <w:rsid w:val="00ED198A"/>
    <w:rsid w:val="00ED1B0D"/>
    <w:rsid w:val="00ED3A79"/>
    <w:rsid w:val="00ED4756"/>
    <w:rsid w:val="00ED4969"/>
    <w:rsid w:val="00ED54D8"/>
    <w:rsid w:val="00ED6930"/>
    <w:rsid w:val="00EE3088"/>
    <w:rsid w:val="00EE309F"/>
    <w:rsid w:val="00EE3C4F"/>
    <w:rsid w:val="00EE506F"/>
    <w:rsid w:val="00EE576E"/>
    <w:rsid w:val="00EE706C"/>
    <w:rsid w:val="00EE7671"/>
    <w:rsid w:val="00F0100A"/>
    <w:rsid w:val="00F01D51"/>
    <w:rsid w:val="00F01FC9"/>
    <w:rsid w:val="00F03353"/>
    <w:rsid w:val="00F036C5"/>
    <w:rsid w:val="00F05DB4"/>
    <w:rsid w:val="00F0632A"/>
    <w:rsid w:val="00F07C76"/>
    <w:rsid w:val="00F1240D"/>
    <w:rsid w:val="00F13450"/>
    <w:rsid w:val="00F13555"/>
    <w:rsid w:val="00F147B6"/>
    <w:rsid w:val="00F14BC9"/>
    <w:rsid w:val="00F15058"/>
    <w:rsid w:val="00F15805"/>
    <w:rsid w:val="00F1654A"/>
    <w:rsid w:val="00F175C5"/>
    <w:rsid w:val="00F17A43"/>
    <w:rsid w:val="00F17D3E"/>
    <w:rsid w:val="00F21C0B"/>
    <w:rsid w:val="00F22335"/>
    <w:rsid w:val="00F22741"/>
    <w:rsid w:val="00F23C31"/>
    <w:rsid w:val="00F26341"/>
    <w:rsid w:val="00F304BC"/>
    <w:rsid w:val="00F30A14"/>
    <w:rsid w:val="00F30D26"/>
    <w:rsid w:val="00F3134F"/>
    <w:rsid w:val="00F341F7"/>
    <w:rsid w:val="00F34830"/>
    <w:rsid w:val="00F35BBB"/>
    <w:rsid w:val="00F35CFC"/>
    <w:rsid w:val="00F40020"/>
    <w:rsid w:val="00F40C1D"/>
    <w:rsid w:val="00F43A7F"/>
    <w:rsid w:val="00F43D04"/>
    <w:rsid w:val="00F43FE0"/>
    <w:rsid w:val="00F4723C"/>
    <w:rsid w:val="00F50628"/>
    <w:rsid w:val="00F51B29"/>
    <w:rsid w:val="00F51E3D"/>
    <w:rsid w:val="00F52E84"/>
    <w:rsid w:val="00F53E5D"/>
    <w:rsid w:val="00F54118"/>
    <w:rsid w:val="00F55ABC"/>
    <w:rsid w:val="00F5604B"/>
    <w:rsid w:val="00F56E80"/>
    <w:rsid w:val="00F64FE8"/>
    <w:rsid w:val="00F67279"/>
    <w:rsid w:val="00F67366"/>
    <w:rsid w:val="00F70481"/>
    <w:rsid w:val="00F7230A"/>
    <w:rsid w:val="00F7270B"/>
    <w:rsid w:val="00F73B6D"/>
    <w:rsid w:val="00F7616F"/>
    <w:rsid w:val="00F764EA"/>
    <w:rsid w:val="00F7700C"/>
    <w:rsid w:val="00F77ACC"/>
    <w:rsid w:val="00F80599"/>
    <w:rsid w:val="00F80CB5"/>
    <w:rsid w:val="00F824D5"/>
    <w:rsid w:val="00F8296C"/>
    <w:rsid w:val="00F84A2D"/>
    <w:rsid w:val="00F85988"/>
    <w:rsid w:val="00F868D1"/>
    <w:rsid w:val="00F87903"/>
    <w:rsid w:val="00F90153"/>
    <w:rsid w:val="00F901CC"/>
    <w:rsid w:val="00F910BB"/>
    <w:rsid w:val="00F922C7"/>
    <w:rsid w:val="00F92A81"/>
    <w:rsid w:val="00F94B85"/>
    <w:rsid w:val="00F96C90"/>
    <w:rsid w:val="00F976F6"/>
    <w:rsid w:val="00F97EFD"/>
    <w:rsid w:val="00FA084D"/>
    <w:rsid w:val="00FA0AD5"/>
    <w:rsid w:val="00FA0BF0"/>
    <w:rsid w:val="00FA2A84"/>
    <w:rsid w:val="00FA34D7"/>
    <w:rsid w:val="00FA3552"/>
    <w:rsid w:val="00FA4329"/>
    <w:rsid w:val="00FA5B8D"/>
    <w:rsid w:val="00FA5F97"/>
    <w:rsid w:val="00FB1C58"/>
    <w:rsid w:val="00FB422D"/>
    <w:rsid w:val="00FB5A55"/>
    <w:rsid w:val="00FB6103"/>
    <w:rsid w:val="00FB6580"/>
    <w:rsid w:val="00FB6595"/>
    <w:rsid w:val="00FC0599"/>
    <w:rsid w:val="00FC2DDD"/>
    <w:rsid w:val="00FC407F"/>
    <w:rsid w:val="00FC4629"/>
    <w:rsid w:val="00FC56FA"/>
    <w:rsid w:val="00FC6AC5"/>
    <w:rsid w:val="00FD13B7"/>
    <w:rsid w:val="00FD1868"/>
    <w:rsid w:val="00FD386D"/>
    <w:rsid w:val="00FD4DA7"/>
    <w:rsid w:val="00FD7529"/>
    <w:rsid w:val="00FD7755"/>
    <w:rsid w:val="00FD7F13"/>
    <w:rsid w:val="00FE0FF0"/>
    <w:rsid w:val="00FE2824"/>
    <w:rsid w:val="00FE2E75"/>
    <w:rsid w:val="00FE6239"/>
    <w:rsid w:val="00FE63F9"/>
    <w:rsid w:val="00FE7150"/>
    <w:rsid w:val="00FF0522"/>
    <w:rsid w:val="00FF0DA6"/>
    <w:rsid w:val="00FF123F"/>
    <w:rsid w:val="00FF2320"/>
    <w:rsid w:val="00FF53A2"/>
    <w:rsid w:val="00FF5DFF"/>
    <w:rsid w:val="00FF5E16"/>
    <w:rsid w:val="00FF7B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E08B0C8"/>
  <w15:docId w15:val="{220225E6-8678-4E49-AA45-79F785B62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23E8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844AF"/>
    <w:pPr>
      <w:keepNext/>
      <w:numPr>
        <w:numId w:val="1"/>
      </w:numPr>
      <w:suppressAutoHyphens/>
      <w:outlineLvl w:val="0"/>
    </w:pPr>
    <w:rPr>
      <w:b/>
      <w:bCs/>
      <w:sz w:val="28"/>
      <w:szCs w:val="28"/>
      <w:lang w:eastAsia="ar-SA"/>
    </w:rPr>
  </w:style>
  <w:style w:type="paragraph" w:styleId="Nadpis2">
    <w:name w:val="heading 2"/>
    <w:basedOn w:val="Normln"/>
    <w:next w:val="Normln"/>
    <w:link w:val="Nadpis2Char"/>
    <w:uiPriority w:val="9"/>
    <w:unhideWhenUsed/>
    <w:qFormat/>
    <w:rsid w:val="00D47B1F"/>
    <w:pPr>
      <w:keepNext/>
      <w:keepLines/>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844AF"/>
    <w:rPr>
      <w:rFonts w:ascii="Times New Roman" w:eastAsia="Times New Roman" w:hAnsi="Times New Roman" w:cs="Times New Roman"/>
      <w:b/>
      <w:bCs/>
      <w:sz w:val="28"/>
      <w:szCs w:val="28"/>
      <w:lang w:eastAsia="ar-SA"/>
    </w:rPr>
  </w:style>
  <w:style w:type="paragraph" w:customStyle="1" w:styleId="Zkladnodstavec">
    <w:name w:val="Základní odstavec"/>
    <w:basedOn w:val="Normln"/>
    <w:rsid w:val="00D844AF"/>
    <w:pPr>
      <w:numPr>
        <w:ilvl w:val="1"/>
        <w:numId w:val="1"/>
      </w:numPr>
      <w:tabs>
        <w:tab w:val="clear" w:pos="0"/>
        <w:tab w:val="num" w:pos="360"/>
      </w:tabs>
      <w:spacing w:before="60"/>
      <w:ind w:firstLine="454"/>
      <w:jc w:val="both"/>
    </w:pPr>
    <w:rPr>
      <w:szCs w:val="20"/>
    </w:rPr>
  </w:style>
  <w:style w:type="paragraph" w:styleId="Zhlav">
    <w:name w:val="header"/>
    <w:basedOn w:val="Normln"/>
    <w:link w:val="ZhlavChar"/>
    <w:uiPriority w:val="99"/>
    <w:unhideWhenUsed/>
    <w:rsid w:val="001747D6"/>
    <w:pPr>
      <w:tabs>
        <w:tab w:val="center" w:pos="4536"/>
        <w:tab w:val="right" w:pos="9072"/>
      </w:tabs>
    </w:pPr>
  </w:style>
  <w:style w:type="character" w:customStyle="1" w:styleId="ZhlavChar">
    <w:name w:val="Záhlaví Char"/>
    <w:basedOn w:val="Standardnpsmoodstavce"/>
    <w:link w:val="Zhlav"/>
    <w:uiPriority w:val="99"/>
    <w:rsid w:val="001747D6"/>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E87686"/>
    <w:pPr>
      <w:tabs>
        <w:tab w:val="center" w:pos="4536"/>
        <w:tab w:val="right" w:pos="9072"/>
      </w:tabs>
    </w:pPr>
  </w:style>
  <w:style w:type="character" w:customStyle="1" w:styleId="ZpatChar">
    <w:name w:val="Zápatí Char"/>
    <w:basedOn w:val="Standardnpsmoodstavce"/>
    <w:link w:val="Zpat"/>
    <w:uiPriority w:val="99"/>
    <w:rsid w:val="00E87686"/>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B4782E"/>
    <w:rPr>
      <w:color w:val="0000FF"/>
      <w:u w:val="single"/>
    </w:rPr>
  </w:style>
  <w:style w:type="paragraph" w:styleId="Textbubliny">
    <w:name w:val="Balloon Text"/>
    <w:basedOn w:val="Normln"/>
    <w:link w:val="TextbublinyChar"/>
    <w:uiPriority w:val="99"/>
    <w:semiHidden/>
    <w:unhideWhenUsed/>
    <w:rsid w:val="0016502E"/>
    <w:rPr>
      <w:rFonts w:ascii="Tahoma" w:hAnsi="Tahoma" w:cs="Tahoma"/>
      <w:sz w:val="16"/>
      <w:szCs w:val="16"/>
    </w:rPr>
  </w:style>
  <w:style w:type="character" w:customStyle="1" w:styleId="TextbublinyChar">
    <w:name w:val="Text bubliny Char"/>
    <w:basedOn w:val="Standardnpsmoodstavce"/>
    <w:link w:val="Textbubliny"/>
    <w:uiPriority w:val="99"/>
    <w:semiHidden/>
    <w:rsid w:val="0016502E"/>
    <w:rPr>
      <w:rFonts w:ascii="Tahoma" w:eastAsia="Times New Roman" w:hAnsi="Tahoma" w:cs="Tahoma"/>
      <w:sz w:val="16"/>
      <w:szCs w:val="16"/>
      <w:lang w:eastAsia="cs-CZ"/>
    </w:rPr>
  </w:style>
  <w:style w:type="character" w:styleId="slostrnky">
    <w:name w:val="page number"/>
    <w:basedOn w:val="Standardnpsmoodstavce"/>
    <w:rsid w:val="00AB6330"/>
  </w:style>
  <w:style w:type="paragraph" w:styleId="Zkladntext">
    <w:name w:val="Body Text"/>
    <w:basedOn w:val="Normln"/>
    <w:link w:val="ZkladntextChar"/>
    <w:rsid w:val="00AB6330"/>
    <w:pPr>
      <w:spacing w:after="120"/>
    </w:pPr>
  </w:style>
  <w:style w:type="character" w:customStyle="1" w:styleId="ZkladntextChar">
    <w:name w:val="Základní text Char"/>
    <w:basedOn w:val="Standardnpsmoodstavce"/>
    <w:link w:val="Zkladntext"/>
    <w:rsid w:val="00AB6330"/>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C45F0A"/>
    <w:pPr>
      <w:ind w:left="720"/>
      <w:contextualSpacing/>
    </w:pPr>
  </w:style>
  <w:style w:type="paragraph" w:styleId="Textpoznpodarou">
    <w:name w:val="footnote text"/>
    <w:basedOn w:val="Normln"/>
    <w:link w:val="TextpoznpodarouChar"/>
    <w:uiPriority w:val="99"/>
    <w:unhideWhenUsed/>
    <w:rsid w:val="00EB166E"/>
    <w:pPr>
      <w:jc w:val="center"/>
    </w:pPr>
    <w:rPr>
      <w:sz w:val="20"/>
      <w:szCs w:val="20"/>
    </w:rPr>
  </w:style>
  <w:style w:type="character" w:customStyle="1" w:styleId="TextpoznpodarouChar">
    <w:name w:val="Text pozn. pod čarou Char"/>
    <w:basedOn w:val="Standardnpsmoodstavce"/>
    <w:link w:val="Textpoznpodarou"/>
    <w:uiPriority w:val="99"/>
    <w:rsid w:val="00EB166E"/>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unhideWhenUsed/>
    <w:rsid w:val="00EB166E"/>
    <w:rPr>
      <w:vertAlign w:val="superscript"/>
    </w:rPr>
  </w:style>
  <w:style w:type="character" w:customStyle="1" w:styleId="OdstavecseseznamemChar">
    <w:name w:val="Odstavec se seznamem Char"/>
    <w:basedOn w:val="Standardnpsmoodstavce"/>
    <w:link w:val="Odstavecseseznamem"/>
    <w:uiPriority w:val="34"/>
    <w:rsid w:val="00EB166E"/>
    <w:rPr>
      <w:rFonts w:ascii="Times New Roman" w:eastAsia="Times New Roman" w:hAnsi="Times New Roman" w:cs="Times New Roman"/>
      <w:sz w:val="24"/>
      <w:szCs w:val="24"/>
      <w:lang w:eastAsia="cs-CZ"/>
    </w:rPr>
  </w:style>
  <w:style w:type="paragraph" w:customStyle="1" w:styleId="Odstavecseseznamem1">
    <w:name w:val="Odstavec se seznamem1"/>
    <w:basedOn w:val="Normln"/>
    <w:rsid w:val="000E5758"/>
    <w:pPr>
      <w:ind w:left="720"/>
      <w:contextualSpacing/>
    </w:pPr>
    <w:rPr>
      <w:rFonts w:eastAsia="Calibri"/>
    </w:rPr>
  </w:style>
  <w:style w:type="paragraph" w:customStyle="1" w:styleId="odst">
    <w:name w:val="odst"/>
    <w:basedOn w:val="Odstavecseseznamem"/>
    <w:link w:val="odstChar"/>
    <w:qFormat/>
    <w:rsid w:val="000E5758"/>
    <w:pPr>
      <w:numPr>
        <w:numId w:val="2"/>
      </w:numPr>
      <w:contextualSpacing w:val="0"/>
      <w:jc w:val="both"/>
    </w:pPr>
    <w:rPr>
      <w:rFonts w:ascii="Garamond" w:hAnsi="Garamond"/>
    </w:rPr>
  </w:style>
  <w:style w:type="character" w:customStyle="1" w:styleId="odstChar">
    <w:name w:val="odst Char"/>
    <w:basedOn w:val="Standardnpsmoodstavce"/>
    <w:link w:val="odst"/>
    <w:rsid w:val="000E5758"/>
    <w:rPr>
      <w:rFonts w:ascii="Garamond" w:eastAsia="Times New Roman" w:hAnsi="Garamond" w:cs="Times New Roman"/>
      <w:sz w:val="24"/>
      <w:szCs w:val="24"/>
      <w:lang w:eastAsia="cs-CZ"/>
    </w:rPr>
  </w:style>
  <w:style w:type="character" w:customStyle="1" w:styleId="textcolumn">
    <w:name w:val="textcolumn"/>
    <w:rsid w:val="00274697"/>
  </w:style>
  <w:style w:type="paragraph" w:styleId="Bezmezer">
    <w:name w:val="No Spacing"/>
    <w:uiPriority w:val="1"/>
    <w:qFormat/>
    <w:rsid w:val="00744692"/>
    <w:pPr>
      <w:spacing w:after="0" w:line="240" w:lineRule="auto"/>
      <w:jc w:val="both"/>
    </w:pPr>
    <w:rPr>
      <w:rFonts w:ascii="Times New Roman" w:eastAsia="Calibri" w:hAnsi="Times New Roman" w:cs="Times New Roman"/>
      <w:sz w:val="20"/>
      <w:szCs w:val="20"/>
      <w:lang w:eastAsia="cs-CZ"/>
    </w:rPr>
  </w:style>
  <w:style w:type="paragraph" w:customStyle="1" w:styleId="mmstd">
    <w:name w:val="mm std."/>
    <w:basedOn w:val="Normln"/>
    <w:link w:val="mmstdChar"/>
    <w:rsid w:val="00E40516"/>
    <w:pPr>
      <w:suppressAutoHyphens/>
      <w:spacing w:before="60" w:after="60" w:line="180" w:lineRule="atLeast"/>
      <w:ind w:firstLine="425"/>
      <w:jc w:val="both"/>
    </w:pPr>
    <w:rPr>
      <w:rFonts w:ascii="Garamond" w:hAnsi="Garamond"/>
      <w:sz w:val="26"/>
      <w:szCs w:val="20"/>
    </w:rPr>
  </w:style>
  <w:style w:type="paragraph" w:customStyle="1" w:styleId="Vc">
    <w:name w:val="Věc:"/>
    <w:aliases w:val="Prejudikatura"/>
    <w:basedOn w:val="Normln"/>
    <w:rsid w:val="00E40516"/>
    <w:pPr>
      <w:spacing w:before="120" w:after="120"/>
      <w:ind w:left="590" w:hanging="590"/>
      <w:jc w:val="both"/>
    </w:pPr>
    <w:rPr>
      <w:rFonts w:ascii="Garamond" w:hAnsi="Garamond"/>
      <w:sz w:val="26"/>
      <w:szCs w:val="20"/>
    </w:rPr>
  </w:style>
  <w:style w:type="paragraph" w:customStyle="1" w:styleId="Styl1">
    <w:name w:val="Styl1"/>
    <w:basedOn w:val="Odstavecseseznamem"/>
    <w:link w:val="Styl1Char"/>
    <w:qFormat/>
    <w:rsid w:val="00E40516"/>
    <w:pPr>
      <w:numPr>
        <w:numId w:val="3"/>
      </w:numPr>
      <w:spacing w:before="120" w:after="120"/>
      <w:ind w:left="360"/>
      <w:contextualSpacing w:val="0"/>
      <w:jc w:val="both"/>
    </w:pPr>
    <w:rPr>
      <w:rFonts w:ascii="Garamond" w:hAnsi="Garamond"/>
    </w:rPr>
  </w:style>
  <w:style w:type="character" w:customStyle="1" w:styleId="Styl1Char">
    <w:name w:val="Styl1 Char"/>
    <w:basedOn w:val="Standardnpsmoodstavce"/>
    <w:link w:val="Styl1"/>
    <w:rsid w:val="00E40516"/>
    <w:rPr>
      <w:rFonts w:ascii="Garamond" w:eastAsia="Times New Roman" w:hAnsi="Garamond" w:cs="Times New Roman"/>
      <w:sz w:val="24"/>
      <w:szCs w:val="24"/>
      <w:lang w:eastAsia="cs-CZ"/>
    </w:rPr>
  </w:style>
  <w:style w:type="numbering" w:customStyle="1" w:styleId="Bezseznamu1">
    <w:name w:val="Bez seznamu1"/>
    <w:next w:val="Bezseznamu"/>
    <w:uiPriority w:val="99"/>
    <w:semiHidden/>
    <w:unhideWhenUsed/>
    <w:rsid w:val="00183140"/>
  </w:style>
  <w:style w:type="character" w:styleId="Odkaznakoment">
    <w:name w:val="annotation reference"/>
    <w:basedOn w:val="Standardnpsmoodstavce"/>
    <w:uiPriority w:val="99"/>
    <w:semiHidden/>
    <w:unhideWhenUsed/>
    <w:rsid w:val="00183140"/>
    <w:rPr>
      <w:sz w:val="16"/>
      <w:szCs w:val="16"/>
    </w:rPr>
  </w:style>
  <w:style w:type="paragraph" w:styleId="Textkomente">
    <w:name w:val="annotation text"/>
    <w:basedOn w:val="Normln"/>
    <w:link w:val="TextkomenteChar"/>
    <w:uiPriority w:val="99"/>
    <w:unhideWhenUsed/>
    <w:rsid w:val="00183140"/>
    <w:rPr>
      <w:sz w:val="20"/>
      <w:szCs w:val="20"/>
    </w:rPr>
  </w:style>
  <w:style w:type="character" w:customStyle="1" w:styleId="TextkomenteChar">
    <w:name w:val="Text komentáře Char"/>
    <w:basedOn w:val="Standardnpsmoodstavce"/>
    <w:link w:val="Textkomente"/>
    <w:uiPriority w:val="99"/>
    <w:rsid w:val="00183140"/>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183140"/>
    <w:rPr>
      <w:b/>
      <w:bCs/>
    </w:rPr>
  </w:style>
  <w:style w:type="character" w:customStyle="1" w:styleId="PedmtkomenteChar">
    <w:name w:val="Předmět komentáře Char"/>
    <w:basedOn w:val="TextkomenteChar"/>
    <w:link w:val="Pedmtkomente"/>
    <w:uiPriority w:val="99"/>
    <w:semiHidden/>
    <w:rsid w:val="00183140"/>
    <w:rPr>
      <w:rFonts w:ascii="Times New Roman" w:eastAsia="Times New Roman" w:hAnsi="Times New Roman" w:cs="Times New Roman"/>
      <w:b/>
      <w:bCs/>
      <w:sz w:val="20"/>
      <w:szCs w:val="20"/>
      <w:lang w:eastAsia="cs-CZ"/>
    </w:rPr>
  </w:style>
  <w:style w:type="paragraph" w:styleId="Normlnweb">
    <w:name w:val="Normal (Web)"/>
    <w:basedOn w:val="Normln"/>
    <w:rsid w:val="00221C72"/>
    <w:pPr>
      <w:spacing w:after="225"/>
      <w:jc w:val="both"/>
    </w:pPr>
  </w:style>
  <w:style w:type="character" w:customStyle="1" w:styleId="mmstdChar">
    <w:name w:val="mm std. Char"/>
    <w:basedOn w:val="Standardnpsmoodstavce"/>
    <w:link w:val="mmstd"/>
    <w:locked/>
    <w:rsid w:val="00614DC9"/>
    <w:rPr>
      <w:rFonts w:ascii="Garamond" w:eastAsia="Times New Roman" w:hAnsi="Garamond" w:cs="Times New Roman"/>
      <w:sz w:val="26"/>
      <w:szCs w:val="20"/>
      <w:lang w:eastAsia="cs-CZ"/>
    </w:rPr>
  </w:style>
  <w:style w:type="character" w:styleId="Zdraznnjemn">
    <w:name w:val="Subtle Emphasis"/>
    <w:uiPriority w:val="19"/>
    <w:qFormat/>
    <w:rsid w:val="00E151FB"/>
    <w:rPr>
      <w:b/>
      <w:bCs/>
      <w:spacing w:val="90"/>
    </w:rPr>
  </w:style>
  <w:style w:type="character" w:styleId="Zdraznnintenzivn">
    <w:name w:val="Intense Emphasis"/>
    <w:uiPriority w:val="21"/>
    <w:qFormat/>
    <w:rsid w:val="00E151FB"/>
    <w:rPr>
      <w:b/>
      <w:bCs w:val="0"/>
      <w:spacing w:val="90"/>
      <w:sz w:val="32"/>
      <w:szCs w:val="28"/>
    </w:rPr>
  </w:style>
  <w:style w:type="paragraph" w:customStyle="1" w:styleId="mmstdcentr">
    <w:name w:val="mm std. centr"/>
    <w:basedOn w:val="mmstd"/>
    <w:next w:val="mmstd"/>
    <w:rsid w:val="009D469A"/>
    <w:pPr>
      <w:spacing w:before="120"/>
      <w:ind w:firstLine="0"/>
      <w:jc w:val="center"/>
    </w:pPr>
    <w:rPr>
      <w:spacing w:val="54"/>
    </w:rPr>
  </w:style>
  <w:style w:type="paragraph" w:customStyle="1" w:styleId="Zkladnsslovnm">
    <w:name w:val="Základní s číslováním"/>
    <w:basedOn w:val="Normln"/>
    <w:link w:val="ZkladnsslovnmChar"/>
    <w:qFormat/>
    <w:rsid w:val="00613CCF"/>
    <w:pPr>
      <w:numPr>
        <w:ilvl w:val="1"/>
        <w:numId w:val="4"/>
      </w:numPr>
      <w:tabs>
        <w:tab w:val="left" w:pos="709"/>
      </w:tabs>
      <w:jc w:val="both"/>
    </w:pPr>
    <w:rPr>
      <w:rFonts w:ascii="Garamond" w:hAnsi="Garamond"/>
    </w:rPr>
  </w:style>
  <w:style w:type="paragraph" w:customStyle="1" w:styleId="Styl2">
    <w:name w:val="Styl2"/>
    <w:basedOn w:val="Normln"/>
    <w:link w:val="Styl2Char"/>
    <w:qFormat/>
    <w:rsid w:val="00C60B6E"/>
    <w:pPr>
      <w:jc w:val="center"/>
    </w:pPr>
    <w:rPr>
      <w:rFonts w:ascii="Garamond" w:hAnsi="Garamond"/>
      <w:b/>
    </w:rPr>
  </w:style>
  <w:style w:type="character" w:customStyle="1" w:styleId="Styl2Char">
    <w:name w:val="Styl2 Char"/>
    <w:basedOn w:val="Standardnpsmoodstavce"/>
    <w:link w:val="Styl2"/>
    <w:rsid w:val="00C60B6E"/>
    <w:rPr>
      <w:rFonts w:ascii="Garamond" w:eastAsia="Times New Roman" w:hAnsi="Garamond" w:cs="Times New Roman"/>
      <w:b/>
      <w:sz w:val="24"/>
      <w:szCs w:val="24"/>
      <w:lang w:eastAsia="cs-CZ"/>
    </w:rPr>
  </w:style>
  <w:style w:type="paragraph" w:customStyle="1" w:styleId="NormlnGaramond">
    <w:name w:val="Normální Garamond"/>
    <w:basedOn w:val="Normln"/>
    <w:rsid w:val="00EE576E"/>
    <w:pPr>
      <w:ind w:firstLine="709"/>
      <w:jc w:val="both"/>
    </w:pPr>
    <w:rPr>
      <w:rFonts w:ascii="Garamond" w:hAnsi="Garamond"/>
    </w:rPr>
  </w:style>
  <w:style w:type="table" w:styleId="Mkatabulky">
    <w:name w:val="Table Grid"/>
    <w:basedOn w:val="Normlntabulka"/>
    <w:uiPriority w:val="59"/>
    <w:rsid w:val="00AC1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sslovnmChar">
    <w:name w:val="Základní s číslováním Char"/>
    <w:basedOn w:val="Standardnpsmoodstavce"/>
    <w:link w:val="Zkladnsslovnm"/>
    <w:qFormat/>
    <w:rsid w:val="00823C6F"/>
    <w:rPr>
      <w:rFonts w:ascii="Garamond" w:eastAsia="Times New Roman" w:hAnsi="Garamond" w:cs="Times New Roman"/>
      <w:sz w:val="24"/>
      <w:szCs w:val="24"/>
      <w:lang w:eastAsia="cs-CZ"/>
    </w:rPr>
  </w:style>
  <w:style w:type="character" w:customStyle="1" w:styleId="Nevyeenzmnka1">
    <w:name w:val="Nevyřešená zmínka1"/>
    <w:basedOn w:val="Standardnpsmoodstavce"/>
    <w:uiPriority w:val="99"/>
    <w:semiHidden/>
    <w:unhideWhenUsed/>
    <w:rsid w:val="00930DDD"/>
    <w:rPr>
      <w:color w:val="605E5C"/>
      <w:shd w:val="clear" w:color="auto" w:fill="E1DFDD"/>
    </w:rPr>
  </w:style>
  <w:style w:type="character" w:customStyle="1" w:styleId="Nadpis2Char">
    <w:name w:val="Nadpis 2 Char"/>
    <w:basedOn w:val="Standardnpsmoodstavce"/>
    <w:link w:val="Nadpis2"/>
    <w:uiPriority w:val="9"/>
    <w:rsid w:val="00D47B1F"/>
    <w:rPr>
      <w:rFonts w:asciiTheme="majorHAnsi" w:eastAsiaTheme="majorEastAsia" w:hAnsiTheme="majorHAnsi" w:cstheme="majorBidi"/>
      <w:color w:val="365F91" w:themeColor="accent1" w:themeShade="BF"/>
      <w:sz w:val="26"/>
      <w:szCs w:val="26"/>
    </w:rPr>
  </w:style>
  <w:style w:type="paragraph" w:styleId="Revize">
    <w:name w:val="Revision"/>
    <w:hidden/>
    <w:uiPriority w:val="99"/>
    <w:semiHidden/>
    <w:rsid w:val="00CF3329"/>
    <w:pPr>
      <w:spacing w:after="0"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6D7FD8"/>
    <w:rPr>
      <w:b/>
      <w:bCs/>
    </w:rPr>
  </w:style>
  <w:style w:type="character" w:customStyle="1" w:styleId="outputecli">
    <w:name w:val="outputecli"/>
    <w:basedOn w:val="Standardnpsmoodstavce"/>
    <w:rsid w:val="00060B5B"/>
  </w:style>
  <w:style w:type="character" w:styleId="Zdraznn">
    <w:name w:val="Emphasis"/>
    <w:basedOn w:val="Standardnpsmoodstavce"/>
    <w:uiPriority w:val="20"/>
    <w:qFormat/>
    <w:rsid w:val="00A02A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4382">
      <w:bodyDiv w:val="1"/>
      <w:marLeft w:val="0"/>
      <w:marRight w:val="0"/>
      <w:marTop w:val="0"/>
      <w:marBottom w:val="0"/>
      <w:divBdr>
        <w:top w:val="none" w:sz="0" w:space="0" w:color="auto"/>
        <w:left w:val="none" w:sz="0" w:space="0" w:color="auto"/>
        <w:bottom w:val="none" w:sz="0" w:space="0" w:color="auto"/>
        <w:right w:val="none" w:sz="0" w:space="0" w:color="auto"/>
      </w:divBdr>
    </w:div>
    <w:div w:id="38551017">
      <w:bodyDiv w:val="1"/>
      <w:marLeft w:val="0"/>
      <w:marRight w:val="0"/>
      <w:marTop w:val="0"/>
      <w:marBottom w:val="0"/>
      <w:divBdr>
        <w:top w:val="none" w:sz="0" w:space="0" w:color="auto"/>
        <w:left w:val="none" w:sz="0" w:space="0" w:color="auto"/>
        <w:bottom w:val="none" w:sz="0" w:space="0" w:color="auto"/>
        <w:right w:val="none" w:sz="0" w:space="0" w:color="auto"/>
      </w:divBdr>
    </w:div>
    <w:div w:id="180439658">
      <w:bodyDiv w:val="1"/>
      <w:marLeft w:val="0"/>
      <w:marRight w:val="0"/>
      <w:marTop w:val="0"/>
      <w:marBottom w:val="0"/>
      <w:divBdr>
        <w:top w:val="none" w:sz="0" w:space="0" w:color="auto"/>
        <w:left w:val="none" w:sz="0" w:space="0" w:color="auto"/>
        <w:bottom w:val="none" w:sz="0" w:space="0" w:color="auto"/>
        <w:right w:val="none" w:sz="0" w:space="0" w:color="auto"/>
      </w:divBdr>
    </w:div>
    <w:div w:id="221336140">
      <w:bodyDiv w:val="1"/>
      <w:marLeft w:val="0"/>
      <w:marRight w:val="0"/>
      <w:marTop w:val="0"/>
      <w:marBottom w:val="0"/>
      <w:divBdr>
        <w:top w:val="none" w:sz="0" w:space="0" w:color="auto"/>
        <w:left w:val="none" w:sz="0" w:space="0" w:color="auto"/>
        <w:bottom w:val="none" w:sz="0" w:space="0" w:color="auto"/>
        <w:right w:val="none" w:sz="0" w:space="0" w:color="auto"/>
      </w:divBdr>
    </w:div>
    <w:div w:id="311913750">
      <w:bodyDiv w:val="1"/>
      <w:marLeft w:val="0"/>
      <w:marRight w:val="0"/>
      <w:marTop w:val="0"/>
      <w:marBottom w:val="0"/>
      <w:divBdr>
        <w:top w:val="none" w:sz="0" w:space="0" w:color="auto"/>
        <w:left w:val="none" w:sz="0" w:space="0" w:color="auto"/>
        <w:bottom w:val="none" w:sz="0" w:space="0" w:color="auto"/>
        <w:right w:val="none" w:sz="0" w:space="0" w:color="auto"/>
      </w:divBdr>
    </w:div>
    <w:div w:id="393044567">
      <w:bodyDiv w:val="1"/>
      <w:marLeft w:val="0"/>
      <w:marRight w:val="0"/>
      <w:marTop w:val="0"/>
      <w:marBottom w:val="0"/>
      <w:divBdr>
        <w:top w:val="none" w:sz="0" w:space="0" w:color="auto"/>
        <w:left w:val="none" w:sz="0" w:space="0" w:color="auto"/>
        <w:bottom w:val="none" w:sz="0" w:space="0" w:color="auto"/>
        <w:right w:val="none" w:sz="0" w:space="0" w:color="auto"/>
      </w:divBdr>
      <w:divsChild>
        <w:div w:id="758218051">
          <w:marLeft w:val="0"/>
          <w:marRight w:val="0"/>
          <w:marTop w:val="0"/>
          <w:marBottom w:val="0"/>
          <w:divBdr>
            <w:top w:val="none" w:sz="0" w:space="0" w:color="auto"/>
            <w:left w:val="none" w:sz="0" w:space="0" w:color="auto"/>
            <w:bottom w:val="none" w:sz="0" w:space="0" w:color="auto"/>
            <w:right w:val="none" w:sz="0" w:space="0" w:color="auto"/>
          </w:divBdr>
          <w:divsChild>
            <w:div w:id="1109817567">
              <w:marLeft w:val="0"/>
              <w:marRight w:val="0"/>
              <w:marTop w:val="0"/>
              <w:marBottom w:val="0"/>
              <w:divBdr>
                <w:top w:val="none" w:sz="0" w:space="0" w:color="auto"/>
                <w:left w:val="none" w:sz="0" w:space="0" w:color="auto"/>
                <w:bottom w:val="none" w:sz="0" w:space="0" w:color="auto"/>
                <w:right w:val="none" w:sz="0" w:space="0" w:color="auto"/>
              </w:divBdr>
              <w:divsChild>
                <w:div w:id="155696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01634">
      <w:bodyDiv w:val="1"/>
      <w:marLeft w:val="0"/>
      <w:marRight w:val="0"/>
      <w:marTop w:val="0"/>
      <w:marBottom w:val="0"/>
      <w:divBdr>
        <w:top w:val="none" w:sz="0" w:space="0" w:color="auto"/>
        <w:left w:val="none" w:sz="0" w:space="0" w:color="auto"/>
        <w:bottom w:val="none" w:sz="0" w:space="0" w:color="auto"/>
        <w:right w:val="none" w:sz="0" w:space="0" w:color="auto"/>
      </w:divBdr>
    </w:div>
    <w:div w:id="478964159">
      <w:bodyDiv w:val="1"/>
      <w:marLeft w:val="0"/>
      <w:marRight w:val="0"/>
      <w:marTop w:val="0"/>
      <w:marBottom w:val="0"/>
      <w:divBdr>
        <w:top w:val="none" w:sz="0" w:space="0" w:color="auto"/>
        <w:left w:val="none" w:sz="0" w:space="0" w:color="auto"/>
        <w:bottom w:val="none" w:sz="0" w:space="0" w:color="auto"/>
        <w:right w:val="none" w:sz="0" w:space="0" w:color="auto"/>
      </w:divBdr>
    </w:div>
    <w:div w:id="652831701">
      <w:bodyDiv w:val="1"/>
      <w:marLeft w:val="0"/>
      <w:marRight w:val="0"/>
      <w:marTop w:val="0"/>
      <w:marBottom w:val="0"/>
      <w:divBdr>
        <w:top w:val="none" w:sz="0" w:space="0" w:color="auto"/>
        <w:left w:val="none" w:sz="0" w:space="0" w:color="auto"/>
        <w:bottom w:val="none" w:sz="0" w:space="0" w:color="auto"/>
        <w:right w:val="none" w:sz="0" w:space="0" w:color="auto"/>
      </w:divBdr>
    </w:div>
    <w:div w:id="678889918">
      <w:bodyDiv w:val="1"/>
      <w:marLeft w:val="0"/>
      <w:marRight w:val="0"/>
      <w:marTop w:val="0"/>
      <w:marBottom w:val="0"/>
      <w:divBdr>
        <w:top w:val="none" w:sz="0" w:space="0" w:color="auto"/>
        <w:left w:val="none" w:sz="0" w:space="0" w:color="auto"/>
        <w:bottom w:val="none" w:sz="0" w:space="0" w:color="auto"/>
        <w:right w:val="none" w:sz="0" w:space="0" w:color="auto"/>
      </w:divBdr>
    </w:div>
    <w:div w:id="700783934">
      <w:bodyDiv w:val="1"/>
      <w:marLeft w:val="0"/>
      <w:marRight w:val="0"/>
      <w:marTop w:val="0"/>
      <w:marBottom w:val="0"/>
      <w:divBdr>
        <w:top w:val="none" w:sz="0" w:space="0" w:color="auto"/>
        <w:left w:val="none" w:sz="0" w:space="0" w:color="auto"/>
        <w:bottom w:val="none" w:sz="0" w:space="0" w:color="auto"/>
        <w:right w:val="none" w:sz="0" w:space="0" w:color="auto"/>
      </w:divBdr>
    </w:div>
    <w:div w:id="904145658">
      <w:bodyDiv w:val="1"/>
      <w:marLeft w:val="0"/>
      <w:marRight w:val="0"/>
      <w:marTop w:val="0"/>
      <w:marBottom w:val="0"/>
      <w:divBdr>
        <w:top w:val="none" w:sz="0" w:space="0" w:color="auto"/>
        <w:left w:val="none" w:sz="0" w:space="0" w:color="auto"/>
        <w:bottom w:val="none" w:sz="0" w:space="0" w:color="auto"/>
        <w:right w:val="none" w:sz="0" w:space="0" w:color="auto"/>
      </w:divBdr>
    </w:div>
    <w:div w:id="966618096">
      <w:bodyDiv w:val="1"/>
      <w:marLeft w:val="0"/>
      <w:marRight w:val="0"/>
      <w:marTop w:val="0"/>
      <w:marBottom w:val="0"/>
      <w:divBdr>
        <w:top w:val="none" w:sz="0" w:space="0" w:color="auto"/>
        <w:left w:val="none" w:sz="0" w:space="0" w:color="auto"/>
        <w:bottom w:val="none" w:sz="0" w:space="0" w:color="auto"/>
        <w:right w:val="none" w:sz="0" w:space="0" w:color="auto"/>
      </w:divBdr>
    </w:div>
    <w:div w:id="981348247">
      <w:bodyDiv w:val="1"/>
      <w:marLeft w:val="0"/>
      <w:marRight w:val="0"/>
      <w:marTop w:val="0"/>
      <w:marBottom w:val="0"/>
      <w:divBdr>
        <w:top w:val="none" w:sz="0" w:space="0" w:color="auto"/>
        <w:left w:val="none" w:sz="0" w:space="0" w:color="auto"/>
        <w:bottom w:val="none" w:sz="0" w:space="0" w:color="auto"/>
        <w:right w:val="none" w:sz="0" w:space="0" w:color="auto"/>
      </w:divBdr>
    </w:div>
    <w:div w:id="1064988852">
      <w:bodyDiv w:val="1"/>
      <w:marLeft w:val="0"/>
      <w:marRight w:val="0"/>
      <w:marTop w:val="0"/>
      <w:marBottom w:val="0"/>
      <w:divBdr>
        <w:top w:val="none" w:sz="0" w:space="0" w:color="auto"/>
        <w:left w:val="none" w:sz="0" w:space="0" w:color="auto"/>
        <w:bottom w:val="none" w:sz="0" w:space="0" w:color="auto"/>
        <w:right w:val="none" w:sz="0" w:space="0" w:color="auto"/>
      </w:divBdr>
    </w:div>
    <w:div w:id="1190215797">
      <w:bodyDiv w:val="1"/>
      <w:marLeft w:val="0"/>
      <w:marRight w:val="0"/>
      <w:marTop w:val="0"/>
      <w:marBottom w:val="0"/>
      <w:divBdr>
        <w:top w:val="none" w:sz="0" w:space="0" w:color="auto"/>
        <w:left w:val="none" w:sz="0" w:space="0" w:color="auto"/>
        <w:bottom w:val="none" w:sz="0" w:space="0" w:color="auto"/>
        <w:right w:val="none" w:sz="0" w:space="0" w:color="auto"/>
      </w:divBdr>
    </w:div>
    <w:div w:id="1305159290">
      <w:bodyDiv w:val="1"/>
      <w:marLeft w:val="0"/>
      <w:marRight w:val="0"/>
      <w:marTop w:val="0"/>
      <w:marBottom w:val="0"/>
      <w:divBdr>
        <w:top w:val="none" w:sz="0" w:space="0" w:color="auto"/>
        <w:left w:val="none" w:sz="0" w:space="0" w:color="auto"/>
        <w:bottom w:val="none" w:sz="0" w:space="0" w:color="auto"/>
        <w:right w:val="none" w:sz="0" w:space="0" w:color="auto"/>
      </w:divBdr>
    </w:div>
    <w:div w:id="1336884774">
      <w:bodyDiv w:val="1"/>
      <w:marLeft w:val="0"/>
      <w:marRight w:val="0"/>
      <w:marTop w:val="0"/>
      <w:marBottom w:val="0"/>
      <w:divBdr>
        <w:top w:val="none" w:sz="0" w:space="0" w:color="auto"/>
        <w:left w:val="none" w:sz="0" w:space="0" w:color="auto"/>
        <w:bottom w:val="none" w:sz="0" w:space="0" w:color="auto"/>
        <w:right w:val="none" w:sz="0" w:space="0" w:color="auto"/>
      </w:divBdr>
    </w:div>
    <w:div w:id="1376153515">
      <w:bodyDiv w:val="1"/>
      <w:marLeft w:val="0"/>
      <w:marRight w:val="0"/>
      <w:marTop w:val="0"/>
      <w:marBottom w:val="0"/>
      <w:divBdr>
        <w:top w:val="none" w:sz="0" w:space="0" w:color="auto"/>
        <w:left w:val="none" w:sz="0" w:space="0" w:color="auto"/>
        <w:bottom w:val="none" w:sz="0" w:space="0" w:color="auto"/>
        <w:right w:val="none" w:sz="0" w:space="0" w:color="auto"/>
      </w:divBdr>
    </w:div>
    <w:div w:id="1415668188">
      <w:bodyDiv w:val="1"/>
      <w:marLeft w:val="0"/>
      <w:marRight w:val="0"/>
      <w:marTop w:val="0"/>
      <w:marBottom w:val="0"/>
      <w:divBdr>
        <w:top w:val="none" w:sz="0" w:space="0" w:color="auto"/>
        <w:left w:val="none" w:sz="0" w:space="0" w:color="auto"/>
        <w:bottom w:val="none" w:sz="0" w:space="0" w:color="auto"/>
        <w:right w:val="none" w:sz="0" w:space="0" w:color="auto"/>
      </w:divBdr>
    </w:div>
    <w:div w:id="1487667897">
      <w:bodyDiv w:val="1"/>
      <w:marLeft w:val="0"/>
      <w:marRight w:val="0"/>
      <w:marTop w:val="0"/>
      <w:marBottom w:val="0"/>
      <w:divBdr>
        <w:top w:val="none" w:sz="0" w:space="0" w:color="auto"/>
        <w:left w:val="none" w:sz="0" w:space="0" w:color="auto"/>
        <w:bottom w:val="none" w:sz="0" w:space="0" w:color="auto"/>
        <w:right w:val="none" w:sz="0" w:space="0" w:color="auto"/>
      </w:divBdr>
    </w:div>
    <w:div w:id="1492939484">
      <w:bodyDiv w:val="1"/>
      <w:marLeft w:val="0"/>
      <w:marRight w:val="0"/>
      <w:marTop w:val="0"/>
      <w:marBottom w:val="0"/>
      <w:divBdr>
        <w:top w:val="none" w:sz="0" w:space="0" w:color="auto"/>
        <w:left w:val="none" w:sz="0" w:space="0" w:color="auto"/>
        <w:bottom w:val="none" w:sz="0" w:space="0" w:color="auto"/>
        <w:right w:val="none" w:sz="0" w:space="0" w:color="auto"/>
      </w:divBdr>
    </w:div>
    <w:div w:id="1516844225">
      <w:bodyDiv w:val="1"/>
      <w:marLeft w:val="0"/>
      <w:marRight w:val="0"/>
      <w:marTop w:val="0"/>
      <w:marBottom w:val="0"/>
      <w:divBdr>
        <w:top w:val="none" w:sz="0" w:space="0" w:color="auto"/>
        <w:left w:val="none" w:sz="0" w:space="0" w:color="auto"/>
        <w:bottom w:val="none" w:sz="0" w:space="0" w:color="auto"/>
        <w:right w:val="none" w:sz="0" w:space="0" w:color="auto"/>
      </w:divBdr>
    </w:div>
    <w:div w:id="1532493999">
      <w:bodyDiv w:val="1"/>
      <w:marLeft w:val="0"/>
      <w:marRight w:val="0"/>
      <w:marTop w:val="0"/>
      <w:marBottom w:val="0"/>
      <w:divBdr>
        <w:top w:val="none" w:sz="0" w:space="0" w:color="auto"/>
        <w:left w:val="none" w:sz="0" w:space="0" w:color="auto"/>
        <w:bottom w:val="none" w:sz="0" w:space="0" w:color="auto"/>
        <w:right w:val="none" w:sz="0" w:space="0" w:color="auto"/>
      </w:divBdr>
    </w:div>
    <w:div w:id="1556548890">
      <w:bodyDiv w:val="1"/>
      <w:marLeft w:val="0"/>
      <w:marRight w:val="0"/>
      <w:marTop w:val="0"/>
      <w:marBottom w:val="0"/>
      <w:divBdr>
        <w:top w:val="none" w:sz="0" w:space="0" w:color="auto"/>
        <w:left w:val="none" w:sz="0" w:space="0" w:color="auto"/>
        <w:bottom w:val="none" w:sz="0" w:space="0" w:color="auto"/>
        <w:right w:val="none" w:sz="0" w:space="0" w:color="auto"/>
      </w:divBdr>
    </w:div>
    <w:div w:id="1612854499">
      <w:bodyDiv w:val="1"/>
      <w:marLeft w:val="0"/>
      <w:marRight w:val="0"/>
      <w:marTop w:val="0"/>
      <w:marBottom w:val="0"/>
      <w:divBdr>
        <w:top w:val="none" w:sz="0" w:space="0" w:color="auto"/>
        <w:left w:val="none" w:sz="0" w:space="0" w:color="auto"/>
        <w:bottom w:val="none" w:sz="0" w:space="0" w:color="auto"/>
        <w:right w:val="none" w:sz="0" w:space="0" w:color="auto"/>
      </w:divBdr>
    </w:div>
    <w:div w:id="1625042258">
      <w:bodyDiv w:val="1"/>
      <w:marLeft w:val="0"/>
      <w:marRight w:val="0"/>
      <w:marTop w:val="0"/>
      <w:marBottom w:val="0"/>
      <w:divBdr>
        <w:top w:val="none" w:sz="0" w:space="0" w:color="auto"/>
        <w:left w:val="none" w:sz="0" w:space="0" w:color="auto"/>
        <w:bottom w:val="none" w:sz="0" w:space="0" w:color="auto"/>
        <w:right w:val="none" w:sz="0" w:space="0" w:color="auto"/>
      </w:divBdr>
    </w:div>
    <w:div w:id="1663775953">
      <w:bodyDiv w:val="1"/>
      <w:marLeft w:val="0"/>
      <w:marRight w:val="0"/>
      <w:marTop w:val="0"/>
      <w:marBottom w:val="0"/>
      <w:divBdr>
        <w:top w:val="none" w:sz="0" w:space="0" w:color="auto"/>
        <w:left w:val="none" w:sz="0" w:space="0" w:color="auto"/>
        <w:bottom w:val="none" w:sz="0" w:space="0" w:color="auto"/>
        <w:right w:val="none" w:sz="0" w:space="0" w:color="auto"/>
      </w:divBdr>
    </w:div>
    <w:div w:id="1730300181">
      <w:bodyDiv w:val="1"/>
      <w:marLeft w:val="0"/>
      <w:marRight w:val="0"/>
      <w:marTop w:val="0"/>
      <w:marBottom w:val="0"/>
      <w:divBdr>
        <w:top w:val="none" w:sz="0" w:space="0" w:color="auto"/>
        <w:left w:val="none" w:sz="0" w:space="0" w:color="auto"/>
        <w:bottom w:val="none" w:sz="0" w:space="0" w:color="auto"/>
        <w:right w:val="none" w:sz="0" w:space="0" w:color="auto"/>
      </w:divBdr>
      <w:divsChild>
        <w:div w:id="988557144">
          <w:marLeft w:val="600"/>
          <w:marRight w:val="0"/>
          <w:marTop w:val="80"/>
          <w:marBottom w:val="0"/>
          <w:divBdr>
            <w:top w:val="none" w:sz="0" w:space="0" w:color="auto"/>
            <w:left w:val="none" w:sz="0" w:space="0" w:color="auto"/>
            <w:bottom w:val="none" w:sz="0" w:space="0" w:color="auto"/>
            <w:right w:val="none" w:sz="0" w:space="0" w:color="auto"/>
          </w:divBdr>
        </w:div>
      </w:divsChild>
    </w:div>
    <w:div w:id="1781335957">
      <w:bodyDiv w:val="1"/>
      <w:marLeft w:val="0"/>
      <w:marRight w:val="0"/>
      <w:marTop w:val="0"/>
      <w:marBottom w:val="0"/>
      <w:divBdr>
        <w:top w:val="none" w:sz="0" w:space="0" w:color="auto"/>
        <w:left w:val="none" w:sz="0" w:space="0" w:color="auto"/>
        <w:bottom w:val="none" w:sz="0" w:space="0" w:color="auto"/>
        <w:right w:val="none" w:sz="0" w:space="0" w:color="auto"/>
      </w:divBdr>
    </w:div>
    <w:div w:id="1801223176">
      <w:bodyDiv w:val="1"/>
      <w:marLeft w:val="0"/>
      <w:marRight w:val="0"/>
      <w:marTop w:val="0"/>
      <w:marBottom w:val="0"/>
      <w:divBdr>
        <w:top w:val="none" w:sz="0" w:space="0" w:color="auto"/>
        <w:left w:val="none" w:sz="0" w:space="0" w:color="auto"/>
        <w:bottom w:val="none" w:sz="0" w:space="0" w:color="auto"/>
        <w:right w:val="none" w:sz="0" w:space="0" w:color="auto"/>
      </w:divBdr>
    </w:div>
    <w:div w:id="1803033182">
      <w:bodyDiv w:val="1"/>
      <w:marLeft w:val="0"/>
      <w:marRight w:val="0"/>
      <w:marTop w:val="0"/>
      <w:marBottom w:val="0"/>
      <w:divBdr>
        <w:top w:val="none" w:sz="0" w:space="0" w:color="auto"/>
        <w:left w:val="none" w:sz="0" w:space="0" w:color="auto"/>
        <w:bottom w:val="none" w:sz="0" w:space="0" w:color="auto"/>
        <w:right w:val="none" w:sz="0" w:space="0" w:color="auto"/>
      </w:divBdr>
    </w:div>
    <w:div w:id="2012564763">
      <w:bodyDiv w:val="1"/>
      <w:marLeft w:val="0"/>
      <w:marRight w:val="0"/>
      <w:marTop w:val="0"/>
      <w:marBottom w:val="0"/>
      <w:divBdr>
        <w:top w:val="none" w:sz="0" w:space="0" w:color="auto"/>
        <w:left w:val="none" w:sz="0" w:space="0" w:color="auto"/>
        <w:bottom w:val="none" w:sz="0" w:space="0" w:color="auto"/>
        <w:right w:val="none" w:sz="0" w:space="0" w:color="auto"/>
      </w:divBdr>
    </w:div>
    <w:div w:id="203739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A9D2432C90FF54686E01B26E40AA861" ma:contentTypeVersion="0" ma:contentTypeDescription="Vytvoří nový dokument" ma:contentTypeScope="" ma:versionID="39d76f62e13af19f95ed609b8ce1351a">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FF597-6108-494E-9F99-1B6FC14CEF3E}">
  <ds:schemaRefs>
    <ds:schemaRef ds:uri="http://schemas.microsoft.com/sharepoint/v3/contenttype/forms"/>
  </ds:schemaRefs>
</ds:datastoreItem>
</file>

<file path=customXml/itemProps2.xml><?xml version="1.0" encoding="utf-8"?>
<ds:datastoreItem xmlns:ds="http://schemas.openxmlformats.org/officeDocument/2006/customXml" ds:itemID="{C6C25E1C-BBFD-4A0A-AAA5-D211328F135C}">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B3AE4A42-E4AE-4627-9C2F-B5930E4BD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F38413F-DFF2-4F6A-8F43-A75FEAC04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8781</Words>
  <Characters>51811</Characters>
  <Application>Microsoft Office Word</Application>
  <DocSecurity>4</DocSecurity>
  <Lines>431</Lines>
  <Paragraphs>120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Matušková Anna Mgr.</dc:creator>
  <cp:lastModifiedBy>Matušková Anna Mgr.</cp:lastModifiedBy>
  <cp:revision>2</cp:revision>
  <cp:lastPrinted>2021-08-18T09:15:00Z</cp:lastPrinted>
  <dcterms:created xsi:type="dcterms:W3CDTF">2022-02-15T08:11:00Z</dcterms:created>
  <dcterms:modified xsi:type="dcterms:W3CDTF">2022-02-15T08:11:00Z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0x0101000A9D2432C90FF54686E01B26E40AA861</vt:lpwstr>
  </property>
</Properties>
</file>