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431" w:rsidRPr="007C5212" w:rsidRDefault="002B649D" w:rsidP="00961431">
      <w:pPr>
        <w:jc w:val="center"/>
        <w:rPr>
          <w:rFonts w:ascii="Garamond" w:hAnsi="Garamond"/>
        </w:rPr>
      </w:pPr>
      <w:bookmarkStart w:id="0" w:name="_GoBack"/>
      <w:bookmarkEnd w:id="0"/>
      <w:r w:rsidRPr="00672932">
        <w:rPr>
          <w:rFonts w:ascii="Garamond" w:hAnsi="Garamond"/>
          <w:noProof/>
        </w:rPr>
        <w:drawing>
          <wp:inline distT="0" distB="0" distL="0" distR="0">
            <wp:extent cx="1047750" cy="12477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47775"/>
                    </a:xfrm>
                    <a:prstGeom prst="rect">
                      <a:avLst/>
                    </a:prstGeom>
                    <a:noFill/>
                    <a:ln>
                      <a:noFill/>
                    </a:ln>
                  </pic:spPr>
                </pic:pic>
              </a:graphicData>
            </a:graphic>
          </wp:inline>
        </w:drawing>
      </w:r>
    </w:p>
    <w:p w:rsidR="00961431" w:rsidRPr="007C5212" w:rsidRDefault="00961431" w:rsidP="00961431">
      <w:pPr>
        <w:jc w:val="center"/>
        <w:rPr>
          <w:rFonts w:ascii="Garamond" w:hAnsi="Garamond"/>
          <w:sz w:val="28"/>
          <w:szCs w:val="28"/>
        </w:rPr>
      </w:pPr>
      <w:r w:rsidRPr="007C5212">
        <w:rPr>
          <w:rFonts w:ascii="Garamond" w:hAnsi="Garamond"/>
          <w:sz w:val="28"/>
          <w:szCs w:val="28"/>
        </w:rPr>
        <w:t>ČESKÁ REPUBLIKA</w:t>
      </w:r>
    </w:p>
    <w:p w:rsidR="00961431" w:rsidRPr="007C5212" w:rsidRDefault="00961431" w:rsidP="00961431">
      <w:pPr>
        <w:jc w:val="center"/>
        <w:rPr>
          <w:rFonts w:ascii="Garamond" w:hAnsi="Garamond"/>
        </w:rPr>
      </w:pPr>
    </w:p>
    <w:p w:rsidR="00961431" w:rsidRPr="007C5212" w:rsidRDefault="00961431" w:rsidP="00961431">
      <w:pPr>
        <w:jc w:val="center"/>
        <w:rPr>
          <w:rFonts w:ascii="Garamond" w:hAnsi="Garamond"/>
        </w:rPr>
      </w:pPr>
    </w:p>
    <w:p w:rsidR="00961431" w:rsidRPr="007C5212" w:rsidRDefault="00961431" w:rsidP="00961431">
      <w:pPr>
        <w:jc w:val="center"/>
        <w:rPr>
          <w:rFonts w:ascii="Garamond" w:hAnsi="Garamond"/>
          <w:b/>
          <w:sz w:val="32"/>
          <w:szCs w:val="32"/>
        </w:rPr>
      </w:pPr>
      <w:r w:rsidRPr="007C5212">
        <w:rPr>
          <w:rFonts w:ascii="Garamond" w:hAnsi="Garamond"/>
          <w:b/>
          <w:sz w:val="32"/>
          <w:szCs w:val="32"/>
        </w:rPr>
        <w:t>R O Z S U D E K</w:t>
      </w:r>
    </w:p>
    <w:p w:rsidR="00961431" w:rsidRPr="007C5212" w:rsidRDefault="00961431" w:rsidP="00961431">
      <w:pPr>
        <w:jc w:val="center"/>
        <w:rPr>
          <w:rFonts w:ascii="Garamond" w:hAnsi="Garamond"/>
          <w:b/>
          <w:sz w:val="32"/>
          <w:szCs w:val="32"/>
        </w:rPr>
      </w:pPr>
      <w:r w:rsidRPr="007C5212">
        <w:rPr>
          <w:rFonts w:ascii="Garamond" w:hAnsi="Garamond"/>
          <w:b/>
          <w:sz w:val="32"/>
          <w:szCs w:val="32"/>
        </w:rPr>
        <w:t>J M É N E M   R E P U B L I K Y</w:t>
      </w:r>
    </w:p>
    <w:p w:rsidR="00961431" w:rsidRPr="007C5212" w:rsidRDefault="00961431" w:rsidP="00961431">
      <w:pPr>
        <w:jc w:val="both"/>
        <w:rPr>
          <w:rFonts w:ascii="Garamond" w:hAnsi="Garamond"/>
        </w:rPr>
      </w:pPr>
    </w:p>
    <w:p w:rsidR="00961431" w:rsidRPr="007C5212" w:rsidRDefault="00961431" w:rsidP="00961431">
      <w:pPr>
        <w:jc w:val="both"/>
        <w:rPr>
          <w:rFonts w:ascii="Garamond" w:hAnsi="Garamond"/>
        </w:rPr>
      </w:pPr>
    </w:p>
    <w:p w:rsidR="00961431" w:rsidRPr="007C5212" w:rsidRDefault="00961431" w:rsidP="00961431">
      <w:pPr>
        <w:jc w:val="both"/>
        <w:rPr>
          <w:rFonts w:ascii="Garamond" w:hAnsi="Garamond"/>
        </w:rPr>
      </w:pPr>
      <w:r w:rsidRPr="00CE233B">
        <w:rPr>
          <w:rFonts w:ascii="Garamond" w:hAnsi="Garamond"/>
        </w:rPr>
        <w:t xml:space="preserve">Nejvyšší </w:t>
      </w:r>
      <w:r>
        <w:rPr>
          <w:rFonts w:ascii="Garamond" w:hAnsi="Garamond"/>
        </w:rPr>
        <w:t xml:space="preserve">správní soud rozhodl v senátu </w:t>
      </w:r>
      <w:r w:rsidRPr="00CA3780">
        <w:rPr>
          <w:rFonts w:ascii="Garamond" w:hAnsi="Garamond"/>
        </w:rPr>
        <w:t>složeném z předsedy JU</w:t>
      </w:r>
      <w:r w:rsidR="002C7240">
        <w:rPr>
          <w:rFonts w:ascii="Garamond" w:hAnsi="Garamond"/>
        </w:rPr>
        <w:t>Dr. Josefa Baxy, soudkyně JUDr. </w:t>
      </w:r>
      <w:r w:rsidRPr="00CA3780">
        <w:rPr>
          <w:rFonts w:ascii="Garamond" w:hAnsi="Garamond"/>
        </w:rPr>
        <w:t xml:space="preserve">Lenky Kaniové a soudce JUDr. Ivo Pospíšila v právní věci </w:t>
      </w:r>
      <w:r w:rsidR="00E87B59" w:rsidRPr="00CA3780">
        <w:rPr>
          <w:rFonts w:ascii="Garamond" w:hAnsi="Garamond"/>
        </w:rPr>
        <w:t>žalob</w:t>
      </w:r>
      <w:r w:rsidR="00E87B59">
        <w:rPr>
          <w:rFonts w:ascii="Garamond" w:hAnsi="Garamond"/>
        </w:rPr>
        <w:t>kyně</w:t>
      </w:r>
      <w:r w:rsidRPr="00CA3780">
        <w:rPr>
          <w:rFonts w:ascii="Garamond" w:hAnsi="Garamond"/>
        </w:rPr>
        <w:t xml:space="preserve">: </w:t>
      </w:r>
      <w:r w:rsidRPr="00951657">
        <w:rPr>
          <w:rFonts w:ascii="Garamond" w:hAnsi="Garamond"/>
          <w:b/>
        </w:rPr>
        <w:t>AGROBET CZ, s. r. o.</w:t>
      </w:r>
      <w:r w:rsidRPr="00951657">
        <w:rPr>
          <w:rFonts w:ascii="Garamond" w:hAnsi="Garamond"/>
        </w:rPr>
        <w:t>, se sídlem Kozinova 1, Poděbrady, zastoupen</w:t>
      </w:r>
      <w:r w:rsidR="002F17A1">
        <w:rPr>
          <w:rFonts w:ascii="Garamond" w:hAnsi="Garamond"/>
        </w:rPr>
        <w:t>a</w:t>
      </w:r>
      <w:r w:rsidRPr="00951657">
        <w:rPr>
          <w:rFonts w:ascii="Garamond" w:hAnsi="Garamond"/>
        </w:rPr>
        <w:t xml:space="preserve"> JUDr.</w:t>
      </w:r>
      <w:r w:rsidR="002C7240">
        <w:rPr>
          <w:rFonts w:ascii="Garamond" w:hAnsi="Garamond"/>
        </w:rPr>
        <w:t xml:space="preserve"> Milanem Jelínkem, advokátem se </w:t>
      </w:r>
      <w:r w:rsidRPr="00951657">
        <w:rPr>
          <w:rFonts w:ascii="Garamond" w:hAnsi="Garamond"/>
        </w:rPr>
        <w:t xml:space="preserve">sídlem Sokolovská 5/49, Praha 8, proti žalovanému: </w:t>
      </w:r>
      <w:r w:rsidRPr="00951657">
        <w:rPr>
          <w:rFonts w:ascii="Garamond" w:hAnsi="Garamond"/>
          <w:b/>
        </w:rPr>
        <w:t>Finanční úřad pro Středočeský kraj</w:t>
      </w:r>
      <w:r w:rsidR="002C7240">
        <w:rPr>
          <w:rFonts w:ascii="Garamond" w:hAnsi="Garamond"/>
        </w:rPr>
        <w:t>, se </w:t>
      </w:r>
      <w:r w:rsidRPr="00951657">
        <w:rPr>
          <w:rFonts w:ascii="Garamond" w:hAnsi="Garamond"/>
        </w:rPr>
        <w:t>sídlem Žitná 12, Praha 2, o žalobách na ochranu proti ne</w:t>
      </w:r>
      <w:r w:rsidR="002C7240">
        <w:rPr>
          <w:rFonts w:ascii="Garamond" w:hAnsi="Garamond"/>
        </w:rPr>
        <w:t>činnosti žalovaného, v řízení o </w:t>
      </w:r>
      <w:r w:rsidRPr="00951657">
        <w:rPr>
          <w:rFonts w:ascii="Garamond" w:hAnsi="Garamond"/>
        </w:rPr>
        <w:t>kasační stížnosti žalob</w:t>
      </w:r>
      <w:r w:rsidR="00E87B59">
        <w:rPr>
          <w:rFonts w:ascii="Garamond" w:hAnsi="Garamond"/>
        </w:rPr>
        <w:t>kyně</w:t>
      </w:r>
      <w:r w:rsidRPr="00951657">
        <w:rPr>
          <w:rFonts w:ascii="Garamond" w:hAnsi="Garamond"/>
        </w:rPr>
        <w:t xml:space="preserve"> proti rozsudku Krajského soudu v Pra</w:t>
      </w:r>
      <w:r w:rsidR="002C7240">
        <w:rPr>
          <w:rFonts w:ascii="Garamond" w:hAnsi="Garamond"/>
        </w:rPr>
        <w:t>ze ze dne 13. 6. 2017, č. j. 48 </w:t>
      </w:r>
      <w:r w:rsidRPr="00951657">
        <w:rPr>
          <w:rFonts w:ascii="Garamond" w:hAnsi="Garamond"/>
        </w:rPr>
        <w:t>Af 3/2017 – 34</w:t>
      </w:r>
      <w:r w:rsidRPr="00CA3780">
        <w:rPr>
          <w:rFonts w:ascii="Garamond" w:hAnsi="Garamond"/>
        </w:rPr>
        <w:t>,</w:t>
      </w:r>
    </w:p>
    <w:p w:rsidR="00961431" w:rsidRPr="007C5212" w:rsidRDefault="00961431" w:rsidP="00961431">
      <w:pPr>
        <w:jc w:val="both"/>
        <w:rPr>
          <w:rFonts w:ascii="Garamond" w:hAnsi="Garamond"/>
        </w:rPr>
      </w:pPr>
    </w:p>
    <w:p w:rsidR="00961431" w:rsidRPr="007C5212" w:rsidRDefault="00961431" w:rsidP="00961431">
      <w:pPr>
        <w:jc w:val="both"/>
        <w:rPr>
          <w:rFonts w:ascii="Garamond" w:hAnsi="Garamond"/>
        </w:rPr>
      </w:pPr>
    </w:p>
    <w:p w:rsidR="00961431" w:rsidRPr="007035B3" w:rsidRDefault="00961431" w:rsidP="00961431">
      <w:pPr>
        <w:jc w:val="center"/>
        <w:rPr>
          <w:rFonts w:ascii="Garamond" w:hAnsi="Garamond"/>
          <w:b/>
        </w:rPr>
      </w:pPr>
      <w:r w:rsidRPr="007035B3">
        <w:rPr>
          <w:rFonts w:ascii="Garamond" w:hAnsi="Garamond"/>
          <w:b/>
        </w:rPr>
        <w:t>t a k t o :</w:t>
      </w:r>
    </w:p>
    <w:p w:rsidR="00961431" w:rsidRDefault="00961431" w:rsidP="00961431">
      <w:pPr>
        <w:jc w:val="both"/>
        <w:rPr>
          <w:rFonts w:ascii="Garamond" w:hAnsi="Garamond"/>
        </w:rPr>
      </w:pPr>
    </w:p>
    <w:p w:rsidR="00450222" w:rsidRPr="007035B3" w:rsidRDefault="00450222" w:rsidP="00961431">
      <w:pPr>
        <w:jc w:val="both"/>
        <w:rPr>
          <w:rFonts w:ascii="Garamond" w:hAnsi="Garamond"/>
        </w:rPr>
      </w:pPr>
    </w:p>
    <w:p w:rsidR="00B867E5" w:rsidRDefault="00961431" w:rsidP="00961431">
      <w:pPr>
        <w:ind w:left="705" w:hanging="705"/>
        <w:jc w:val="both"/>
        <w:rPr>
          <w:rFonts w:ascii="Garamond" w:hAnsi="Garamond"/>
        </w:rPr>
      </w:pPr>
      <w:r w:rsidRPr="005D121E">
        <w:rPr>
          <w:rFonts w:ascii="Garamond" w:hAnsi="Garamond"/>
          <w:b/>
        </w:rPr>
        <w:t>I.</w:t>
      </w:r>
      <w:r>
        <w:rPr>
          <w:rFonts w:ascii="Garamond" w:hAnsi="Garamond"/>
        </w:rPr>
        <w:tab/>
      </w:r>
      <w:r w:rsidR="00B867E5">
        <w:rPr>
          <w:rFonts w:ascii="Garamond" w:hAnsi="Garamond"/>
        </w:rPr>
        <w:t>V řízení</w:t>
      </w:r>
      <w:r w:rsidR="00B867E5" w:rsidRPr="00C35B73">
        <w:rPr>
          <w:rFonts w:ascii="Garamond" w:hAnsi="Garamond"/>
          <w:b/>
          <w:spacing w:val="60"/>
        </w:rPr>
        <w:t xml:space="preserve"> </w:t>
      </w:r>
      <w:r w:rsidR="00B867E5" w:rsidRPr="00B867E5">
        <w:rPr>
          <w:rFonts w:ascii="Garamond" w:hAnsi="Garamond"/>
          <w:b/>
          <w:spacing w:val="60"/>
        </w:rPr>
        <w:t>se pokračuje</w:t>
      </w:r>
      <w:r w:rsidR="00B867E5">
        <w:rPr>
          <w:rFonts w:ascii="Garamond" w:hAnsi="Garamond"/>
        </w:rPr>
        <w:t>.</w:t>
      </w:r>
    </w:p>
    <w:p w:rsidR="00B867E5" w:rsidRDefault="00B867E5" w:rsidP="00961431">
      <w:pPr>
        <w:ind w:left="705" w:hanging="705"/>
        <w:jc w:val="both"/>
        <w:rPr>
          <w:rFonts w:ascii="Garamond" w:hAnsi="Garamond"/>
        </w:rPr>
      </w:pPr>
    </w:p>
    <w:p w:rsidR="00961431" w:rsidRPr="007035B3" w:rsidRDefault="00B867E5" w:rsidP="00961431">
      <w:pPr>
        <w:ind w:left="705" w:hanging="705"/>
        <w:jc w:val="both"/>
        <w:rPr>
          <w:rFonts w:ascii="Garamond" w:hAnsi="Garamond"/>
        </w:rPr>
      </w:pPr>
      <w:r w:rsidRPr="00B867E5">
        <w:rPr>
          <w:rFonts w:ascii="Garamond" w:hAnsi="Garamond"/>
          <w:b/>
        </w:rPr>
        <w:t>II.</w:t>
      </w:r>
      <w:r>
        <w:rPr>
          <w:rFonts w:ascii="Garamond" w:hAnsi="Garamond"/>
        </w:rPr>
        <w:tab/>
      </w:r>
      <w:r w:rsidR="00961431" w:rsidRPr="007035B3">
        <w:rPr>
          <w:rFonts w:ascii="Garamond" w:hAnsi="Garamond"/>
        </w:rPr>
        <w:t xml:space="preserve">Rozsudek </w:t>
      </w:r>
      <w:r w:rsidR="003323E5" w:rsidRPr="00951657">
        <w:rPr>
          <w:rFonts w:ascii="Garamond" w:hAnsi="Garamond"/>
        </w:rPr>
        <w:t>Kra</w:t>
      </w:r>
      <w:r w:rsidR="007C5CA7">
        <w:rPr>
          <w:rFonts w:ascii="Garamond" w:hAnsi="Garamond"/>
        </w:rPr>
        <w:t>jského soudu v Praze ze dne 13. 6. 2017, č. j. 48 Af 3/2017 – </w:t>
      </w:r>
      <w:r w:rsidR="003323E5" w:rsidRPr="00951657">
        <w:rPr>
          <w:rFonts w:ascii="Garamond" w:hAnsi="Garamond"/>
        </w:rPr>
        <w:t>34</w:t>
      </w:r>
      <w:r w:rsidR="00961431" w:rsidRPr="007035B3">
        <w:rPr>
          <w:rFonts w:ascii="Garamond" w:hAnsi="Garamond"/>
        </w:rPr>
        <w:t xml:space="preserve">, </w:t>
      </w:r>
      <w:r w:rsidR="00450222">
        <w:rPr>
          <w:rFonts w:ascii="Garamond" w:hAnsi="Garamond"/>
          <w:b/>
          <w:spacing w:val="60"/>
        </w:rPr>
        <w:t>se </w:t>
      </w:r>
      <w:r w:rsidR="00961431" w:rsidRPr="007035B3">
        <w:rPr>
          <w:rFonts w:ascii="Garamond" w:hAnsi="Garamond"/>
          <w:b/>
          <w:spacing w:val="60"/>
        </w:rPr>
        <w:t>ruší</w:t>
      </w:r>
      <w:r w:rsidR="00961431" w:rsidRPr="007035B3">
        <w:rPr>
          <w:rFonts w:ascii="Garamond" w:hAnsi="Garamond"/>
          <w:spacing w:val="60"/>
        </w:rPr>
        <w:t xml:space="preserve"> </w:t>
      </w:r>
      <w:r w:rsidR="00961431" w:rsidRPr="007035B3">
        <w:rPr>
          <w:rFonts w:ascii="Garamond" w:hAnsi="Garamond"/>
        </w:rPr>
        <w:t>a vě</w:t>
      </w:r>
      <w:r w:rsidR="00961431" w:rsidRPr="007035B3">
        <w:rPr>
          <w:rFonts w:ascii="Garamond" w:hAnsi="Garamond"/>
          <w:spacing w:val="60"/>
        </w:rPr>
        <w:t xml:space="preserve">c </w:t>
      </w:r>
      <w:r w:rsidR="00961431" w:rsidRPr="007035B3">
        <w:rPr>
          <w:rFonts w:ascii="Garamond" w:hAnsi="Garamond"/>
          <w:b/>
          <w:spacing w:val="60"/>
        </w:rPr>
        <w:t>se vrací</w:t>
      </w:r>
      <w:r w:rsidR="00961431" w:rsidRPr="007035B3">
        <w:rPr>
          <w:rFonts w:ascii="Garamond" w:hAnsi="Garamond"/>
          <w:spacing w:val="60"/>
        </w:rPr>
        <w:t xml:space="preserve"> </w:t>
      </w:r>
      <w:r w:rsidR="00961431" w:rsidRPr="007035B3">
        <w:rPr>
          <w:rFonts w:ascii="Garamond" w:hAnsi="Garamond"/>
        </w:rPr>
        <w:t>tomuto soudu k dalšímu řízení.</w:t>
      </w:r>
    </w:p>
    <w:p w:rsidR="0011650B" w:rsidRPr="00951657" w:rsidRDefault="0011650B" w:rsidP="00951657">
      <w:pPr>
        <w:jc w:val="both"/>
        <w:rPr>
          <w:rFonts w:ascii="Garamond" w:hAnsi="Garamond"/>
          <w:bCs/>
        </w:rPr>
      </w:pPr>
    </w:p>
    <w:p w:rsidR="0011650B" w:rsidRPr="00951657" w:rsidRDefault="0011650B" w:rsidP="00951657">
      <w:pPr>
        <w:jc w:val="both"/>
        <w:rPr>
          <w:rFonts w:ascii="Garamond" w:hAnsi="Garamond"/>
          <w:bCs/>
        </w:rPr>
      </w:pPr>
    </w:p>
    <w:p w:rsidR="00450222" w:rsidRPr="006A046C" w:rsidRDefault="00450222" w:rsidP="00450222">
      <w:pPr>
        <w:jc w:val="center"/>
        <w:rPr>
          <w:rFonts w:ascii="Garamond" w:hAnsi="Garamond"/>
          <w:b/>
          <w:spacing w:val="60"/>
          <w:sz w:val="28"/>
        </w:rPr>
      </w:pPr>
      <w:r w:rsidRPr="006A046C">
        <w:rPr>
          <w:rFonts w:ascii="Garamond" w:hAnsi="Garamond"/>
          <w:b/>
          <w:spacing w:val="60"/>
          <w:sz w:val="28"/>
        </w:rPr>
        <w:t>Odůvodnění:</w:t>
      </w:r>
    </w:p>
    <w:p w:rsidR="0011650B" w:rsidRPr="00450222" w:rsidRDefault="0011650B" w:rsidP="00951657">
      <w:pPr>
        <w:ind w:left="1416" w:hanging="1416"/>
        <w:jc w:val="center"/>
        <w:outlineLvl w:val="0"/>
        <w:rPr>
          <w:rFonts w:ascii="Garamond" w:hAnsi="Garamond"/>
          <w:b/>
          <w:szCs w:val="28"/>
        </w:rPr>
      </w:pPr>
    </w:p>
    <w:p w:rsidR="00450222" w:rsidRPr="00450222" w:rsidRDefault="00450222" w:rsidP="00951657">
      <w:pPr>
        <w:ind w:left="1416" w:hanging="1416"/>
        <w:jc w:val="center"/>
        <w:outlineLvl w:val="0"/>
        <w:rPr>
          <w:rFonts w:ascii="Garamond" w:hAnsi="Garamond"/>
          <w:b/>
          <w:szCs w:val="28"/>
        </w:rPr>
      </w:pPr>
    </w:p>
    <w:p w:rsidR="0011650B" w:rsidRPr="00951657" w:rsidRDefault="0011650B" w:rsidP="00951657">
      <w:pPr>
        <w:pStyle w:val="Odstavecseseznamem"/>
        <w:numPr>
          <w:ilvl w:val="0"/>
          <w:numId w:val="3"/>
        </w:numPr>
        <w:jc w:val="center"/>
        <w:outlineLvl w:val="0"/>
        <w:rPr>
          <w:rFonts w:ascii="Garamond" w:hAnsi="Garamond"/>
          <w:b/>
        </w:rPr>
      </w:pPr>
      <w:r w:rsidRPr="00951657">
        <w:rPr>
          <w:rFonts w:ascii="Garamond" w:hAnsi="Garamond"/>
          <w:b/>
        </w:rPr>
        <w:t>Předmět řízení a předchozí procesní vývoj</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Žalobkyně podala dne 1. 2. 2016 přiznání k dani z přid</w:t>
      </w:r>
      <w:r w:rsidR="00951657">
        <w:rPr>
          <w:rFonts w:ascii="Garamond" w:hAnsi="Garamond"/>
        </w:rPr>
        <w:t>ané hodnoty (dále jen „DPH“) za </w:t>
      </w:r>
      <w:r w:rsidRPr="00951657">
        <w:rPr>
          <w:rFonts w:ascii="Garamond" w:hAnsi="Garamond"/>
        </w:rPr>
        <w:t>zdaňovací období prosinec 2015, v němž vyká</w:t>
      </w:r>
      <w:r w:rsidR="00951657">
        <w:rPr>
          <w:rFonts w:ascii="Garamond" w:hAnsi="Garamond"/>
        </w:rPr>
        <w:t>zala nadměrný odpočet ve výši 2.958.167 Kč. Dne 19. 2. </w:t>
      </w:r>
      <w:r w:rsidRPr="00951657">
        <w:rPr>
          <w:rFonts w:ascii="Garamond" w:hAnsi="Garamond"/>
        </w:rPr>
        <w:t xml:space="preserve">2016 s ní žalovaný sepsal protokol o zahájení daňové kontroly a vyměřovacího řízení, podle kterého je předmětem daňové kontroly řádné daňové tvrzení k DPH </w:t>
      </w:r>
      <w:r w:rsidRPr="00951657">
        <w:rPr>
          <w:rFonts w:ascii="Garamond" w:hAnsi="Garamond"/>
          <w:i/>
        </w:rPr>
        <w:t>„</w:t>
      </w:r>
      <w:r w:rsidR="00951657">
        <w:rPr>
          <w:rFonts w:ascii="Garamond" w:hAnsi="Garamond"/>
          <w:i/>
        </w:rPr>
        <w:t>za zdaňovací období prosinec r. </w:t>
      </w:r>
      <w:r w:rsidRPr="00951657">
        <w:rPr>
          <w:rFonts w:ascii="Garamond" w:hAnsi="Garamond"/>
          <w:i/>
        </w:rPr>
        <w:t>2015 v rozsahu obchodu s komoditou řepkový olej“</w:t>
      </w:r>
      <w:r w:rsidRPr="00951657">
        <w:rPr>
          <w:rFonts w:ascii="Garamond" w:hAnsi="Garamond"/>
        </w:rPr>
        <w:t>. Rozsah kontroly byl vymezen jako: všechny skutečnosti rozhodné pro správné zjištění a stanovení v předmětu daňové kontroly vymezené daně za zdaňovací období prosinec 2015. Žalovaný n</w:t>
      </w:r>
      <w:r w:rsidR="00951657">
        <w:rPr>
          <w:rFonts w:ascii="Garamond" w:hAnsi="Garamond"/>
        </w:rPr>
        <w:t>a žádost žalobkyně upřesnil, že </w:t>
      </w:r>
      <w:r w:rsidRPr="00951657">
        <w:rPr>
          <w:rFonts w:ascii="Garamond" w:hAnsi="Garamond"/>
        </w:rPr>
        <w:t xml:space="preserve">bude komplexněji prověřovat obchod s komoditou řepkový olej a že chce také ověřit správnost zařazení komodity do základní sazby daně.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Dne 24. 2. 2016 žalobkyně podala přiznání k DPH za leden 2016, v němž vyká</w:t>
      </w:r>
      <w:r w:rsidR="00FD4070">
        <w:rPr>
          <w:rFonts w:ascii="Garamond" w:hAnsi="Garamond"/>
        </w:rPr>
        <w:t>zala nadměrný odpočet ve výši 1.559.241 </w:t>
      </w:r>
      <w:r w:rsidRPr="00951657">
        <w:rPr>
          <w:rFonts w:ascii="Garamond" w:hAnsi="Garamond"/>
        </w:rPr>
        <w:t xml:space="preserve">Kč. Dne 1. 4. 2016 zahájil žalovaný s žalobkyní daňovou kontrolu a vyměřovací řízení, přičemž dle protokolu o zahájení daňové kontroly je jejím </w:t>
      </w:r>
      <w:r w:rsidRPr="00951657">
        <w:rPr>
          <w:rFonts w:ascii="Garamond" w:hAnsi="Garamond"/>
        </w:rPr>
        <w:lastRenderedPageBreak/>
        <w:t xml:space="preserve">předmětem řádné daňové tvrzení k DPH </w:t>
      </w:r>
      <w:r w:rsidRPr="00951657">
        <w:rPr>
          <w:rFonts w:ascii="Garamond" w:hAnsi="Garamond"/>
          <w:i/>
        </w:rPr>
        <w:t>„za zdaňovací období le</w:t>
      </w:r>
      <w:r w:rsidR="00951657">
        <w:rPr>
          <w:rFonts w:ascii="Garamond" w:hAnsi="Garamond"/>
          <w:i/>
        </w:rPr>
        <w:t>den r. 2016 v rozsahu obchodu s </w:t>
      </w:r>
      <w:r w:rsidRPr="00951657">
        <w:rPr>
          <w:rFonts w:ascii="Garamond" w:hAnsi="Garamond"/>
          <w:i/>
        </w:rPr>
        <w:t>komoditou řepkový olej“</w:t>
      </w:r>
      <w:r w:rsidRPr="00951657">
        <w:rPr>
          <w:rFonts w:ascii="Garamond" w:hAnsi="Garamond"/>
        </w:rPr>
        <w:t>. Jak</w:t>
      </w:r>
      <w:r w:rsidR="00B6260E" w:rsidRPr="00951657">
        <w:rPr>
          <w:rFonts w:ascii="Garamond" w:hAnsi="Garamond"/>
        </w:rPr>
        <w:t>o rozsah kontroly byly určeny</w:t>
      </w:r>
      <w:r w:rsidRPr="00951657">
        <w:rPr>
          <w:rFonts w:ascii="Garamond" w:hAnsi="Garamond"/>
        </w:rPr>
        <w:t xml:space="preserve"> v</w:t>
      </w:r>
      <w:r w:rsidR="00951657">
        <w:rPr>
          <w:rFonts w:ascii="Garamond" w:hAnsi="Garamond"/>
        </w:rPr>
        <w:t>šechny skutečnosti rozhodné pro </w:t>
      </w:r>
      <w:r w:rsidRPr="00951657">
        <w:rPr>
          <w:rFonts w:ascii="Garamond" w:hAnsi="Garamond"/>
        </w:rPr>
        <w:t xml:space="preserve">správné zjištění a stanovení v předmětu daňové kontroly vymezené daně za zdaňovací období leden 2016. K dotazům zástupce žalobkyně žalovaný sdělil, že má </w:t>
      </w:r>
      <w:r w:rsidRPr="00951657">
        <w:rPr>
          <w:rFonts w:ascii="Garamond" w:hAnsi="Garamond"/>
          <w:i/>
        </w:rPr>
        <w:t>„komplexní pochybnosti obecného charakteru, které spočívají v obchodu s řepkovým olejem“</w:t>
      </w:r>
      <w:r w:rsidRPr="00951657">
        <w:rPr>
          <w:rFonts w:ascii="Garamond" w:hAnsi="Garamond"/>
        </w:rPr>
        <w:t xml:space="preserve">, konkrétně pak, </w:t>
      </w:r>
      <w:r w:rsidRPr="00951657">
        <w:rPr>
          <w:rFonts w:ascii="Garamond" w:hAnsi="Garamond"/>
          <w:i/>
        </w:rPr>
        <w:t xml:space="preserve">„zda se dodávky uskutečnily, o jakou komoditu se jedná, zda byly dodávky uskutečněny </w:t>
      </w:r>
      <w:r w:rsidR="00951657">
        <w:rPr>
          <w:rFonts w:ascii="Garamond" w:hAnsi="Garamond"/>
          <w:i/>
        </w:rPr>
        <w:t>pro deklarované odběratele a od </w:t>
      </w:r>
      <w:r w:rsidRPr="00951657">
        <w:rPr>
          <w:rFonts w:ascii="Garamond" w:hAnsi="Garamond"/>
          <w:i/>
        </w:rPr>
        <w:t>dodavatelů“</w:t>
      </w:r>
      <w:r w:rsidRPr="00951657">
        <w:rPr>
          <w:rFonts w:ascii="Garamond" w:hAnsi="Garamond"/>
        </w:rPr>
        <w:t>. Žalovaný považoval za nestandardní jev to, že zboží je do České republiky dodáno z jiného členského státu a z tuzemska je opět dodáno do j</w:t>
      </w:r>
      <w:r w:rsidR="00951657">
        <w:rPr>
          <w:rFonts w:ascii="Garamond" w:hAnsi="Garamond"/>
        </w:rPr>
        <w:t>iného členského státu, což sice </w:t>
      </w:r>
      <w:r w:rsidRPr="00951657">
        <w:rPr>
          <w:rFonts w:ascii="Garamond" w:hAnsi="Garamond"/>
        </w:rPr>
        <w:t xml:space="preserve">není protiprávní, avšak je to důvodem pro prověření těchto transakcí.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Proti zahájení obou daňových kontrol po</w:t>
      </w:r>
      <w:r w:rsidR="00951657">
        <w:rPr>
          <w:rFonts w:ascii="Garamond" w:hAnsi="Garamond"/>
        </w:rPr>
        <w:t>dala žalobkyně stížnost podle § 261 odst. </w:t>
      </w:r>
      <w:r w:rsidRPr="00951657">
        <w:rPr>
          <w:rFonts w:ascii="Garamond" w:hAnsi="Garamond"/>
        </w:rPr>
        <w:t xml:space="preserve">1 zákona č. 280/2009 Sb., daňový řád, ve znění účinném do 31. 12. 2016 (dále jen „daňový řád“). Uvedla, že nadměrný odpočet jí byl zadržen opakovaně, ačkoliv </w:t>
      </w:r>
      <w:r w:rsidR="00951657">
        <w:rPr>
          <w:rFonts w:ascii="Garamond" w:hAnsi="Garamond"/>
        </w:rPr>
        <w:t>správce daně má pochybnosti jen </w:t>
      </w:r>
      <w:r w:rsidRPr="00951657">
        <w:rPr>
          <w:rFonts w:ascii="Garamond" w:hAnsi="Garamond"/>
        </w:rPr>
        <w:t xml:space="preserve">o menší části nárokovaného nadměrného odpočtu, což je pro žalobkyni neúměrně zatěžující. Žalovaný dle jejího názoru zvolil nesprávný kontrolní nástroj, </w:t>
      </w:r>
      <w:r w:rsidR="00951657">
        <w:rPr>
          <w:rFonts w:ascii="Garamond" w:hAnsi="Garamond"/>
        </w:rPr>
        <w:t>když zahájil daňovou kontrolu a </w:t>
      </w:r>
      <w:r w:rsidRPr="00951657">
        <w:rPr>
          <w:rFonts w:ascii="Garamond" w:hAnsi="Garamond"/>
        </w:rPr>
        <w:t>nevyzval žalobkyni k odstranění pochybností. Žalobkyně dále</w:t>
      </w:r>
      <w:r w:rsidR="00951657">
        <w:rPr>
          <w:rFonts w:ascii="Garamond" w:hAnsi="Garamond"/>
        </w:rPr>
        <w:t xml:space="preserve"> s odkazem na judikaturu SDEU </w:t>
      </w:r>
      <w:r w:rsidR="00951657">
        <w:rPr>
          <w:rFonts w:ascii="Garamond" w:hAnsi="Garamond"/>
        </w:rPr>
        <w:noBreakHyphen/>
        <w:t> </w:t>
      </w:r>
      <w:r w:rsidRPr="00951657">
        <w:rPr>
          <w:rFonts w:ascii="Garamond" w:hAnsi="Garamond"/>
        </w:rPr>
        <w:t xml:space="preserve">(C-107/10 </w:t>
      </w:r>
      <w:r w:rsidRPr="00951657">
        <w:rPr>
          <w:rFonts w:ascii="Garamond" w:hAnsi="Garamond"/>
          <w:i/>
        </w:rPr>
        <w:t>Enel Maritsa Iztok 3</w:t>
      </w:r>
      <w:r w:rsidRPr="00951657">
        <w:rPr>
          <w:rFonts w:ascii="Garamond" w:hAnsi="Garamond"/>
        </w:rPr>
        <w:t xml:space="preserve">, C-521/11 </w:t>
      </w:r>
      <w:r w:rsidRPr="00951657">
        <w:rPr>
          <w:rFonts w:ascii="Garamond" w:hAnsi="Garamond"/>
          <w:i/>
          <w:iCs/>
        </w:rPr>
        <w:t>Amazon</w:t>
      </w:r>
      <w:r w:rsidRPr="00951657">
        <w:rPr>
          <w:rFonts w:ascii="Garamond" w:hAnsi="Garamond"/>
        </w:rPr>
        <w:t>) na</w:t>
      </w:r>
      <w:r w:rsidR="00951657">
        <w:rPr>
          <w:rFonts w:ascii="Garamond" w:hAnsi="Garamond"/>
        </w:rPr>
        <w:t>mítala, že postup žalovaného je </w:t>
      </w:r>
      <w:r w:rsidRPr="00951657">
        <w:rPr>
          <w:rFonts w:ascii="Garamond" w:hAnsi="Garamond"/>
        </w:rPr>
        <w:t xml:space="preserve">neproporcionální ke sledovanému cíli a žádala neprodlené vyplacení nesporné části nadměrného odpočtu. Pokud pak žalovaný nepovažuje takový postup za možný, mělo dojít k zahájení daňové kontroly až poté, co by došlo k vyměření (a vyplacení) nadměrného odpočtu, čímž by byla žalobkyně ušetřena toho, aby nesla finanční rizika plynoucí ze zadržování již třetího, resp. čtvrtého nadměrného odpočtu v řadě.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 xml:space="preserve">Ze souvisejících řízení je soudu známo, že daňová kontrola </w:t>
      </w:r>
      <w:r w:rsidRPr="00951657">
        <w:rPr>
          <w:rFonts w:ascii="Garamond" w:hAnsi="Garamond"/>
          <w:sz w:val="26"/>
        </w:rPr>
        <w:t>(</w:t>
      </w:r>
      <w:r w:rsidRPr="00951657">
        <w:rPr>
          <w:rFonts w:ascii="Garamond" w:hAnsi="Garamond"/>
        </w:rPr>
        <w:t>eventuálně předcházená postupem k odstranění pochybností) byla se žalobkyní zaháj</w:t>
      </w:r>
      <w:r w:rsidR="00951657">
        <w:rPr>
          <w:rFonts w:ascii="Garamond" w:hAnsi="Garamond"/>
        </w:rPr>
        <w:t>ena již dříve také ve vztahu ke </w:t>
      </w:r>
      <w:r w:rsidRPr="00951657">
        <w:rPr>
          <w:rFonts w:ascii="Garamond" w:hAnsi="Garamond"/>
        </w:rPr>
        <w:t>zdaňovacím obdobím ř</w:t>
      </w:r>
      <w:r w:rsidR="00951657">
        <w:rPr>
          <w:rFonts w:ascii="Garamond" w:hAnsi="Garamond"/>
        </w:rPr>
        <w:t>íjen 2015 a listopad </w:t>
      </w:r>
      <w:r w:rsidR="00293068" w:rsidRPr="00951657">
        <w:rPr>
          <w:rFonts w:ascii="Garamond" w:hAnsi="Garamond"/>
        </w:rPr>
        <w:t>2015. Také z</w:t>
      </w:r>
      <w:r w:rsidR="00B6260E" w:rsidRPr="00951657">
        <w:rPr>
          <w:rFonts w:ascii="Garamond" w:hAnsi="Garamond"/>
        </w:rPr>
        <w:t>a ta</w:t>
      </w:r>
      <w:r w:rsidRPr="00951657">
        <w:rPr>
          <w:rFonts w:ascii="Garamond" w:hAnsi="Garamond"/>
        </w:rPr>
        <w:t xml:space="preserve">to období žalobkyni nebyl vyplacen jí deklarovaný nadměrný odpočet. </w:t>
      </w:r>
    </w:p>
    <w:p w:rsidR="0011650B" w:rsidRPr="00951657" w:rsidRDefault="00951657" w:rsidP="00951657">
      <w:pPr>
        <w:pStyle w:val="Odstavecseseznamem"/>
        <w:numPr>
          <w:ilvl w:val="0"/>
          <w:numId w:val="2"/>
        </w:numPr>
        <w:spacing w:before="240" w:after="240"/>
        <w:ind w:left="0" w:firstLine="0"/>
        <w:contextualSpacing w:val="0"/>
        <w:jc w:val="both"/>
        <w:rPr>
          <w:rFonts w:ascii="Garamond" w:hAnsi="Garamond"/>
        </w:rPr>
      </w:pPr>
      <w:r>
        <w:rPr>
          <w:rFonts w:ascii="Garamond" w:hAnsi="Garamond"/>
        </w:rPr>
        <w:t>Žalovaný ve dnech 11. 4. 2016 a 6. 5. </w:t>
      </w:r>
      <w:r w:rsidR="0011650B" w:rsidRPr="00951657">
        <w:rPr>
          <w:rFonts w:ascii="Garamond" w:hAnsi="Garamond"/>
        </w:rPr>
        <w:t>2016 žalobkyni vyrozuměl, že stížnosti neshledal důvodnými. Konstatoval, že prověřuje nejen samotné nákupy, ale i prodej surového řepkového oleje a že v průběhu postupu k odstranění pochybností za zdaňovací období říjen 2015 a daňové kontroly za listopad 2015 zjistil, že obchodovaný řepkový olej má původ v Polsku, v nezměněné podobě byl obchodován v tuzemsku a žalobkyní byl dodán opět do Polska, což u žalovaného vyvolává pochybnosti o deklarovaných obchodních transakcích a jejich dopadech z hlediska DPH. Při existenci těchto pochybností a z důvodu zahájené daň</w:t>
      </w:r>
      <w:r>
        <w:rPr>
          <w:rFonts w:ascii="Garamond" w:hAnsi="Garamond"/>
        </w:rPr>
        <w:t>ové kontroly je vyloučeno, aby </w:t>
      </w:r>
      <w:r w:rsidR="0011650B" w:rsidRPr="00951657">
        <w:rPr>
          <w:rFonts w:ascii="Garamond" w:hAnsi="Garamond"/>
        </w:rPr>
        <w:t>daň za tato zdaňovací období vyměřil.</w:t>
      </w:r>
    </w:p>
    <w:p w:rsidR="0011650B" w:rsidRPr="00951657" w:rsidRDefault="00951657" w:rsidP="00951657">
      <w:pPr>
        <w:pStyle w:val="Odstavecseseznamem"/>
        <w:numPr>
          <w:ilvl w:val="0"/>
          <w:numId w:val="2"/>
        </w:numPr>
        <w:spacing w:before="240" w:after="240"/>
        <w:ind w:left="0" w:firstLine="0"/>
        <w:contextualSpacing w:val="0"/>
        <w:jc w:val="both"/>
        <w:rPr>
          <w:rFonts w:ascii="Garamond" w:hAnsi="Garamond"/>
        </w:rPr>
      </w:pPr>
      <w:r>
        <w:rPr>
          <w:rFonts w:ascii="Garamond" w:hAnsi="Garamond"/>
        </w:rPr>
        <w:t>Žalobkyně posléze dne 4. 5. </w:t>
      </w:r>
      <w:r w:rsidR="00B6260E" w:rsidRPr="00951657">
        <w:rPr>
          <w:rFonts w:ascii="Garamond" w:hAnsi="Garamond"/>
        </w:rPr>
        <w:t xml:space="preserve">2016 </w:t>
      </w:r>
      <w:r>
        <w:rPr>
          <w:rFonts w:ascii="Garamond" w:hAnsi="Garamond"/>
        </w:rPr>
        <w:t>a 24. 5. </w:t>
      </w:r>
      <w:r w:rsidR="0011650B" w:rsidRPr="00951657">
        <w:rPr>
          <w:rFonts w:ascii="Garamond" w:hAnsi="Garamond"/>
        </w:rPr>
        <w:t>2016 požádala o prošetření způsobu vyříz</w:t>
      </w:r>
      <w:r>
        <w:rPr>
          <w:rFonts w:ascii="Garamond" w:hAnsi="Garamond"/>
        </w:rPr>
        <w:t>ení stížností podle § 261 odst. </w:t>
      </w:r>
      <w:r w:rsidR="0011650B" w:rsidRPr="00951657">
        <w:rPr>
          <w:rFonts w:ascii="Garamond" w:hAnsi="Garamond"/>
        </w:rPr>
        <w:t xml:space="preserve">6 daňového řádu nadřízený orgán žalovaného, přičemž argumentovala tím, že surový řepkový olej nakupovala u seriózního dodavatele, který je na trhu dlouhodobě etablován a který plní své povinnosti vůči státnímu rozpočtu (DPH na výstupu odvedl). Namítala opět, že zadržení </w:t>
      </w:r>
      <w:r w:rsidR="00526840" w:rsidRPr="00951657">
        <w:rPr>
          <w:rFonts w:ascii="Garamond" w:hAnsi="Garamond"/>
        </w:rPr>
        <w:t>deklarovaných</w:t>
      </w:r>
      <w:r w:rsidR="0011650B" w:rsidRPr="00951657">
        <w:rPr>
          <w:rFonts w:ascii="Garamond" w:hAnsi="Garamond"/>
        </w:rPr>
        <w:t xml:space="preserve"> nadměrných odpočtů za několik po sobě jdoucích měsíců, jejichž podstatná část není pochybnostmi správce daně vůbec dotčena, je nepřiměřené sledovanému cíli v podobě ochrany veřejných rozpočtů před d</w:t>
      </w:r>
      <w:r>
        <w:rPr>
          <w:rFonts w:ascii="Garamond" w:hAnsi="Garamond"/>
        </w:rPr>
        <w:t>aňovými úniky a že s ohledem na </w:t>
      </w:r>
      <w:r w:rsidR="0011650B" w:rsidRPr="00951657">
        <w:rPr>
          <w:rFonts w:ascii="Garamond" w:hAnsi="Garamond"/>
        </w:rPr>
        <w:t xml:space="preserve">přednostně použitelné unijní právo nesmí být ustanovení daňového řádu bránící částečnému vyměření DPH, nelze-li je vyložit s unijním právem souladně, vůbec aplikována. V opačném případě by bylo nutné uzavřít, že správce daně není oprávněn </w:t>
      </w:r>
      <w:r>
        <w:rPr>
          <w:rFonts w:ascii="Garamond" w:hAnsi="Garamond"/>
        </w:rPr>
        <w:t>daňovou kontrolu zahájit, neboť </w:t>
      </w:r>
      <w:r w:rsidR="0011650B" w:rsidRPr="00951657">
        <w:rPr>
          <w:rFonts w:ascii="Garamond" w:hAnsi="Garamond"/>
        </w:rPr>
        <w:t>by tím bylo porušeno unijní právo.</w:t>
      </w:r>
    </w:p>
    <w:p w:rsidR="0011650B" w:rsidRPr="00951657" w:rsidRDefault="00951657" w:rsidP="00951657">
      <w:pPr>
        <w:pStyle w:val="Odstavecseseznamem"/>
        <w:numPr>
          <w:ilvl w:val="0"/>
          <w:numId w:val="2"/>
        </w:numPr>
        <w:spacing w:before="240" w:after="240"/>
        <w:ind w:left="0" w:firstLine="0"/>
        <w:contextualSpacing w:val="0"/>
        <w:jc w:val="both"/>
        <w:rPr>
          <w:rFonts w:ascii="Garamond" w:hAnsi="Garamond"/>
        </w:rPr>
      </w:pPr>
      <w:r>
        <w:rPr>
          <w:rFonts w:ascii="Garamond" w:hAnsi="Garamond"/>
        </w:rPr>
        <w:t>Dne 4. 7. </w:t>
      </w:r>
      <w:r w:rsidR="00B6260E" w:rsidRPr="00951657">
        <w:rPr>
          <w:rFonts w:ascii="Garamond" w:hAnsi="Garamond"/>
        </w:rPr>
        <w:t xml:space="preserve">2016 </w:t>
      </w:r>
      <w:r>
        <w:rPr>
          <w:rFonts w:ascii="Garamond" w:hAnsi="Garamond"/>
        </w:rPr>
        <w:t>a 14. 7. </w:t>
      </w:r>
      <w:r w:rsidR="0011650B" w:rsidRPr="00951657">
        <w:rPr>
          <w:rFonts w:ascii="Garamond" w:hAnsi="Garamond"/>
        </w:rPr>
        <w:t>2016 Odvolací finanční řed</w:t>
      </w:r>
      <w:r>
        <w:rPr>
          <w:rFonts w:ascii="Garamond" w:hAnsi="Garamond"/>
        </w:rPr>
        <w:t>itelství žalobkyni vyrozumělo o </w:t>
      </w:r>
      <w:r w:rsidR="0011650B" w:rsidRPr="00951657">
        <w:rPr>
          <w:rFonts w:ascii="Garamond" w:hAnsi="Garamond"/>
        </w:rPr>
        <w:t>nedůvodnosti jejích žádostí, přičemž poukazovalo na skutečnost, že daňový řád vydání částečného platebního výměru neupravuje a DPH se vždy vzta</w:t>
      </w:r>
      <w:r>
        <w:rPr>
          <w:rFonts w:ascii="Garamond" w:hAnsi="Garamond"/>
        </w:rPr>
        <w:t>huje ke zdaňovacímu období jako </w:t>
      </w:r>
      <w:r w:rsidR="0011650B" w:rsidRPr="00951657">
        <w:rPr>
          <w:rFonts w:ascii="Garamond" w:hAnsi="Garamond"/>
        </w:rPr>
        <w:t>celku. Z judikatury Soudního dvora Evropské unie, resp. dřívějšího Evropského soudního dvora (dále jen „Soudní dvůr“) nevyplývá, že by správce daně nebyl oprávněn podrobit přiznanou DPH kontrole, naopak Soudní dvůr uznává povinnost členských států prověřovat daňová přiznání k DPH a v nezbytném rozsahu připouští i prodloužení lhůty pro vrácení nadměrného odpočtu z důvodu daňové kontroly, neboť boj proti daňovým únikům je cíl uznaný a podporovaný směrnicí Rady č. 2006/112/ES o společném sys</w:t>
      </w:r>
      <w:r>
        <w:rPr>
          <w:rFonts w:ascii="Garamond" w:hAnsi="Garamond"/>
        </w:rPr>
        <w:t>tému daně z přidané hodnoty, ve </w:t>
      </w:r>
      <w:r w:rsidR="0011650B" w:rsidRPr="00951657">
        <w:rPr>
          <w:rFonts w:ascii="Garamond" w:hAnsi="Garamond"/>
        </w:rPr>
        <w:t>znění pozdějších předpisů (dále jen „směrnice o DPH“).</w:t>
      </w:r>
    </w:p>
    <w:p w:rsidR="0011650B" w:rsidRPr="00951657" w:rsidRDefault="00951657" w:rsidP="00951657">
      <w:pPr>
        <w:pStyle w:val="Odstavecseseznamem"/>
        <w:numPr>
          <w:ilvl w:val="0"/>
          <w:numId w:val="2"/>
        </w:numPr>
        <w:spacing w:before="240" w:after="240"/>
        <w:ind w:left="0" w:firstLine="0"/>
        <w:contextualSpacing w:val="0"/>
        <w:jc w:val="both"/>
        <w:rPr>
          <w:rFonts w:ascii="Garamond" w:hAnsi="Garamond"/>
        </w:rPr>
      </w:pPr>
      <w:r>
        <w:rPr>
          <w:rFonts w:ascii="Garamond" w:hAnsi="Garamond"/>
        </w:rPr>
        <w:t>Dne 31. 5. </w:t>
      </w:r>
      <w:r w:rsidR="0011650B" w:rsidRPr="00951657">
        <w:rPr>
          <w:rFonts w:ascii="Garamond" w:hAnsi="Garamond"/>
        </w:rPr>
        <w:t>2016 proběhlo ústní jednání mezi žalobkyní a žalovaným, v jehož průběhu žalobkyně namítala, že jí postup žalovaného fakticky znemožňuje obchodovat se surovým řepkovým olejem a dožadovala se sdělení, zda žalovaný zjistil</w:t>
      </w:r>
      <w:r w:rsidR="00512892">
        <w:rPr>
          <w:rFonts w:ascii="Garamond" w:hAnsi="Garamond"/>
        </w:rPr>
        <w:t xml:space="preserve"> zapojení odběratelů či dodavatelů žalobkyně</w:t>
      </w:r>
      <w:r w:rsidR="0011650B" w:rsidRPr="00951657">
        <w:rPr>
          <w:rFonts w:ascii="Garamond" w:hAnsi="Garamond"/>
        </w:rPr>
        <w:t xml:space="preserve"> do řetězce transakcí zatížených podvodem na DPH. Zároveň nabídla zajištění sporné části daně, pokud by jí správce daně nadměrný odpočet vyměřil. Žalovaný sdělil, že výsledky mezinárodního dožádání mu nejsou známy a že nemůže předjí</w:t>
      </w:r>
      <w:r w:rsidR="002C7240">
        <w:rPr>
          <w:rFonts w:ascii="Garamond" w:hAnsi="Garamond"/>
        </w:rPr>
        <w:t>mat svůj další postup, pokud by </w:t>
      </w:r>
      <w:r w:rsidR="0011650B" w:rsidRPr="00951657">
        <w:rPr>
          <w:rFonts w:ascii="Garamond" w:hAnsi="Garamond"/>
        </w:rPr>
        <w:t>žalobkyně hodlala v budoucnu provádět obchody s řepkovým olejem.</w:t>
      </w:r>
    </w:p>
    <w:p w:rsidR="0011650B" w:rsidRPr="00951657" w:rsidRDefault="00951657" w:rsidP="00951657">
      <w:pPr>
        <w:pStyle w:val="Odstavecseseznamem"/>
        <w:numPr>
          <w:ilvl w:val="0"/>
          <w:numId w:val="2"/>
        </w:numPr>
        <w:spacing w:before="240" w:after="240"/>
        <w:ind w:left="0" w:firstLine="0"/>
        <w:contextualSpacing w:val="0"/>
        <w:jc w:val="both"/>
        <w:rPr>
          <w:rFonts w:ascii="Garamond" w:hAnsi="Garamond"/>
        </w:rPr>
      </w:pPr>
      <w:r>
        <w:rPr>
          <w:rFonts w:ascii="Garamond" w:hAnsi="Garamond"/>
        </w:rPr>
        <w:t>Dne 15. 7. </w:t>
      </w:r>
      <w:r w:rsidR="0011650B" w:rsidRPr="00951657">
        <w:rPr>
          <w:rFonts w:ascii="Garamond" w:hAnsi="Garamond"/>
        </w:rPr>
        <w:t>2016 polské daňové orgány na žád</w:t>
      </w:r>
      <w:r>
        <w:rPr>
          <w:rFonts w:ascii="Garamond" w:hAnsi="Garamond"/>
        </w:rPr>
        <w:t>ost odeslanou žalovaným dne 21. 4. </w:t>
      </w:r>
      <w:r w:rsidR="0011650B" w:rsidRPr="00951657">
        <w:rPr>
          <w:rFonts w:ascii="Garamond" w:hAnsi="Garamond"/>
        </w:rPr>
        <w:t xml:space="preserve">2016 uvedly, že deklarovaný odběratel žalobkyně RED DOT SP.Z O.O. je nekontaktní a odpovídá kritériím společnosti typu </w:t>
      </w:r>
      <w:r w:rsidR="0011650B" w:rsidRPr="00951657">
        <w:rPr>
          <w:rFonts w:ascii="Garamond" w:hAnsi="Garamond"/>
          <w:i/>
        </w:rPr>
        <w:t>„missing trader“</w:t>
      </w:r>
      <w:r>
        <w:rPr>
          <w:rFonts w:ascii="Garamond" w:hAnsi="Garamond"/>
        </w:rPr>
        <w:t>. Dne 10. 8. </w:t>
      </w:r>
      <w:r w:rsidR="0011650B" w:rsidRPr="00951657">
        <w:rPr>
          <w:rFonts w:ascii="Garamond" w:hAnsi="Garamond"/>
        </w:rPr>
        <w:t>2016 žalov</w:t>
      </w:r>
      <w:r>
        <w:rPr>
          <w:rFonts w:ascii="Garamond" w:hAnsi="Garamond"/>
        </w:rPr>
        <w:t>aný proto žalobkyni vyzval, aby </w:t>
      </w:r>
      <w:r w:rsidR="0011650B" w:rsidRPr="00951657">
        <w:rPr>
          <w:rFonts w:ascii="Garamond" w:hAnsi="Garamond"/>
        </w:rPr>
        <w:t>do 20 dnů prokázala splnění podmínek pro osvobození</w:t>
      </w:r>
      <w:r>
        <w:rPr>
          <w:rFonts w:ascii="Garamond" w:hAnsi="Garamond"/>
        </w:rPr>
        <w:t xml:space="preserve"> od daně s nárokem na odpočet u </w:t>
      </w:r>
      <w:r w:rsidR="0011650B" w:rsidRPr="00951657">
        <w:rPr>
          <w:rFonts w:ascii="Garamond" w:hAnsi="Garamond"/>
        </w:rPr>
        <w:t>dodávek surového řepkového oleje pro společnost RED DOT SP. Z O.O. Z da</w:t>
      </w:r>
      <w:r>
        <w:rPr>
          <w:rFonts w:ascii="Garamond" w:hAnsi="Garamond"/>
        </w:rPr>
        <w:t>lší odpovědi na </w:t>
      </w:r>
      <w:r w:rsidR="0011650B" w:rsidRPr="00951657">
        <w:rPr>
          <w:rFonts w:ascii="Garamond" w:hAnsi="Garamond"/>
        </w:rPr>
        <w:t>mezinárodní dožádání známé soudu z jiné projednávané věci (týkající se DPH za říjen 2015) vyplynulo, že hlavní polský odběratel (M</w:t>
      </w:r>
      <w:r w:rsidR="00045EC2">
        <w:rPr>
          <w:rFonts w:ascii="Garamond" w:hAnsi="Garamond"/>
          <w:lang w:val="cs-CZ"/>
        </w:rPr>
        <w:t>.</w:t>
      </w:r>
      <w:r w:rsidR="0011650B" w:rsidRPr="00951657">
        <w:rPr>
          <w:rFonts w:ascii="Garamond" w:hAnsi="Garamond"/>
        </w:rPr>
        <w:t xml:space="preserve"> C</w:t>
      </w:r>
      <w:r w:rsidR="00045EC2">
        <w:rPr>
          <w:rFonts w:ascii="Garamond" w:hAnsi="Garamond"/>
          <w:lang w:val="cs-CZ"/>
        </w:rPr>
        <w:t>.</w:t>
      </w:r>
      <w:r w:rsidR="0011650B" w:rsidRPr="00951657">
        <w:rPr>
          <w:rFonts w:ascii="Garamond" w:hAnsi="Garamond"/>
        </w:rPr>
        <w:t>) pořízení zboží od žalobkyně přiznal, komunikuje však jen přes e</w:t>
      </w:r>
      <w:r w:rsidR="00512892">
        <w:rPr>
          <w:rFonts w:ascii="Garamond" w:hAnsi="Garamond"/>
        </w:rPr>
        <w:t>-</w:t>
      </w:r>
      <w:r w:rsidR="0011650B" w:rsidRPr="00951657">
        <w:rPr>
          <w:rFonts w:ascii="Garamond" w:hAnsi="Garamond"/>
        </w:rPr>
        <w:t xml:space="preserve">mail a nepředkládá úplné doklady.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Dne 7. 11. 2016 podala žalobkyně podnět na</w:t>
      </w:r>
      <w:r w:rsidR="00951657">
        <w:rPr>
          <w:rFonts w:ascii="Garamond" w:hAnsi="Garamond"/>
        </w:rPr>
        <w:t xml:space="preserve"> ochranu proti nečinnosti dle § 38 d. </w:t>
      </w:r>
      <w:r w:rsidRPr="00951657">
        <w:rPr>
          <w:rFonts w:ascii="Garamond" w:hAnsi="Garamond"/>
        </w:rPr>
        <w:t>ř., v němž se domáhala, aby správce daně bezodkladně vydal platební výměr, jímž daňovému subjektu vyměří nadměrný odpočet ve výši, která je nedotčena rozsahem daňové kontroly</w:t>
      </w:r>
      <w:r w:rsidR="00951657">
        <w:rPr>
          <w:rFonts w:ascii="Garamond" w:hAnsi="Garamond"/>
        </w:rPr>
        <w:t>, jež </w:t>
      </w:r>
      <w:r w:rsidRPr="00951657">
        <w:rPr>
          <w:rFonts w:ascii="Garamond" w:hAnsi="Garamond"/>
        </w:rPr>
        <w:t>byla u žalobce zahájena. Tuto žádost odůvodnila odkazem na rozsudek</w:t>
      </w:r>
      <w:r w:rsidR="00951657">
        <w:rPr>
          <w:rFonts w:ascii="Garamond" w:hAnsi="Garamond"/>
        </w:rPr>
        <w:t xml:space="preserve"> Krajského soudu v Praze dne 4. 10. 2016, č. j. 48 Af 21/2016 </w:t>
      </w:r>
      <w:r w:rsidR="00951657">
        <w:rPr>
          <w:rFonts w:ascii="Garamond" w:hAnsi="Garamond"/>
        </w:rPr>
        <w:noBreakHyphen/>
        <w:t> </w:t>
      </w:r>
      <w:r w:rsidRPr="00951657">
        <w:rPr>
          <w:rFonts w:ascii="Garamond" w:hAnsi="Garamond"/>
        </w:rPr>
        <w:t>40, kterým soud vyhověl téže žalobkyni a uložil žalovanému</w:t>
      </w:r>
      <w:r w:rsidR="004F67D7" w:rsidRPr="00951657">
        <w:rPr>
          <w:rFonts w:ascii="Garamond" w:hAnsi="Garamond"/>
        </w:rPr>
        <w:t>,</w:t>
      </w:r>
      <w:r w:rsidRPr="00951657">
        <w:rPr>
          <w:rFonts w:ascii="Garamond" w:hAnsi="Garamond"/>
        </w:rPr>
        <w:t xml:space="preserve"> aby: </w:t>
      </w:r>
      <w:r w:rsidRPr="00951657">
        <w:rPr>
          <w:rFonts w:ascii="Garamond" w:hAnsi="Garamond"/>
          <w:i/>
        </w:rPr>
        <w:t xml:space="preserve">„vydal rozhodnutí o stanovení daně ve věci daně z přidané hodnoty žalobkyně za zdaňovací období </w:t>
      </w:r>
      <w:r w:rsidRPr="00951657">
        <w:rPr>
          <w:rFonts w:ascii="Garamond" w:hAnsi="Garamond"/>
          <w:i/>
          <w:u w:val="single"/>
        </w:rPr>
        <w:t>říjen 2015</w:t>
      </w:r>
      <w:r w:rsidRPr="00951657">
        <w:rPr>
          <w:rFonts w:ascii="Garamond" w:hAnsi="Garamond"/>
          <w:i/>
        </w:rPr>
        <w:t xml:space="preserve"> v rozsahu, v němž tato daň není dotčena rozsahem probíhající </w:t>
      </w:r>
      <w:r w:rsidR="00951657">
        <w:rPr>
          <w:rFonts w:ascii="Garamond" w:hAnsi="Garamond"/>
          <w:i/>
        </w:rPr>
        <w:t>daňové kontroly uskutečněných a </w:t>
      </w:r>
      <w:r w:rsidRPr="00951657">
        <w:rPr>
          <w:rFonts w:ascii="Garamond" w:hAnsi="Garamond"/>
          <w:i/>
        </w:rPr>
        <w:t>přijatých zdanitelných plnění, jejichž předmětem byl nákup a prodej komodity řepkový olej“.</w:t>
      </w:r>
      <w:r w:rsidRPr="00951657">
        <w:rPr>
          <w:rFonts w:ascii="Garamond" w:hAnsi="Garamond"/>
        </w:rPr>
        <w:t xml:space="preserve"> Krajský soud vyšel z ustanovení čl. 183 směrnice o DPH a za klíčový považ</w:t>
      </w:r>
      <w:r w:rsidR="00951657">
        <w:rPr>
          <w:rFonts w:ascii="Garamond" w:hAnsi="Garamond"/>
        </w:rPr>
        <w:t>oval rozsudek Soudního dvora ze </w:t>
      </w:r>
      <w:r w:rsidRPr="00951657">
        <w:rPr>
          <w:rFonts w:ascii="Garamond" w:hAnsi="Garamond"/>
        </w:rPr>
        <w:t xml:space="preserve">dne 18. 12. 1997, C-286/94 </w:t>
      </w:r>
      <w:r w:rsidRPr="00951657">
        <w:rPr>
          <w:rFonts w:ascii="Garamond" w:hAnsi="Garamond"/>
          <w:i/>
        </w:rPr>
        <w:t>Molenheide a další</w:t>
      </w:r>
      <w:r w:rsidRPr="00951657">
        <w:rPr>
          <w:rFonts w:ascii="Garamond" w:hAnsi="Garamond"/>
        </w:rPr>
        <w:t xml:space="preserve">, v němž Soudní dvůr zdůraznil význam principu proporcionality, který je klíčový pro správné vyvážení opatření, jež členské státy přijímají za účelem řádného výběru daní, s respektem k nároku daňových subjektů na vyplacení nadměrného odpočtu (či jeho převedení do dalšího zdaňovacího období), plynoucího z přímo aplikovatelného ustanovení směrnice, a k </w:t>
      </w:r>
      <w:r w:rsidR="00041193" w:rsidRPr="00951657">
        <w:rPr>
          <w:rFonts w:ascii="Garamond" w:hAnsi="Garamond"/>
        </w:rPr>
        <w:t>principu</w:t>
      </w:r>
      <w:r w:rsidRPr="00951657">
        <w:rPr>
          <w:rFonts w:ascii="Garamond" w:hAnsi="Garamond"/>
        </w:rPr>
        <w:t xml:space="preserve"> neutrality</w:t>
      </w:r>
      <w:r w:rsidR="00041193" w:rsidRPr="00951657">
        <w:rPr>
          <w:rFonts w:ascii="Garamond" w:hAnsi="Garamond"/>
        </w:rPr>
        <w:t xml:space="preserve"> DPH</w:t>
      </w:r>
      <w:r w:rsidRPr="00951657">
        <w:rPr>
          <w:rFonts w:ascii="Garamond" w:hAnsi="Garamond"/>
        </w:rPr>
        <w:t xml:space="preserve"> jako klíčovému strukturálnímu principu systému DPH.</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Tento podnět by</w:t>
      </w:r>
      <w:r w:rsidR="00951657">
        <w:rPr>
          <w:rFonts w:ascii="Garamond" w:hAnsi="Garamond"/>
        </w:rPr>
        <w:t>l vyřízen vyrozuměním ze dne 7. 12. </w:t>
      </w:r>
      <w:r w:rsidRPr="00951657">
        <w:rPr>
          <w:rFonts w:ascii="Garamond" w:hAnsi="Garamond"/>
        </w:rPr>
        <w:t xml:space="preserve">2016. Odvolací finanční ředitelství neshledalo podnět důvodným, a proto jej odložilo. V odůvodnění uvedlo, že citovaný rozsudek krajského soudu není ustálenou judikaturou, nadto byl napaden kasační stížností. Byl navíc vydán v jiné věci, a proto není pro posouzení podnětu závazný. Odvolací finanční ředitelství zdůraznilo, že daňový řád nezná </w:t>
      </w:r>
      <w:r w:rsidR="00526840" w:rsidRPr="00951657">
        <w:rPr>
          <w:rFonts w:ascii="Garamond" w:hAnsi="Garamond"/>
        </w:rPr>
        <w:t>částečné</w:t>
      </w:r>
      <w:r w:rsidRPr="00951657">
        <w:rPr>
          <w:rFonts w:ascii="Garamond" w:hAnsi="Garamond"/>
        </w:rPr>
        <w:t xml:space="preserve"> vyměření daně. </w:t>
      </w:r>
      <w:r w:rsidR="00526840" w:rsidRPr="00951657">
        <w:rPr>
          <w:rFonts w:ascii="Garamond" w:hAnsi="Garamond"/>
        </w:rPr>
        <w:t>Je-li výsledkem daňové povinnosti n</w:t>
      </w:r>
      <w:r w:rsidRPr="00951657">
        <w:rPr>
          <w:rFonts w:ascii="Garamond" w:hAnsi="Garamond"/>
        </w:rPr>
        <w:t>adměrný odpočet</w:t>
      </w:r>
      <w:r w:rsidR="00526840" w:rsidRPr="00951657">
        <w:rPr>
          <w:rFonts w:ascii="Garamond" w:hAnsi="Garamond"/>
        </w:rPr>
        <w:t>,</w:t>
      </w:r>
      <w:r w:rsidRPr="00951657">
        <w:rPr>
          <w:rFonts w:ascii="Garamond" w:hAnsi="Garamond"/>
        </w:rPr>
        <w:t xml:space="preserve"> váže </w:t>
      </w:r>
      <w:r w:rsidR="00526840" w:rsidRPr="00951657">
        <w:rPr>
          <w:rFonts w:ascii="Garamond" w:hAnsi="Garamond"/>
        </w:rPr>
        <w:t xml:space="preserve">se </w:t>
      </w:r>
      <w:r w:rsidRPr="00951657">
        <w:rPr>
          <w:rFonts w:ascii="Garamond" w:hAnsi="Garamond"/>
        </w:rPr>
        <w:t xml:space="preserve">ke zdaňovacímu období jakožto celku, nikoliv pouze k části vykázaných plnění.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Dvěma samostatnými žalob</w:t>
      </w:r>
      <w:r w:rsidR="00951657">
        <w:rPr>
          <w:rFonts w:ascii="Garamond" w:hAnsi="Garamond"/>
        </w:rPr>
        <w:t>ami proti nečinnosti ze dne 30. 1. </w:t>
      </w:r>
      <w:r w:rsidRPr="00951657">
        <w:rPr>
          <w:rFonts w:ascii="Garamond" w:hAnsi="Garamond"/>
        </w:rPr>
        <w:t>2017, které Krajský soud v Praze spojil ke společnému projednání, se žalobkyně domáhala, aby soud vyd</w:t>
      </w:r>
      <w:r w:rsidR="00951657">
        <w:rPr>
          <w:rFonts w:ascii="Garamond" w:hAnsi="Garamond"/>
        </w:rPr>
        <w:t>al rozsudek, že </w:t>
      </w:r>
      <w:r w:rsidRPr="00951657">
        <w:rPr>
          <w:rFonts w:ascii="Garamond" w:hAnsi="Garamond"/>
        </w:rPr>
        <w:t>žalovaný je povinen do 30 dnů od právní moci rozsudku vydat</w:t>
      </w:r>
      <w:r w:rsidR="00951657">
        <w:rPr>
          <w:rFonts w:ascii="Garamond" w:hAnsi="Garamond"/>
        </w:rPr>
        <w:t xml:space="preserve"> rozhodnutí o stanovení daně ve </w:t>
      </w:r>
      <w:r w:rsidRPr="00951657">
        <w:rPr>
          <w:rFonts w:ascii="Garamond" w:hAnsi="Garamond"/>
        </w:rPr>
        <w:t>věci daně z přidané hodnoty žalob</w:t>
      </w:r>
      <w:r w:rsidR="00951657">
        <w:rPr>
          <w:rFonts w:ascii="Garamond" w:hAnsi="Garamond"/>
        </w:rPr>
        <w:t>ce za zdaňovací období prosinec 2015 a leden </w:t>
      </w:r>
      <w:r w:rsidRPr="00951657">
        <w:rPr>
          <w:rFonts w:ascii="Garamond" w:hAnsi="Garamond"/>
        </w:rPr>
        <w:t>2016 v rozsahu, v němž tato daň není dotčena rozsahem probíhající daňov</w:t>
      </w:r>
      <w:r w:rsidR="00951657">
        <w:rPr>
          <w:rFonts w:ascii="Garamond" w:hAnsi="Garamond"/>
        </w:rPr>
        <w:t>é kontroly uskutečněných a </w:t>
      </w:r>
      <w:r w:rsidRPr="00951657">
        <w:rPr>
          <w:rFonts w:ascii="Garamond" w:hAnsi="Garamond"/>
        </w:rPr>
        <w:t xml:space="preserve">přijatých zdanitelných plnění, jejichž předmětem byl nákup a prodej komodity surový řepkový olej. </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 xml:space="preserve">V době mezi podáním žaloby a vydáním rozsudku krajského soudu rozhodl Nejvyšší správní soud o kasační stížnosti žalovaného podané proti rozsudku krajského soudu ze dne </w:t>
      </w:r>
      <w:r w:rsidR="00951657">
        <w:rPr>
          <w:rFonts w:ascii="Garamond" w:hAnsi="Garamond"/>
        </w:rPr>
        <w:t>4. 10. 2016, č. j. 48 Af 21/2016 </w:t>
      </w:r>
      <w:r w:rsidR="00951657">
        <w:rPr>
          <w:rFonts w:ascii="Garamond" w:hAnsi="Garamond"/>
        </w:rPr>
        <w:noBreakHyphen/>
        <w:t> </w:t>
      </w:r>
      <w:r w:rsidRPr="00951657">
        <w:rPr>
          <w:rFonts w:ascii="Garamond" w:hAnsi="Garamond"/>
        </w:rPr>
        <w:t xml:space="preserve">40, kterým krajský soud uložil žalovanému vydat částečný platební </w:t>
      </w:r>
      <w:r w:rsidR="00951657">
        <w:rPr>
          <w:rFonts w:ascii="Garamond" w:hAnsi="Garamond"/>
        </w:rPr>
        <w:t>výměr za zdaňovací období říjen </w:t>
      </w:r>
      <w:r w:rsidRPr="00951657">
        <w:rPr>
          <w:rFonts w:ascii="Garamond" w:hAnsi="Garamond"/>
        </w:rPr>
        <w:t>2015. Nejvyšší správn</w:t>
      </w:r>
      <w:r w:rsidR="00951657">
        <w:rPr>
          <w:rFonts w:ascii="Garamond" w:hAnsi="Garamond"/>
        </w:rPr>
        <w:t>í soud jej rozsudkem ze dne 11. 5. 2017, č. j. 6 Afs 264/2016 </w:t>
      </w:r>
      <w:r w:rsidR="00782884">
        <w:rPr>
          <w:rFonts w:ascii="Garamond" w:hAnsi="Garamond"/>
        </w:rPr>
        <w:t>–</w:t>
      </w:r>
      <w:r w:rsidR="00951657">
        <w:rPr>
          <w:rFonts w:ascii="Garamond" w:hAnsi="Garamond"/>
        </w:rPr>
        <w:t> </w:t>
      </w:r>
      <w:r w:rsidRPr="00951657">
        <w:rPr>
          <w:rFonts w:ascii="Garamond" w:hAnsi="Garamond"/>
        </w:rPr>
        <w:t>44</w:t>
      </w:r>
      <w:r w:rsidR="00782884">
        <w:rPr>
          <w:rFonts w:ascii="Garamond" w:hAnsi="Garamond"/>
        </w:rPr>
        <w:t>,</w:t>
      </w:r>
      <w:r w:rsidRPr="00951657">
        <w:rPr>
          <w:rFonts w:ascii="Garamond" w:hAnsi="Garamond"/>
        </w:rPr>
        <w:t xml:space="preserve"> zrušil. </w:t>
      </w:r>
      <w:r w:rsidR="00526840" w:rsidRPr="00951657">
        <w:rPr>
          <w:rFonts w:ascii="Garamond" w:hAnsi="Garamond"/>
        </w:rPr>
        <w:t>D</w:t>
      </w:r>
      <w:r w:rsidRPr="00951657">
        <w:rPr>
          <w:rFonts w:ascii="Garamond" w:hAnsi="Garamond"/>
        </w:rPr>
        <w:t>ospěl k závěru, že pokud daňový řád výslovně možnost vydání částečného platebního výměru neupravuje, nemůže si správce daně takovou pravomoc bez zákonného podkladu s ohledem na zásadu enumerativnosti veřejnoprávních pretenzí osvojit. Nelze analogicky použít právní úpravu z jiného právního předpisu (zákon č</w:t>
      </w:r>
      <w:r w:rsidR="00951657">
        <w:rPr>
          <w:rFonts w:ascii="Garamond" w:hAnsi="Garamond"/>
        </w:rPr>
        <w:t>. 500/2004 </w:t>
      </w:r>
      <w:r w:rsidRPr="00951657">
        <w:rPr>
          <w:rFonts w:ascii="Garamond" w:hAnsi="Garamond"/>
        </w:rPr>
        <w:t xml:space="preserve">Sb., správní řád) jehož aplikaci v daňovém řízení výslovně vylučuje </w:t>
      </w:r>
      <w:r w:rsidR="00951657">
        <w:rPr>
          <w:rFonts w:ascii="Garamond" w:hAnsi="Garamond"/>
        </w:rPr>
        <w:t>§ </w:t>
      </w:r>
      <w:r w:rsidRPr="00951657">
        <w:rPr>
          <w:rFonts w:ascii="Garamond" w:hAnsi="Garamond"/>
        </w:rPr>
        <w:t>262 daňového řádu. Navíc by vytvoření takového dosud v daňovém právu neznámého institutu mohlo vyvolat řadu problémů, na něž úprava v daňovém řádu nedává odpově</w:t>
      </w:r>
      <w:r w:rsidR="00951657">
        <w:rPr>
          <w:rFonts w:ascii="Garamond" w:hAnsi="Garamond"/>
        </w:rPr>
        <w:t>ď. K rozsudku Soudního dvora ve </w:t>
      </w:r>
      <w:r w:rsidRPr="00951657">
        <w:rPr>
          <w:rFonts w:ascii="Garamond" w:hAnsi="Garamond"/>
        </w:rPr>
        <w:t xml:space="preserve">věci C-286/94 </w:t>
      </w:r>
      <w:r w:rsidRPr="00951657">
        <w:rPr>
          <w:rFonts w:ascii="Garamond" w:hAnsi="Garamond"/>
          <w:i/>
        </w:rPr>
        <w:t>Molenheide a další</w:t>
      </w:r>
      <w:r w:rsidRPr="00951657">
        <w:rPr>
          <w:rFonts w:ascii="Garamond" w:hAnsi="Garamond"/>
        </w:rPr>
        <w:t xml:space="preserve"> Nejvyšší správní soud</w:t>
      </w:r>
      <w:r w:rsidR="00951657">
        <w:rPr>
          <w:rFonts w:ascii="Garamond" w:hAnsi="Garamond"/>
        </w:rPr>
        <w:t xml:space="preserve"> konstatoval, že neuvádí, že by </w:t>
      </w:r>
      <w:r w:rsidRPr="00951657">
        <w:rPr>
          <w:rFonts w:ascii="Garamond" w:hAnsi="Garamond"/>
        </w:rPr>
        <w:t>vnitrostátní právo muselo umožňovat částečné vyměření nadměrného odpočtu DPH v rozsahu jeho nezpochybněné části, a že belgická úprava je diametrálně odlišná od české právní úpravy, která ochranu práv před nepřiměřeným, liknavým či svévolným jednáním správce daně zakotvuje. Dotčený daňový subjekt se za stanovených podmínek může domáhat, aby bylo liknavému správci daně uloženo vydat rozhodnutí ve věci prověřované DPH, ne však rozhodnutí částečné, nýbrž o DPH za celé zdaňovací období.</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 xml:space="preserve"> S poukazem na tento zrušující rozsudek Nejvyššího správního soudu krajský soud nečinnostní žaloby týkající se zdaňovacích období prosinec 2015 a leden 2</w:t>
      </w:r>
      <w:r w:rsidR="00951657">
        <w:rPr>
          <w:rFonts w:ascii="Garamond" w:hAnsi="Garamond"/>
        </w:rPr>
        <w:t>016 zamítl rozsudkem ze dne 13. 6. 2017, č. j. 48 Af 3/2017 </w:t>
      </w:r>
      <w:r w:rsidR="00951657">
        <w:rPr>
          <w:rFonts w:ascii="Garamond" w:hAnsi="Garamond"/>
        </w:rPr>
        <w:noBreakHyphen/>
        <w:t> </w:t>
      </w:r>
      <w:r w:rsidRPr="00951657">
        <w:rPr>
          <w:rFonts w:ascii="Garamond" w:hAnsi="Garamond"/>
        </w:rPr>
        <w:t xml:space="preserve">34.  </w:t>
      </w:r>
    </w:p>
    <w:p w:rsidR="0011650B"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Proti tomuto rozhodnutí podal</w:t>
      </w:r>
      <w:r w:rsidR="00366A1D">
        <w:rPr>
          <w:rFonts w:ascii="Garamond" w:hAnsi="Garamond"/>
        </w:rPr>
        <w:t>a</w:t>
      </w:r>
      <w:r w:rsidRPr="00951657">
        <w:rPr>
          <w:rFonts w:ascii="Garamond" w:hAnsi="Garamond"/>
        </w:rPr>
        <w:t xml:space="preserve"> žalob</w:t>
      </w:r>
      <w:r w:rsidR="00366A1D">
        <w:rPr>
          <w:rFonts w:ascii="Garamond" w:hAnsi="Garamond"/>
        </w:rPr>
        <w:t>kyně</w:t>
      </w:r>
      <w:r w:rsidRPr="00951657">
        <w:rPr>
          <w:rFonts w:ascii="Garamond" w:hAnsi="Garamond"/>
        </w:rPr>
        <w:t xml:space="preserve"> (stěžovatel</w:t>
      </w:r>
      <w:r w:rsidR="00366A1D">
        <w:rPr>
          <w:rFonts w:ascii="Garamond" w:hAnsi="Garamond"/>
        </w:rPr>
        <w:t>ka</w:t>
      </w:r>
      <w:r w:rsidRPr="00951657">
        <w:rPr>
          <w:rFonts w:ascii="Garamond" w:hAnsi="Garamond"/>
        </w:rPr>
        <w:t xml:space="preserve">) kasační stížnost. </w:t>
      </w:r>
    </w:p>
    <w:p w:rsidR="000102F4" w:rsidRPr="000102F4" w:rsidRDefault="000102F4" w:rsidP="000102F4">
      <w:pPr>
        <w:pStyle w:val="Odstavecseseznamem"/>
        <w:numPr>
          <w:ilvl w:val="0"/>
          <w:numId w:val="3"/>
        </w:numPr>
        <w:jc w:val="center"/>
        <w:outlineLvl w:val="0"/>
        <w:rPr>
          <w:rFonts w:ascii="Garamond" w:hAnsi="Garamond"/>
          <w:b/>
        </w:rPr>
      </w:pPr>
      <w:r w:rsidRPr="000102F4">
        <w:rPr>
          <w:rFonts w:ascii="Garamond" w:hAnsi="Garamond"/>
          <w:b/>
        </w:rPr>
        <w:t>Kasační stížnost</w:t>
      </w:r>
      <w:r>
        <w:rPr>
          <w:rFonts w:ascii="Garamond" w:hAnsi="Garamond"/>
          <w:b/>
        </w:rPr>
        <w:t>,</w:t>
      </w:r>
      <w:r w:rsidRPr="000102F4">
        <w:rPr>
          <w:rFonts w:ascii="Garamond" w:hAnsi="Garamond"/>
          <w:b/>
        </w:rPr>
        <w:t xml:space="preserve"> vyjádření žalovaného</w:t>
      </w:r>
      <w:r>
        <w:rPr>
          <w:rFonts w:ascii="Garamond" w:hAnsi="Garamond"/>
          <w:b/>
        </w:rPr>
        <w:t xml:space="preserve"> a řízení o předběžné otázce</w:t>
      </w:r>
    </w:p>
    <w:p w:rsidR="0011650B" w:rsidRPr="00951657"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V kasační stížnosti stěžovatel</w:t>
      </w:r>
      <w:r w:rsidR="00366A1D">
        <w:rPr>
          <w:rFonts w:ascii="Garamond" w:hAnsi="Garamond"/>
        </w:rPr>
        <w:t>ka</w:t>
      </w:r>
      <w:r w:rsidRPr="00951657">
        <w:rPr>
          <w:rFonts w:ascii="Garamond" w:hAnsi="Garamond"/>
        </w:rPr>
        <w:t xml:space="preserve"> namítá, že rozhodnutí</w:t>
      </w:r>
      <w:r w:rsidR="00951657">
        <w:rPr>
          <w:rFonts w:ascii="Garamond" w:hAnsi="Garamond"/>
        </w:rPr>
        <w:t xml:space="preserve"> krajského soudu je založeno na </w:t>
      </w:r>
      <w:r w:rsidRPr="00951657">
        <w:rPr>
          <w:rFonts w:ascii="Garamond" w:hAnsi="Garamond"/>
        </w:rPr>
        <w:t>aplikaci vnitrostátního procesního práva, která je neslučitelná</w:t>
      </w:r>
      <w:r w:rsidR="00951657">
        <w:rPr>
          <w:rFonts w:ascii="Garamond" w:hAnsi="Garamond"/>
        </w:rPr>
        <w:t xml:space="preserve"> s právem Evropské unie, jež je </w:t>
      </w:r>
      <w:r w:rsidRPr="00951657">
        <w:rPr>
          <w:rFonts w:ascii="Garamond" w:hAnsi="Garamond"/>
        </w:rPr>
        <w:t>přímo aplikovatelné a má přednost před právem vnitrostátním. Domnívá se, že vnitrostátní procesní právo lze vyložit eurokonformně.</w:t>
      </w:r>
    </w:p>
    <w:p w:rsidR="00AD6368" w:rsidRPr="00D560AE" w:rsidRDefault="0011650B" w:rsidP="00D560AE">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rPr>
        <w:t>Stěžovatel</w:t>
      </w:r>
      <w:r w:rsidR="00366A1D">
        <w:rPr>
          <w:rFonts w:ascii="Garamond" w:hAnsi="Garamond"/>
        </w:rPr>
        <w:t>ka</w:t>
      </w:r>
      <w:r w:rsidRPr="00951657">
        <w:rPr>
          <w:rFonts w:ascii="Garamond" w:hAnsi="Garamond"/>
        </w:rPr>
        <w:t xml:space="preserve"> setrvává na svém právním názoru, že judikatura Soudního dvora Evropské unie (zejm. rozsudek ESD ve věci </w:t>
      </w:r>
      <w:r w:rsidRPr="00951657">
        <w:rPr>
          <w:rFonts w:ascii="Garamond" w:hAnsi="Garamond"/>
          <w:i/>
          <w:iCs/>
        </w:rPr>
        <w:t xml:space="preserve">Molenheide a další, </w:t>
      </w:r>
      <w:r w:rsidR="00951657">
        <w:rPr>
          <w:rFonts w:ascii="Garamond" w:hAnsi="Garamond"/>
        </w:rPr>
        <w:t>C-286/94 ze dne 18. 12. </w:t>
      </w:r>
      <w:r w:rsidRPr="00951657">
        <w:rPr>
          <w:rFonts w:ascii="Garamond" w:hAnsi="Garamond"/>
        </w:rPr>
        <w:t xml:space="preserve">1997, rozsudek </w:t>
      </w:r>
      <w:r w:rsidRPr="00951657">
        <w:rPr>
          <w:rFonts w:ascii="Garamond" w:hAnsi="Garamond"/>
          <w:i/>
          <w:iCs/>
        </w:rPr>
        <w:t xml:space="preserve">Enel Maritsa Iztok, </w:t>
      </w:r>
      <w:r w:rsidRPr="00951657">
        <w:rPr>
          <w:rFonts w:ascii="Garamond" w:hAnsi="Garamond"/>
        </w:rPr>
        <w:t>C-107/10 ze dne 12.</w:t>
      </w:r>
      <w:r w:rsidR="00951657">
        <w:rPr>
          <w:rFonts w:ascii="Garamond" w:hAnsi="Garamond"/>
        </w:rPr>
        <w:t> </w:t>
      </w:r>
      <w:r w:rsidRPr="00951657">
        <w:rPr>
          <w:rFonts w:ascii="Garamond" w:hAnsi="Garamond"/>
        </w:rPr>
        <w:t>5.</w:t>
      </w:r>
      <w:r w:rsidR="00951657">
        <w:rPr>
          <w:rFonts w:ascii="Garamond" w:hAnsi="Garamond"/>
        </w:rPr>
        <w:t> </w:t>
      </w:r>
      <w:r w:rsidRPr="00951657">
        <w:rPr>
          <w:rFonts w:ascii="Garamond" w:hAnsi="Garamond"/>
        </w:rPr>
        <w:t xml:space="preserve">2011 a rozsudek </w:t>
      </w:r>
      <w:r w:rsidRPr="00951657">
        <w:rPr>
          <w:rFonts w:ascii="Garamond" w:hAnsi="Garamond"/>
          <w:i/>
          <w:iCs/>
        </w:rPr>
        <w:t xml:space="preserve">Alicja Sosnowska, </w:t>
      </w:r>
      <w:r w:rsidRPr="00951657">
        <w:rPr>
          <w:rFonts w:ascii="Garamond" w:hAnsi="Garamond"/>
        </w:rPr>
        <w:t>C-25/07 ze dne 10.</w:t>
      </w:r>
      <w:r w:rsidR="00951657">
        <w:rPr>
          <w:rFonts w:ascii="Garamond" w:hAnsi="Garamond"/>
        </w:rPr>
        <w:t> </w:t>
      </w:r>
      <w:r w:rsidRPr="00951657">
        <w:rPr>
          <w:rFonts w:ascii="Garamond" w:hAnsi="Garamond"/>
        </w:rPr>
        <w:t>7.</w:t>
      </w:r>
      <w:r w:rsidR="00951657">
        <w:rPr>
          <w:rFonts w:ascii="Garamond" w:hAnsi="Garamond"/>
        </w:rPr>
        <w:t> </w:t>
      </w:r>
      <w:r w:rsidRPr="00951657">
        <w:rPr>
          <w:rFonts w:ascii="Garamond" w:hAnsi="Garamond"/>
        </w:rPr>
        <w:t xml:space="preserve">2008, dále pak rozsudek ve věci </w:t>
      </w:r>
      <w:r w:rsidRPr="00951657">
        <w:rPr>
          <w:rFonts w:ascii="Garamond" w:hAnsi="Garamond"/>
          <w:i/>
          <w:iCs/>
        </w:rPr>
        <w:t>Mednis SIA</w:t>
      </w:r>
      <w:r w:rsidRPr="00951657">
        <w:rPr>
          <w:rFonts w:ascii="Garamond" w:hAnsi="Garamond"/>
        </w:rPr>
        <w:t>, C-525/11 ze dne 18.</w:t>
      </w:r>
      <w:r w:rsidR="00951657">
        <w:rPr>
          <w:rFonts w:ascii="Garamond" w:hAnsi="Garamond"/>
        </w:rPr>
        <w:t> </w:t>
      </w:r>
      <w:r w:rsidRPr="00951657">
        <w:rPr>
          <w:rFonts w:ascii="Garamond" w:hAnsi="Garamond"/>
        </w:rPr>
        <w:t>10.</w:t>
      </w:r>
      <w:r w:rsidR="00951657">
        <w:rPr>
          <w:rFonts w:ascii="Garamond" w:hAnsi="Garamond"/>
        </w:rPr>
        <w:t> </w:t>
      </w:r>
      <w:r w:rsidRPr="00951657">
        <w:rPr>
          <w:rFonts w:ascii="Garamond" w:hAnsi="Garamond"/>
        </w:rPr>
        <w:t>2012) sice připouští možnost oddálení výplaty nadměrného odpočtu z důvodu zahájen</w:t>
      </w:r>
      <w:r w:rsidR="0059346D">
        <w:rPr>
          <w:rFonts w:ascii="Garamond" w:hAnsi="Garamond"/>
        </w:rPr>
        <w:t>í kontroly směřující proti jeho </w:t>
      </w:r>
      <w:r w:rsidRPr="00951657">
        <w:rPr>
          <w:rFonts w:ascii="Garamond" w:hAnsi="Garamond"/>
        </w:rPr>
        <w:t xml:space="preserve">oprávněnosti, avšak pouze v rozsahu, který je v souladu </w:t>
      </w:r>
      <w:r w:rsidR="0059346D">
        <w:rPr>
          <w:rFonts w:ascii="Garamond" w:hAnsi="Garamond"/>
        </w:rPr>
        <w:t>se zásadou proporcionality, tj. </w:t>
      </w:r>
      <w:r w:rsidRPr="00951657">
        <w:rPr>
          <w:rFonts w:ascii="Garamond" w:hAnsi="Garamond"/>
        </w:rPr>
        <w:t>v rozsahu, který je nezbytný k dosažení cíle, pro který je daňová kontrola zahájena. Za situace, kdy část nadměrného odpočtu vykázaného žalob</w:t>
      </w:r>
      <w:r w:rsidR="00366A1D">
        <w:rPr>
          <w:rFonts w:ascii="Garamond" w:hAnsi="Garamond"/>
        </w:rPr>
        <w:t>kyní</w:t>
      </w:r>
      <w:r w:rsidRPr="00951657">
        <w:rPr>
          <w:rFonts w:ascii="Garamond" w:hAnsi="Garamond"/>
        </w:rPr>
        <w:t xml:space="preserve"> </w:t>
      </w:r>
      <w:r w:rsidRPr="00951657">
        <w:rPr>
          <w:rFonts w:ascii="Garamond" w:hAnsi="Garamond"/>
          <w:bCs/>
        </w:rPr>
        <w:t xml:space="preserve">nebyla žalovaným nikdy jakkoli zpochybněna a není prováděna žádná kontrola, nelze dospět k závěru o přiměřenosti zadržování nesporné části nadměrného odpočtu. </w:t>
      </w:r>
    </w:p>
    <w:p w:rsidR="000102F4" w:rsidRPr="000102F4" w:rsidRDefault="0011650B" w:rsidP="00951657">
      <w:pPr>
        <w:pStyle w:val="Odstavecseseznamem"/>
        <w:numPr>
          <w:ilvl w:val="0"/>
          <w:numId w:val="2"/>
        </w:numPr>
        <w:spacing w:before="240" w:after="240"/>
        <w:ind w:left="0" w:firstLine="0"/>
        <w:contextualSpacing w:val="0"/>
        <w:jc w:val="both"/>
        <w:rPr>
          <w:rFonts w:ascii="Garamond" w:hAnsi="Garamond"/>
        </w:rPr>
      </w:pPr>
      <w:r w:rsidRPr="00951657">
        <w:rPr>
          <w:rFonts w:ascii="Garamond" w:hAnsi="Garamond"/>
          <w:bCs/>
        </w:rPr>
        <w:t>Žalovaný ve vyjádření ke kasační stížnosti uvedl, že je nutné rozlišovat mezi vzni</w:t>
      </w:r>
      <w:r w:rsidR="00951657">
        <w:rPr>
          <w:rFonts w:ascii="Garamond" w:hAnsi="Garamond"/>
          <w:bCs/>
        </w:rPr>
        <w:t>kem nároku na odpočet podle čl. </w:t>
      </w:r>
      <w:r w:rsidRPr="00951657">
        <w:rPr>
          <w:rFonts w:ascii="Garamond" w:hAnsi="Garamond"/>
          <w:bCs/>
        </w:rPr>
        <w:t>167 a násl. směrnice o DPH a vznikem nároku na vrá</w:t>
      </w:r>
      <w:r w:rsidR="006A3E70">
        <w:rPr>
          <w:rFonts w:ascii="Garamond" w:hAnsi="Garamond"/>
          <w:bCs/>
        </w:rPr>
        <w:t>cení nadměrného odpočtu dle čl. </w:t>
      </w:r>
      <w:r w:rsidRPr="00951657">
        <w:rPr>
          <w:rFonts w:ascii="Garamond" w:hAnsi="Garamond"/>
          <w:bCs/>
        </w:rPr>
        <w:t>183 směrnice o DPH. Vzhledem</w:t>
      </w:r>
      <w:r w:rsidR="006A3E70">
        <w:rPr>
          <w:rFonts w:ascii="Garamond" w:hAnsi="Garamond"/>
          <w:bCs/>
        </w:rPr>
        <w:t xml:space="preserve"> k tomu, že nadměrný odpočet se </w:t>
      </w:r>
      <w:r w:rsidRPr="00951657">
        <w:rPr>
          <w:rFonts w:ascii="Garamond" w:hAnsi="Garamond"/>
          <w:bCs/>
        </w:rPr>
        <w:t>vztahuje ke zdaňovacímu období a je výsledkem matematického výpočtu, může vzniknout pouze jako nedělitelný celek. Tím, že správce daně zpo</w:t>
      </w:r>
      <w:r w:rsidR="006A3E70">
        <w:rPr>
          <w:rFonts w:ascii="Garamond" w:hAnsi="Garamond"/>
          <w:bCs/>
        </w:rPr>
        <w:t>chybnil nárok na odpočet daně a </w:t>
      </w:r>
      <w:r w:rsidRPr="00951657">
        <w:rPr>
          <w:rFonts w:ascii="Garamond" w:hAnsi="Garamond"/>
          <w:bCs/>
        </w:rPr>
        <w:t>osvobození od daně týkající se obchodu se surovým řepkovým olejem, zpochybnil uplatněný nadměrný odpočet jako celek. Neexistuje proto nesporná čás</w:t>
      </w:r>
      <w:r w:rsidR="006A3E70">
        <w:rPr>
          <w:rFonts w:ascii="Garamond" w:hAnsi="Garamond"/>
          <w:bCs/>
        </w:rPr>
        <w:t>t nadměrného odpočtu, kterou by </w:t>
      </w:r>
      <w:r w:rsidRPr="00951657">
        <w:rPr>
          <w:rFonts w:ascii="Garamond" w:hAnsi="Garamond"/>
          <w:bCs/>
        </w:rPr>
        <w:t>bylo možné „částečně“ vyměřit a vyplatit stěžovateli. Z </w:t>
      </w:r>
      <w:r w:rsidR="00536D91">
        <w:rPr>
          <w:rFonts w:ascii="Garamond" w:hAnsi="Garamond"/>
          <w:bCs/>
        </w:rPr>
        <w:t>rozsudků Soudního dvora, na něž </w:t>
      </w:r>
      <w:r w:rsidRPr="00951657">
        <w:rPr>
          <w:rFonts w:ascii="Garamond" w:hAnsi="Garamond"/>
          <w:bCs/>
        </w:rPr>
        <w:t>stěžovatel odkazuje, nevyplývá povinnost daňových orgá</w:t>
      </w:r>
      <w:r w:rsidR="006A3E70">
        <w:rPr>
          <w:rFonts w:ascii="Garamond" w:hAnsi="Garamond"/>
          <w:bCs/>
        </w:rPr>
        <w:t>nů členských států rozhodnout o </w:t>
      </w:r>
      <w:r w:rsidRPr="00951657">
        <w:rPr>
          <w:rFonts w:ascii="Garamond" w:hAnsi="Garamond"/>
          <w:bCs/>
        </w:rPr>
        <w:t xml:space="preserve">částečném vyplacení jednotlivých nároků na odpočet. Zadržení nadměrného odpočtu po dobu delší než obvyklou je plátci daně kompenzováno úrokem ze zadržovaného odpočtu. </w:t>
      </w:r>
    </w:p>
    <w:p w:rsidR="00BA29E2" w:rsidRPr="00795C88" w:rsidRDefault="00586C37" w:rsidP="00795C88">
      <w:pPr>
        <w:pStyle w:val="Odstavecseseznamem"/>
        <w:numPr>
          <w:ilvl w:val="0"/>
          <w:numId w:val="2"/>
        </w:numPr>
        <w:spacing w:before="240" w:after="240"/>
        <w:ind w:left="0" w:firstLine="0"/>
        <w:contextualSpacing w:val="0"/>
        <w:jc w:val="both"/>
        <w:rPr>
          <w:rFonts w:ascii="Garamond" w:hAnsi="Garamond"/>
        </w:rPr>
      </w:pPr>
      <w:r w:rsidRPr="002A058A">
        <w:rPr>
          <w:rFonts w:ascii="Garamond" w:hAnsi="Garamond"/>
          <w:bCs/>
        </w:rPr>
        <w:t xml:space="preserve">První senát Nejvyššího správního soudu </w:t>
      </w:r>
      <w:r w:rsidR="00EB7690">
        <w:rPr>
          <w:rFonts w:ascii="Garamond" w:hAnsi="Garamond"/>
          <w:bCs/>
        </w:rPr>
        <w:t xml:space="preserve">shledal, že v řízení vyvstala otázka ohledně výkladu čl. 183 a 273 </w:t>
      </w:r>
      <w:r w:rsidR="00EB7690">
        <w:rPr>
          <w:rFonts w:ascii="Garamond" w:hAnsi="Garamond"/>
        </w:rPr>
        <w:t>s</w:t>
      </w:r>
      <w:r w:rsidR="00EB7690" w:rsidRPr="00951657">
        <w:rPr>
          <w:rFonts w:ascii="Garamond" w:hAnsi="Garamond"/>
        </w:rPr>
        <w:t>měrnic</w:t>
      </w:r>
      <w:r w:rsidR="00EB7690">
        <w:rPr>
          <w:rFonts w:ascii="Garamond" w:hAnsi="Garamond"/>
        </w:rPr>
        <w:t>e</w:t>
      </w:r>
      <w:r w:rsidR="00EB7690" w:rsidRPr="00951657">
        <w:rPr>
          <w:rFonts w:ascii="Garamond" w:hAnsi="Garamond"/>
        </w:rPr>
        <w:t xml:space="preserve"> Rady č. 2006/112/ES o společném sys</w:t>
      </w:r>
      <w:r w:rsidR="00EB7690">
        <w:rPr>
          <w:rFonts w:ascii="Garamond" w:hAnsi="Garamond"/>
        </w:rPr>
        <w:t>tému daně z přidané hodnoty, ve </w:t>
      </w:r>
      <w:r w:rsidR="00EB7690" w:rsidRPr="00951657">
        <w:rPr>
          <w:rFonts w:ascii="Garamond" w:hAnsi="Garamond"/>
        </w:rPr>
        <w:t>znění pozdějších předpisů (dále jen „směrnice o DPH“)</w:t>
      </w:r>
      <w:r w:rsidR="00EB7690">
        <w:rPr>
          <w:rFonts w:ascii="Garamond" w:hAnsi="Garamond"/>
        </w:rPr>
        <w:t xml:space="preserve">, kterou nemůže posoudit sám (nejedná se o </w:t>
      </w:r>
      <w:r w:rsidR="00EB7690" w:rsidRPr="00EB7690">
        <w:rPr>
          <w:rFonts w:ascii="Garamond" w:hAnsi="Garamond"/>
          <w:i/>
        </w:rPr>
        <w:t>acte clair</w:t>
      </w:r>
      <w:r w:rsidR="00EB7690">
        <w:rPr>
          <w:rFonts w:ascii="Garamond" w:hAnsi="Garamond"/>
        </w:rPr>
        <w:t xml:space="preserve"> či </w:t>
      </w:r>
      <w:r w:rsidR="00EB7690" w:rsidRPr="00EB7690">
        <w:rPr>
          <w:rFonts w:ascii="Garamond" w:hAnsi="Garamond"/>
          <w:i/>
        </w:rPr>
        <w:t>acte éclairé</w:t>
      </w:r>
      <w:r w:rsidR="00EB7690">
        <w:rPr>
          <w:rFonts w:ascii="Garamond" w:hAnsi="Garamond"/>
        </w:rPr>
        <w:t xml:space="preserve">) a je rozhodující pro posouzení věci. </w:t>
      </w:r>
      <w:r w:rsidR="000D2E25">
        <w:rPr>
          <w:rFonts w:ascii="Garamond" w:hAnsi="Garamond"/>
        </w:rPr>
        <w:t>Soud proto</w:t>
      </w:r>
      <w:r w:rsidR="00BA29E2">
        <w:rPr>
          <w:rFonts w:ascii="Garamond" w:hAnsi="Garamond"/>
        </w:rPr>
        <w:t xml:space="preserve"> usnesení</w:t>
      </w:r>
      <w:r w:rsidR="00366A1D">
        <w:rPr>
          <w:rFonts w:ascii="Garamond" w:hAnsi="Garamond"/>
        </w:rPr>
        <w:t>m</w:t>
      </w:r>
      <w:r w:rsidR="00BA29E2">
        <w:rPr>
          <w:rFonts w:ascii="Garamond" w:hAnsi="Garamond"/>
        </w:rPr>
        <w:t xml:space="preserve"> ze dne 31. 5. 2018, č. j. 1 Afs 271/2017 – 56, </w:t>
      </w:r>
      <w:r w:rsidR="000D2E25">
        <w:rPr>
          <w:rFonts w:ascii="Garamond" w:hAnsi="Garamond"/>
        </w:rPr>
        <w:t xml:space="preserve">dle </w:t>
      </w:r>
      <w:r w:rsidR="000D2E25" w:rsidRPr="002A058A">
        <w:rPr>
          <w:rFonts w:ascii="Garamond" w:hAnsi="Garamond"/>
          <w:bCs/>
        </w:rPr>
        <w:t>čl. 267 Smlouvy</w:t>
      </w:r>
      <w:r w:rsidR="000D2E25">
        <w:rPr>
          <w:rFonts w:ascii="Garamond" w:hAnsi="Garamond"/>
          <w:bCs/>
        </w:rPr>
        <w:t xml:space="preserve"> </w:t>
      </w:r>
      <w:r w:rsidR="000D2E25" w:rsidRPr="002A058A">
        <w:rPr>
          <w:rFonts w:ascii="Garamond" w:hAnsi="Garamond"/>
          <w:bCs/>
        </w:rPr>
        <w:t>o fungování Evro</w:t>
      </w:r>
      <w:r w:rsidR="002C7240">
        <w:rPr>
          <w:rFonts w:ascii="Garamond" w:hAnsi="Garamond"/>
          <w:bCs/>
        </w:rPr>
        <w:t>pské unie (Úř. věst. C 326, 26. 10. 2012, s. 47 - </w:t>
      </w:r>
      <w:r w:rsidR="000D2E25" w:rsidRPr="002A058A">
        <w:rPr>
          <w:rFonts w:ascii="Garamond" w:hAnsi="Garamond"/>
          <w:bCs/>
        </w:rPr>
        <w:t>199, dále též „Smlouva“)</w:t>
      </w:r>
      <w:r w:rsidR="000D2E25">
        <w:rPr>
          <w:rFonts w:ascii="Garamond" w:hAnsi="Garamond"/>
          <w:bCs/>
        </w:rPr>
        <w:t xml:space="preserve"> </w:t>
      </w:r>
      <w:r w:rsidR="000D2E25" w:rsidRPr="002A058A">
        <w:rPr>
          <w:rFonts w:ascii="Garamond" w:hAnsi="Garamond"/>
          <w:bCs/>
        </w:rPr>
        <w:t xml:space="preserve">předložil </w:t>
      </w:r>
      <w:r w:rsidR="000D2E25">
        <w:rPr>
          <w:rFonts w:ascii="Garamond" w:hAnsi="Garamond"/>
          <w:bCs/>
        </w:rPr>
        <w:t xml:space="preserve">k zodpovězení </w:t>
      </w:r>
      <w:r w:rsidR="000D2E25" w:rsidRPr="002A058A">
        <w:rPr>
          <w:rFonts w:ascii="Garamond" w:hAnsi="Garamond"/>
          <w:bCs/>
        </w:rPr>
        <w:t xml:space="preserve">Soudnímu dvoru </w:t>
      </w:r>
      <w:r w:rsidR="000D2E25">
        <w:rPr>
          <w:rFonts w:ascii="Garamond" w:hAnsi="Garamond"/>
          <w:bCs/>
        </w:rPr>
        <w:t>tuto otázku:</w:t>
      </w:r>
      <w:r w:rsidR="00EB7690" w:rsidRPr="002A058A">
        <w:rPr>
          <w:rFonts w:ascii="Garamond" w:hAnsi="Garamond"/>
          <w:bCs/>
        </w:rPr>
        <w:t xml:space="preserve"> </w:t>
      </w:r>
      <w:r w:rsidRPr="000D2E25">
        <w:rPr>
          <w:rFonts w:ascii="Garamond" w:hAnsi="Garamond"/>
          <w:bCs/>
          <w:i/>
        </w:rPr>
        <w:t>Je v souladu s unijním právem, a především s principem neutrality DPH, opatření členského státu, které podmiňuje vyměření a výplatu části nárokovaného odpočtu DPH ukončením řízení o všech zdanitelných plněních v daném zdaňovacím období?</w:t>
      </w:r>
      <w:r w:rsidRPr="002A058A">
        <w:rPr>
          <w:rFonts w:ascii="Garamond" w:hAnsi="Garamond"/>
          <w:bCs/>
        </w:rPr>
        <w:t xml:space="preserve"> </w:t>
      </w:r>
      <w:r w:rsidR="00795C88">
        <w:rPr>
          <w:rFonts w:ascii="Garamond" w:hAnsi="Garamond"/>
          <w:bCs/>
        </w:rPr>
        <w:t xml:space="preserve">Řízení současně přerušil. </w:t>
      </w:r>
      <w:r w:rsidRPr="002A058A">
        <w:rPr>
          <w:rFonts w:ascii="Garamond" w:hAnsi="Garamond"/>
          <w:bCs/>
        </w:rPr>
        <w:t xml:space="preserve"> </w:t>
      </w:r>
    </w:p>
    <w:p w:rsidR="00795C88" w:rsidRDefault="006F212F" w:rsidP="00795C88">
      <w:pPr>
        <w:pStyle w:val="Odstavecseseznamem"/>
        <w:numPr>
          <w:ilvl w:val="0"/>
          <w:numId w:val="3"/>
        </w:numPr>
        <w:spacing w:before="240" w:after="240"/>
        <w:jc w:val="center"/>
        <w:rPr>
          <w:rFonts w:ascii="Garamond" w:hAnsi="Garamond"/>
          <w:b/>
        </w:rPr>
      </w:pPr>
      <w:r>
        <w:rPr>
          <w:rFonts w:ascii="Garamond" w:hAnsi="Garamond"/>
          <w:b/>
        </w:rPr>
        <w:t>Důvody pro pokračování v</w:t>
      </w:r>
      <w:r w:rsidR="00795C88">
        <w:rPr>
          <w:rFonts w:ascii="Garamond" w:hAnsi="Garamond"/>
          <w:b/>
        </w:rPr>
        <w:t> </w:t>
      </w:r>
      <w:r>
        <w:rPr>
          <w:rFonts w:ascii="Garamond" w:hAnsi="Garamond"/>
          <w:b/>
        </w:rPr>
        <w:t>řízení</w:t>
      </w:r>
    </w:p>
    <w:p w:rsidR="00795C88" w:rsidRPr="00795C88" w:rsidRDefault="00795C88" w:rsidP="00795C88">
      <w:pPr>
        <w:pStyle w:val="Odstavecseseznamem"/>
        <w:spacing w:before="240" w:after="240"/>
        <w:ind w:left="1080"/>
        <w:rPr>
          <w:rFonts w:ascii="Garamond" w:hAnsi="Garamond"/>
          <w:b/>
        </w:rPr>
      </w:pPr>
    </w:p>
    <w:p w:rsidR="00795C88" w:rsidRDefault="00795C88" w:rsidP="00795C88">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K předložené předběžné otázce se vyjádřila Komise Evropské unie, zástupci vlád České republiky a Španělského </w:t>
      </w:r>
      <w:r w:rsidR="0037063E">
        <w:rPr>
          <w:rFonts w:ascii="Garamond" w:hAnsi="Garamond"/>
        </w:rPr>
        <w:t>království. Všichni výše uveden</w:t>
      </w:r>
      <w:r w:rsidR="00A75431">
        <w:rPr>
          <w:rFonts w:ascii="Garamond" w:hAnsi="Garamond"/>
        </w:rPr>
        <w:t>í</w:t>
      </w:r>
      <w:r>
        <w:rPr>
          <w:rFonts w:ascii="Garamond" w:hAnsi="Garamond"/>
        </w:rPr>
        <w:t xml:space="preserve"> navr</w:t>
      </w:r>
      <w:r w:rsidR="00A75431">
        <w:rPr>
          <w:rFonts w:ascii="Garamond" w:hAnsi="Garamond"/>
        </w:rPr>
        <w:t>hli Soudnímu dvoru</w:t>
      </w:r>
      <w:r>
        <w:rPr>
          <w:rFonts w:ascii="Garamond" w:hAnsi="Garamond"/>
        </w:rPr>
        <w:t xml:space="preserve">, aby soud neshledal národní úpravu v rozporu s principem neutrality DPH. </w:t>
      </w:r>
    </w:p>
    <w:p w:rsidR="00795C88" w:rsidRPr="00BA29E2" w:rsidRDefault="00795C88" w:rsidP="00795C88">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V průběhu řízení o předběžné otázce rozhodl Ústavní soud nálezem ze dne 22. 2. 2019, sp. zn. II. ÚS 819/18, o protiprávnosti zadržování nesporné části nadměrného odpočtu na dani z přidané hodnoty. </w:t>
      </w:r>
      <w:r w:rsidR="0037063E">
        <w:rPr>
          <w:rFonts w:ascii="Garamond" w:hAnsi="Garamond"/>
        </w:rPr>
        <w:t>Shledal, že p</w:t>
      </w:r>
      <w:r>
        <w:rPr>
          <w:rFonts w:ascii="Garamond" w:hAnsi="Garamond"/>
        </w:rPr>
        <w:t>ro postup správce daně (zadržení nesporné</w:t>
      </w:r>
      <w:r w:rsidR="0037063E">
        <w:rPr>
          <w:rFonts w:ascii="Garamond" w:hAnsi="Garamond"/>
        </w:rPr>
        <w:t xml:space="preserve"> části daně z přidané hodnoty) </w:t>
      </w:r>
      <w:r>
        <w:rPr>
          <w:rFonts w:ascii="Garamond" w:hAnsi="Garamond"/>
        </w:rPr>
        <w:t>chybí zákonný základ</w:t>
      </w:r>
      <w:r w:rsidR="0037063E">
        <w:rPr>
          <w:rFonts w:ascii="Garamond" w:hAnsi="Garamond"/>
        </w:rPr>
        <w:t xml:space="preserve"> a jde o zásah do vlastnického práva daňového subjektu</w:t>
      </w:r>
      <w:r>
        <w:rPr>
          <w:rFonts w:ascii="Garamond" w:hAnsi="Garamond"/>
        </w:rPr>
        <w:t xml:space="preserve">. </w:t>
      </w:r>
    </w:p>
    <w:p w:rsidR="000E5E47" w:rsidRDefault="00795C88" w:rsidP="00795C88">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Generální advokátka J. Kokott ve svém stanovisku </w:t>
      </w:r>
      <w:r w:rsidR="00DF068A">
        <w:rPr>
          <w:rFonts w:ascii="Garamond" w:hAnsi="Garamond"/>
        </w:rPr>
        <w:t xml:space="preserve">k předložené otázce </w:t>
      </w:r>
      <w:r w:rsidR="003F2DD5">
        <w:rPr>
          <w:rFonts w:ascii="Garamond" w:hAnsi="Garamond"/>
        </w:rPr>
        <w:t>ze dne 19. 12. </w:t>
      </w:r>
      <w:r>
        <w:rPr>
          <w:rFonts w:ascii="Garamond" w:hAnsi="Garamond"/>
        </w:rPr>
        <w:t xml:space="preserve">2019 (ve věci C-446/18, </w:t>
      </w:r>
      <w:r w:rsidRPr="00331055">
        <w:rPr>
          <w:rFonts w:ascii="Garamond" w:hAnsi="Garamond"/>
          <w:i/>
        </w:rPr>
        <w:t>AGROBET CZ</w:t>
      </w:r>
      <w:r w:rsidR="0037063E">
        <w:rPr>
          <w:rFonts w:ascii="Garamond" w:hAnsi="Garamond"/>
        </w:rPr>
        <w:t>) navrhovala</w:t>
      </w:r>
      <w:r>
        <w:rPr>
          <w:rFonts w:ascii="Garamond" w:hAnsi="Garamond"/>
        </w:rPr>
        <w:t xml:space="preserve"> S</w:t>
      </w:r>
      <w:r w:rsidR="003F2DD5">
        <w:rPr>
          <w:rFonts w:ascii="Garamond" w:hAnsi="Garamond"/>
        </w:rPr>
        <w:t>oudnímu dvoru odpovědět tak, že </w:t>
      </w:r>
      <w:r>
        <w:rPr>
          <w:rFonts w:ascii="Garamond" w:hAnsi="Garamond"/>
        </w:rPr>
        <w:t>pozdržení vyměření a výplaty nesporné části ná</w:t>
      </w:r>
      <w:r w:rsidR="003F2DD5">
        <w:rPr>
          <w:rFonts w:ascii="Garamond" w:hAnsi="Garamond"/>
        </w:rPr>
        <w:t>rokovaného nadměrného odpočtu o </w:t>
      </w:r>
      <w:r>
        <w:rPr>
          <w:rFonts w:ascii="Garamond" w:hAnsi="Garamond"/>
        </w:rPr>
        <w:t>neurčitou dobu až do okamžiku, než bude dostatečně prověřena sporná část nárokovaného nadměrného odpočtu daně, není v souladu s č. 167 a 168 směrnice o DPH.</w:t>
      </w:r>
    </w:p>
    <w:p w:rsidR="00795C88" w:rsidRPr="00222B55" w:rsidRDefault="00795C88" w:rsidP="00222B55">
      <w:pPr>
        <w:pStyle w:val="Odstavecseseznamem"/>
        <w:numPr>
          <w:ilvl w:val="0"/>
          <w:numId w:val="2"/>
        </w:numPr>
        <w:spacing w:before="240" w:after="240"/>
        <w:ind w:left="0" w:firstLine="0"/>
        <w:contextualSpacing w:val="0"/>
        <w:jc w:val="both"/>
        <w:rPr>
          <w:rFonts w:ascii="Garamond" w:hAnsi="Garamond"/>
        </w:rPr>
      </w:pPr>
      <w:r w:rsidRPr="00331055">
        <w:rPr>
          <w:rFonts w:ascii="Garamond" w:hAnsi="Garamond"/>
        </w:rPr>
        <w:t xml:space="preserve">Soudní dvůr </w:t>
      </w:r>
      <w:r w:rsidR="00824E88" w:rsidRPr="00331055">
        <w:rPr>
          <w:rFonts w:ascii="Garamond" w:hAnsi="Garamond"/>
        </w:rPr>
        <w:t xml:space="preserve">o předběžné otázce rozhodl </w:t>
      </w:r>
      <w:r w:rsidR="00006017">
        <w:rPr>
          <w:rFonts w:ascii="Garamond" w:hAnsi="Garamond"/>
        </w:rPr>
        <w:t>rozsudkem</w:t>
      </w:r>
      <w:r w:rsidR="00824E88" w:rsidRPr="00331055">
        <w:rPr>
          <w:rFonts w:ascii="Garamond" w:hAnsi="Garamond"/>
        </w:rPr>
        <w:t xml:space="preserve"> ze dne </w:t>
      </w:r>
      <w:r w:rsidR="00331055" w:rsidRPr="00331055">
        <w:rPr>
          <w:rFonts w:ascii="Garamond" w:hAnsi="Garamond"/>
        </w:rPr>
        <w:t>14. 5. 2020.</w:t>
      </w:r>
      <w:r w:rsidR="00331055">
        <w:rPr>
          <w:rFonts w:ascii="Garamond" w:hAnsi="Garamond"/>
        </w:rPr>
        <w:t xml:space="preserve"> V</w:t>
      </w:r>
      <w:r w:rsidR="00361818" w:rsidRPr="00331055">
        <w:rPr>
          <w:rFonts w:ascii="Garamond" w:hAnsi="Garamond"/>
        </w:rPr>
        <w:t xml:space="preserve"> bodu [36] </w:t>
      </w:r>
      <w:r w:rsidR="00006017">
        <w:rPr>
          <w:rFonts w:ascii="Garamond" w:hAnsi="Garamond"/>
        </w:rPr>
        <w:t>rozsudku</w:t>
      </w:r>
      <w:r w:rsidR="00361818" w:rsidRPr="00331055">
        <w:rPr>
          <w:rFonts w:ascii="Garamond" w:hAnsi="Garamond"/>
        </w:rPr>
        <w:t xml:space="preserve"> dospěl k závěru, že články 179 a 183 směrnice o DPH </w:t>
      </w:r>
      <w:r w:rsidR="003F2DD5">
        <w:rPr>
          <w:rFonts w:ascii="Garamond" w:hAnsi="Garamond"/>
        </w:rPr>
        <w:t>nelze vykládat v tom smyslu, že </w:t>
      </w:r>
      <w:r w:rsidR="00361818" w:rsidRPr="00331055">
        <w:rPr>
          <w:rFonts w:ascii="Garamond" w:hAnsi="Garamond"/>
        </w:rPr>
        <w:t xml:space="preserve">by zásadně vylučovaly možnost identifikovat za určité zdaňovací období nezpochybněnou část nadměrného odpočtu DPH vykázaného v přiznání k DPH, jež by mohla </w:t>
      </w:r>
      <w:r w:rsidR="00DF068A">
        <w:rPr>
          <w:rFonts w:ascii="Garamond" w:hAnsi="Garamond"/>
        </w:rPr>
        <w:t>být</w:t>
      </w:r>
      <w:r w:rsidR="00DF068A" w:rsidRPr="00331055">
        <w:rPr>
          <w:rFonts w:ascii="Garamond" w:hAnsi="Garamond"/>
        </w:rPr>
        <w:t xml:space="preserve"> </w:t>
      </w:r>
      <w:r w:rsidR="00361818" w:rsidRPr="00331055">
        <w:rPr>
          <w:rFonts w:ascii="Garamond" w:hAnsi="Garamond"/>
        </w:rPr>
        <w:t xml:space="preserve">předmětem částečného převedení nebo vracení tohoto nadměrného odpočtu. Dále pak v bodech [37] a násl. </w:t>
      </w:r>
      <w:r w:rsidR="00006017">
        <w:rPr>
          <w:rFonts w:ascii="Garamond" w:hAnsi="Garamond"/>
        </w:rPr>
        <w:t xml:space="preserve">rozsudku </w:t>
      </w:r>
      <w:r w:rsidR="00361818" w:rsidRPr="00331055">
        <w:rPr>
          <w:rFonts w:ascii="Garamond" w:hAnsi="Garamond"/>
        </w:rPr>
        <w:t>stanovil podmínky, za kterých lze považovat část nadměrného odpočtu</w:t>
      </w:r>
      <w:r w:rsidR="002D01E8" w:rsidRPr="00331055">
        <w:rPr>
          <w:rFonts w:ascii="Garamond" w:hAnsi="Garamond"/>
        </w:rPr>
        <w:t xml:space="preserve"> DPH</w:t>
      </w:r>
      <w:r w:rsidR="003F2DD5">
        <w:rPr>
          <w:rFonts w:ascii="Garamond" w:hAnsi="Garamond"/>
        </w:rPr>
        <w:t xml:space="preserve"> za </w:t>
      </w:r>
      <w:r w:rsidR="00361818" w:rsidRPr="00331055">
        <w:rPr>
          <w:rFonts w:ascii="Garamond" w:hAnsi="Garamond"/>
        </w:rPr>
        <w:t>nespornou.</w:t>
      </w:r>
      <w:r w:rsidR="002119F5">
        <w:rPr>
          <w:rFonts w:ascii="Garamond" w:hAnsi="Garamond"/>
        </w:rPr>
        <w:t xml:space="preserve"> </w:t>
      </w:r>
    </w:p>
    <w:p w:rsidR="006E2D4B" w:rsidRPr="006E2D4B" w:rsidRDefault="006E2D4B" w:rsidP="006E2D4B">
      <w:pPr>
        <w:pStyle w:val="Odstavecseseznamem"/>
        <w:numPr>
          <w:ilvl w:val="0"/>
          <w:numId w:val="2"/>
        </w:numPr>
        <w:spacing w:before="240" w:after="240"/>
        <w:ind w:left="0" w:firstLine="0"/>
        <w:contextualSpacing w:val="0"/>
        <w:jc w:val="both"/>
        <w:rPr>
          <w:rFonts w:ascii="Garamond" w:hAnsi="Garamond"/>
        </w:rPr>
      </w:pPr>
      <w:r w:rsidRPr="006E2D4B">
        <w:rPr>
          <w:rFonts w:ascii="Garamond" w:hAnsi="Garamond"/>
        </w:rPr>
        <w:t xml:space="preserve">Vzhledem ke skutečnosti, že </w:t>
      </w:r>
      <w:r>
        <w:rPr>
          <w:rFonts w:ascii="Garamond" w:hAnsi="Garamond"/>
        </w:rPr>
        <w:t xml:space="preserve">Soudní dvůr </w:t>
      </w:r>
      <w:r w:rsidRPr="006E2D4B">
        <w:rPr>
          <w:rFonts w:ascii="Garamond" w:hAnsi="Garamond"/>
        </w:rPr>
        <w:t>v</w:t>
      </w:r>
      <w:r>
        <w:rPr>
          <w:rFonts w:ascii="Garamond" w:hAnsi="Garamond"/>
        </w:rPr>
        <w:t> projednávané věci odpověděl na předloženou předběžnou otázku</w:t>
      </w:r>
      <w:r w:rsidRPr="006E2D4B">
        <w:rPr>
          <w:rFonts w:ascii="Garamond" w:hAnsi="Garamond"/>
        </w:rPr>
        <w:t>, odpadla tím překážka řízení a senát podle § 48 odst. 6</w:t>
      </w:r>
      <w:r>
        <w:rPr>
          <w:rFonts w:ascii="Garamond" w:hAnsi="Garamond"/>
        </w:rPr>
        <w:t xml:space="preserve"> </w:t>
      </w:r>
      <w:r w:rsidRPr="006E2D4B">
        <w:rPr>
          <w:rFonts w:ascii="Garamond" w:hAnsi="Garamond"/>
        </w:rPr>
        <w:t>zákona č. 150/2002 Sb., soudní řád správní</w:t>
      </w:r>
      <w:r>
        <w:rPr>
          <w:rFonts w:ascii="Garamond" w:hAnsi="Garamond"/>
        </w:rPr>
        <w:t xml:space="preserve"> (dále jen „s. ř. s.“</w:t>
      </w:r>
      <w:r w:rsidR="00C4250D">
        <w:rPr>
          <w:rFonts w:ascii="Garamond" w:hAnsi="Garamond"/>
        </w:rPr>
        <w:t>)</w:t>
      </w:r>
      <w:r w:rsidRPr="006E2D4B">
        <w:rPr>
          <w:rFonts w:ascii="Garamond" w:hAnsi="Garamond"/>
        </w:rPr>
        <w:t xml:space="preserve">, rozhodl, že se v řízení pokračuje. </w:t>
      </w:r>
    </w:p>
    <w:p w:rsidR="0011650B" w:rsidRPr="00C4250D" w:rsidRDefault="00C4250D" w:rsidP="00C4250D">
      <w:pPr>
        <w:pStyle w:val="Odstavecseseznamem"/>
        <w:numPr>
          <w:ilvl w:val="0"/>
          <w:numId w:val="3"/>
        </w:numPr>
        <w:spacing w:before="240" w:after="240"/>
        <w:jc w:val="center"/>
        <w:rPr>
          <w:rFonts w:ascii="Garamond" w:hAnsi="Garamond"/>
          <w:b/>
        </w:rPr>
      </w:pPr>
      <w:r>
        <w:rPr>
          <w:rFonts w:ascii="Garamond" w:hAnsi="Garamond"/>
          <w:b/>
        </w:rPr>
        <w:t xml:space="preserve">Vyjádření žalovaného </w:t>
      </w:r>
      <w:r w:rsidR="00E87B59">
        <w:rPr>
          <w:rFonts w:ascii="Garamond" w:hAnsi="Garamond"/>
          <w:b/>
        </w:rPr>
        <w:t>a stěžovatel</w:t>
      </w:r>
      <w:r w:rsidR="00366A1D">
        <w:rPr>
          <w:rFonts w:ascii="Garamond" w:hAnsi="Garamond"/>
          <w:b/>
        </w:rPr>
        <w:t>ky</w:t>
      </w:r>
      <w:r w:rsidR="00E87B59">
        <w:rPr>
          <w:rFonts w:ascii="Garamond" w:hAnsi="Garamond"/>
          <w:b/>
        </w:rPr>
        <w:t xml:space="preserve"> </w:t>
      </w:r>
      <w:r>
        <w:rPr>
          <w:rFonts w:ascii="Garamond" w:hAnsi="Garamond"/>
          <w:b/>
        </w:rPr>
        <w:t>k </w:t>
      </w:r>
      <w:r w:rsidR="00814484">
        <w:rPr>
          <w:rFonts w:ascii="Garamond" w:hAnsi="Garamond"/>
          <w:b/>
        </w:rPr>
        <w:t>rozsudku</w:t>
      </w:r>
      <w:r>
        <w:rPr>
          <w:rFonts w:ascii="Garamond" w:hAnsi="Garamond"/>
          <w:b/>
        </w:rPr>
        <w:t xml:space="preserve"> </w:t>
      </w:r>
      <w:r w:rsidRPr="00C4250D">
        <w:rPr>
          <w:rFonts w:ascii="Garamond" w:hAnsi="Garamond"/>
          <w:b/>
        </w:rPr>
        <w:t xml:space="preserve">Soudního dvora Evropské unie </w:t>
      </w:r>
    </w:p>
    <w:p w:rsidR="0011650B" w:rsidRPr="00951657" w:rsidRDefault="0011650B" w:rsidP="00951657">
      <w:pPr>
        <w:pStyle w:val="Odstavecseseznamem"/>
        <w:spacing w:before="240" w:after="240"/>
        <w:ind w:left="1080"/>
        <w:rPr>
          <w:rFonts w:ascii="Garamond" w:hAnsi="Garamond"/>
          <w:b/>
        </w:rPr>
      </w:pPr>
    </w:p>
    <w:p w:rsidR="00C4250D" w:rsidRDefault="00044017" w:rsidP="00984B4F">
      <w:pPr>
        <w:pStyle w:val="Odstavecseseznamem"/>
        <w:numPr>
          <w:ilvl w:val="0"/>
          <w:numId w:val="2"/>
        </w:numPr>
        <w:spacing w:before="240" w:after="240"/>
        <w:ind w:left="0" w:firstLine="0"/>
        <w:contextualSpacing w:val="0"/>
        <w:jc w:val="both"/>
        <w:rPr>
          <w:rFonts w:ascii="Garamond" w:hAnsi="Garamond"/>
        </w:rPr>
      </w:pPr>
      <w:r w:rsidRPr="00984B4F">
        <w:rPr>
          <w:rFonts w:ascii="Garamond" w:hAnsi="Garamond"/>
        </w:rPr>
        <w:t>K výzvě soudu se k rozsudku ve věci AGROBET CZ dne 15. 6. 2020</w:t>
      </w:r>
      <w:r w:rsidR="0037063E">
        <w:rPr>
          <w:rFonts w:ascii="Garamond" w:hAnsi="Garamond"/>
        </w:rPr>
        <w:t xml:space="preserve"> vyjádřil</w:t>
      </w:r>
      <w:r w:rsidRPr="00984B4F">
        <w:rPr>
          <w:rFonts w:ascii="Garamond" w:hAnsi="Garamond"/>
        </w:rPr>
        <w:t xml:space="preserve"> žalovaný. Ve svém vyjádření uvedl, že Soudní dvůr stanovil pět podmínek pro vyplacení nesporné části nadměrného odpočtu. </w:t>
      </w:r>
      <w:r w:rsidR="00984B4F" w:rsidRPr="00984B4F">
        <w:rPr>
          <w:rFonts w:ascii="Garamond" w:hAnsi="Garamond"/>
        </w:rPr>
        <w:t>O nesporné části nadměrného odpočtu lze dle žalovaného hovořit pouze tehdy:</w:t>
      </w:r>
      <w:r w:rsidR="00984B4F" w:rsidRPr="00984B4F">
        <w:rPr>
          <w:rFonts w:ascii="Garamond" w:hAnsi="Garamond"/>
        </w:rPr>
        <w:tab/>
        <w:t xml:space="preserve">a) jestliže částka splatné daně i částka odpočitatelné daně připadající na toto plnění jsou samy nesporné (bod </w:t>
      </w:r>
      <w:r w:rsidR="0037063E" w:rsidRPr="0037063E">
        <w:rPr>
          <w:rFonts w:ascii="Garamond" w:hAnsi="Garamond"/>
        </w:rPr>
        <w:t>[</w:t>
      </w:r>
      <w:r w:rsidR="00984B4F" w:rsidRPr="00984B4F">
        <w:rPr>
          <w:rFonts w:ascii="Garamond" w:hAnsi="Garamond"/>
        </w:rPr>
        <w:t>37</w:t>
      </w:r>
      <w:r w:rsidR="0037063E">
        <w:rPr>
          <w:rFonts w:ascii="Garamond" w:hAnsi="Garamond"/>
        </w:rPr>
        <w:t>]</w:t>
      </w:r>
      <w:r w:rsidR="00984B4F" w:rsidRPr="00984B4F">
        <w:rPr>
          <w:rFonts w:ascii="Garamond" w:hAnsi="Garamond"/>
        </w:rPr>
        <w:t xml:space="preserve"> rozsudku); b) jestliže údaje pro výpočet nesporné částky nebude možné do skončení kontroly zpochybnit. </w:t>
      </w:r>
      <w:r w:rsidR="00E87B59">
        <w:rPr>
          <w:rFonts w:ascii="Garamond" w:hAnsi="Garamond"/>
        </w:rPr>
        <w:t>Budou-li se</w:t>
      </w:r>
      <w:r w:rsidR="00E87B59" w:rsidRPr="00984B4F">
        <w:rPr>
          <w:rFonts w:ascii="Garamond" w:hAnsi="Garamond"/>
        </w:rPr>
        <w:t xml:space="preserve"> </w:t>
      </w:r>
      <w:r w:rsidR="00984B4F" w:rsidRPr="00984B4F">
        <w:rPr>
          <w:rFonts w:ascii="Garamond" w:hAnsi="Garamond"/>
        </w:rPr>
        <w:t xml:space="preserve">při zahájení daňové kontroly nebo po jejím skončení částky splatné a odpočitatelné daně z plnění, která nejsou kontrolou dotčena, odchylovat od částek přiznaných osobou povinnou k dani, nelze odpovídající část příslušného nadměrného odpočtu DPH považovat za nespornou (bod </w:t>
      </w:r>
      <w:r w:rsidR="003C0021" w:rsidRPr="003C0021">
        <w:rPr>
          <w:rFonts w:ascii="Garamond" w:hAnsi="Garamond"/>
        </w:rPr>
        <w:t>[</w:t>
      </w:r>
      <w:r w:rsidR="00984B4F" w:rsidRPr="00984B4F">
        <w:rPr>
          <w:rFonts w:ascii="Garamond" w:hAnsi="Garamond"/>
        </w:rPr>
        <w:t>38</w:t>
      </w:r>
      <w:r w:rsidR="003C0021">
        <w:rPr>
          <w:rFonts w:ascii="Garamond" w:hAnsi="Garamond"/>
        </w:rPr>
        <w:t>]</w:t>
      </w:r>
      <w:r w:rsidR="00984B4F" w:rsidRPr="00984B4F">
        <w:rPr>
          <w:rFonts w:ascii="Garamond" w:hAnsi="Garamond"/>
        </w:rPr>
        <w:t xml:space="preserve"> rozsudku); c) aby bylo možné část nadměrné</w:t>
      </w:r>
      <w:r w:rsidR="00E87B59">
        <w:rPr>
          <w:rFonts w:ascii="Garamond" w:hAnsi="Garamond"/>
        </w:rPr>
        <w:t>ho</w:t>
      </w:r>
      <w:r w:rsidR="00984B4F" w:rsidRPr="00984B4F">
        <w:rPr>
          <w:rFonts w:ascii="Garamond" w:hAnsi="Garamond"/>
        </w:rPr>
        <w:t xml:space="preserve"> odpočtu považovat za nespornou, nestačí jednostranné prohlášení osoby povinné k</w:t>
      </w:r>
      <w:r w:rsidR="00984B4F">
        <w:rPr>
          <w:rFonts w:ascii="Garamond" w:hAnsi="Garamond"/>
        </w:rPr>
        <w:t> </w:t>
      </w:r>
      <w:r w:rsidR="00984B4F" w:rsidRPr="00984B4F">
        <w:rPr>
          <w:rFonts w:ascii="Garamond" w:hAnsi="Garamond"/>
        </w:rPr>
        <w:t>dani, že existuje nezpochybněná č</w:t>
      </w:r>
      <w:r w:rsidR="00E87B59">
        <w:rPr>
          <w:rFonts w:ascii="Garamond" w:hAnsi="Garamond"/>
        </w:rPr>
        <w:t>á</w:t>
      </w:r>
      <w:r w:rsidR="00984B4F" w:rsidRPr="00984B4F">
        <w:rPr>
          <w:rFonts w:ascii="Garamond" w:hAnsi="Garamond"/>
        </w:rPr>
        <w:t xml:space="preserve">st nadměrného odpočtu, ani když existenci takové části nasvědčuje omezení daňové kontroly na určitá plnění osoby povinné k dani (bod </w:t>
      </w:r>
      <w:r w:rsidR="003C0021">
        <w:rPr>
          <w:rFonts w:ascii="Garamond" w:hAnsi="Garamond"/>
        </w:rPr>
        <w:t>[</w:t>
      </w:r>
      <w:r w:rsidR="00984B4F" w:rsidRPr="00984B4F">
        <w:rPr>
          <w:rFonts w:ascii="Garamond" w:hAnsi="Garamond"/>
        </w:rPr>
        <w:t>39</w:t>
      </w:r>
      <w:r w:rsidR="003C0021">
        <w:rPr>
          <w:rFonts w:ascii="Garamond" w:hAnsi="Garamond"/>
        </w:rPr>
        <w:t>]</w:t>
      </w:r>
      <w:r w:rsidR="00984B4F" w:rsidRPr="00984B4F">
        <w:rPr>
          <w:rFonts w:ascii="Garamond" w:hAnsi="Garamond"/>
        </w:rPr>
        <w:t xml:space="preserve"> rozsudku); d) jestliže případné nesrovnalosti, na něž má správce daně podezření, neměly dopad na částky splatné DPH a odpočitatelné DPH odpovídající plněním nedotčeným rozsahem kontroly, tj.</w:t>
      </w:r>
      <w:r w:rsidR="00A33D0A">
        <w:rPr>
          <w:rFonts w:ascii="Garamond" w:hAnsi="Garamond"/>
        </w:rPr>
        <w:t> </w:t>
      </w:r>
      <w:r w:rsidR="00984B4F" w:rsidRPr="00984B4F">
        <w:rPr>
          <w:rFonts w:ascii="Garamond" w:hAnsi="Garamond"/>
        </w:rPr>
        <w:t>na</w:t>
      </w:r>
      <w:r w:rsidR="00A33D0A">
        <w:rPr>
          <w:rFonts w:ascii="Garamond" w:hAnsi="Garamond"/>
        </w:rPr>
        <w:t> </w:t>
      </w:r>
      <w:r w:rsidR="00984B4F" w:rsidRPr="00984B4F">
        <w:rPr>
          <w:rFonts w:ascii="Garamond" w:hAnsi="Garamond"/>
        </w:rPr>
        <w:t xml:space="preserve">částku nadměrného odpočtu DPH, která se jeví být nezpochybněná. (bod </w:t>
      </w:r>
      <w:r w:rsidR="003C0021">
        <w:rPr>
          <w:rFonts w:ascii="Garamond" w:hAnsi="Garamond"/>
        </w:rPr>
        <w:t>[</w:t>
      </w:r>
      <w:r w:rsidR="00984B4F" w:rsidRPr="00984B4F">
        <w:rPr>
          <w:rFonts w:ascii="Garamond" w:hAnsi="Garamond"/>
        </w:rPr>
        <w:t>39</w:t>
      </w:r>
      <w:r w:rsidR="003C0021">
        <w:rPr>
          <w:rFonts w:ascii="Garamond" w:hAnsi="Garamond"/>
        </w:rPr>
        <w:t>]</w:t>
      </w:r>
      <w:r w:rsidR="00984B4F" w:rsidRPr="00984B4F">
        <w:rPr>
          <w:rFonts w:ascii="Garamond" w:hAnsi="Garamond"/>
        </w:rPr>
        <w:t xml:space="preserve"> rozsudku);</w:t>
      </w:r>
      <w:r w:rsidR="00984B4F">
        <w:rPr>
          <w:rFonts w:ascii="Garamond" w:hAnsi="Garamond"/>
        </w:rPr>
        <w:t xml:space="preserve"> </w:t>
      </w:r>
      <w:r w:rsidR="00984B4F" w:rsidRPr="00984B4F">
        <w:rPr>
          <w:rFonts w:ascii="Garamond" w:hAnsi="Garamond"/>
        </w:rPr>
        <w:t>e)</w:t>
      </w:r>
      <w:r w:rsidR="00984B4F">
        <w:rPr>
          <w:rFonts w:ascii="Garamond" w:hAnsi="Garamond"/>
        </w:rPr>
        <w:t> </w:t>
      </w:r>
      <w:r w:rsidR="00984B4F" w:rsidRPr="00984B4F">
        <w:rPr>
          <w:rFonts w:ascii="Garamond" w:hAnsi="Garamond"/>
        </w:rPr>
        <w:t>jestliže správce daně nebude nucen rozšířit rozsah této kontroly na všechna původně</w:t>
      </w:r>
      <w:r w:rsidR="00984B4F">
        <w:rPr>
          <w:rFonts w:ascii="Garamond" w:hAnsi="Garamond"/>
        </w:rPr>
        <w:t xml:space="preserve"> </w:t>
      </w:r>
      <w:r w:rsidR="00984B4F" w:rsidRPr="00984B4F">
        <w:rPr>
          <w:rFonts w:ascii="Garamond" w:hAnsi="Garamond"/>
        </w:rPr>
        <w:t>nekontrolovaná plnění či ně</w:t>
      </w:r>
      <w:r w:rsidR="00984B4F">
        <w:rPr>
          <w:rFonts w:ascii="Garamond" w:hAnsi="Garamond"/>
        </w:rPr>
        <w:t xml:space="preserve">která z nich (bod </w:t>
      </w:r>
      <w:r w:rsidR="003C0021">
        <w:rPr>
          <w:rFonts w:ascii="Garamond" w:hAnsi="Garamond"/>
        </w:rPr>
        <w:t>[</w:t>
      </w:r>
      <w:r w:rsidR="00984B4F">
        <w:rPr>
          <w:rFonts w:ascii="Garamond" w:hAnsi="Garamond"/>
        </w:rPr>
        <w:t>39</w:t>
      </w:r>
      <w:r w:rsidR="003C0021">
        <w:rPr>
          <w:rFonts w:ascii="Garamond" w:hAnsi="Garamond"/>
        </w:rPr>
        <w:t>]</w:t>
      </w:r>
      <w:r w:rsidR="00984B4F">
        <w:rPr>
          <w:rFonts w:ascii="Garamond" w:hAnsi="Garamond"/>
        </w:rPr>
        <w:t xml:space="preserve"> rozsudku).</w:t>
      </w:r>
      <w:r w:rsidRPr="00984B4F">
        <w:rPr>
          <w:rFonts w:ascii="Garamond" w:hAnsi="Garamond"/>
        </w:rPr>
        <w:t xml:space="preserve"> </w:t>
      </w:r>
    </w:p>
    <w:p w:rsidR="008741BE" w:rsidRPr="008741BE" w:rsidRDefault="008741BE" w:rsidP="008741BE">
      <w:pPr>
        <w:pStyle w:val="Odstavecseseznamem"/>
        <w:numPr>
          <w:ilvl w:val="0"/>
          <w:numId w:val="2"/>
        </w:numPr>
        <w:spacing w:before="240" w:after="240"/>
        <w:ind w:left="0" w:firstLine="0"/>
        <w:contextualSpacing w:val="0"/>
        <w:jc w:val="both"/>
        <w:rPr>
          <w:rFonts w:ascii="Garamond" w:hAnsi="Garamond"/>
        </w:rPr>
      </w:pPr>
      <w:r w:rsidRPr="008741BE">
        <w:rPr>
          <w:rFonts w:ascii="Garamond" w:hAnsi="Garamond"/>
        </w:rPr>
        <w:t xml:space="preserve">Žalovaný o DPH za zdaňovací období prosinec 2015 </w:t>
      </w:r>
      <w:r w:rsidR="003F2DD5">
        <w:rPr>
          <w:rFonts w:ascii="Garamond" w:hAnsi="Garamond"/>
        </w:rPr>
        <w:t>a leden 2016 rozhodl platebními výměry ze dne 17. 7. 2019 č. </w:t>
      </w:r>
      <w:r w:rsidRPr="008741BE">
        <w:rPr>
          <w:rFonts w:ascii="Garamond" w:hAnsi="Garamond"/>
        </w:rPr>
        <w:t>j. 38</w:t>
      </w:r>
      <w:r w:rsidR="003F2DD5">
        <w:rPr>
          <w:rFonts w:ascii="Garamond" w:hAnsi="Garamond"/>
        </w:rPr>
        <w:t>44809/19/2119-50523-202191 a č. </w:t>
      </w:r>
      <w:r w:rsidRPr="008741BE">
        <w:rPr>
          <w:rFonts w:ascii="Garamond" w:hAnsi="Garamond"/>
        </w:rPr>
        <w:t>j. 3845067/19/2119-50523-202191. Dospěl k závěru, že stěžovatel</w:t>
      </w:r>
      <w:r w:rsidR="00366A1D">
        <w:rPr>
          <w:rFonts w:ascii="Garamond" w:hAnsi="Garamond"/>
        </w:rPr>
        <w:t>ka</w:t>
      </w:r>
      <w:r w:rsidRPr="008741BE">
        <w:rPr>
          <w:rFonts w:ascii="Garamond" w:hAnsi="Garamond"/>
        </w:rPr>
        <w:t xml:space="preserve"> věděl</w:t>
      </w:r>
      <w:r w:rsidR="00366A1D">
        <w:rPr>
          <w:rFonts w:ascii="Garamond" w:hAnsi="Garamond"/>
        </w:rPr>
        <w:t>a</w:t>
      </w:r>
      <w:r w:rsidRPr="008741BE">
        <w:rPr>
          <w:rFonts w:ascii="Garamond" w:hAnsi="Garamond"/>
        </w:rPr>
        <w:t>, nebo vědět měl</w:t>
      </w:r>
      <w:r w:rsidR="00366A1D">
        <w:rPr>
          <w:rFonts w:ascii="Garamond" w:hAnsi="Garamond"/>
        </w:rPr>
        <w:t>a</w:t>
      </w:r>
      <w:r w:rsidR="003F2DD5">
        <w:rPr>
          <w:rFonts w:ascii="Garamond" w:hAnsi="Garamond"/>
        </w:rPr>
        <w:t xml:space="preserve"> a </w:t>
      </w:r>
      <w:r w:rsidRPr="008741BE">
        <w:rPr>
          <w:rFonts w:ascii="Garamond" w:hAnsi="Garamond"/>
        </w:rPr>
        <w:t>mohl</w:t>
      </w:r>
      <w:r w:rsidR="00366A1D">
        <w:rPr>
          <w:rFonts w:ascii="Garamond" w:hAnsi="Garamond"/>
        </w:rPr>
        <w:t>a</w:t>
      </w:r>
      <w:r w:rsidRPr="008741BE">
        <w:rPr>
          <w:rFonts w:ascii="Garamond" w:hAnsi="Garamond"/>
        </w:rPr>
        <w:t>, že se účastní na plnění, které je součástí podvodného řetězce, jehož účelem není prodej</w:t>
      </w:r>
      <w:r>
        <w:rPr>
          <w:rFonts w:ascii="Garamond" w:hAnsi="Garamond"/>
        </w:rPr>
        <w:t xml:space="preserve"> </w:t>
      </w:r>
      <w:r w:rsidRPr="008741BE">
        <w:rPr>
          <w:rFonts w:ascii="Garamond" w:hAnsi="Garamond"/>
        </w:rPr>
        <w:t>zboží, ale získání daňového zvýhodnění.</w:t>
      </w:r>
      <w:r>
        <w:rPr>
          <w:rFonts w:ascii="Garamond" w:hAnsi="Garamond"/>
        </w:rPr>
        <w:t xml:space="preserve"> Uplatňovaný nadměrný odpočet snížil (část zasaženou daňovým podvodem neuznal). </w:t>
      </w:r>
    </w:p>
    <w:p w:rsidR="008741BE" w:rsidRPr="00F919C6" w:rsidRDefault="0076636E" w:rsidP="008741BE">
      <w:pPr>
        <w:pStyle w:val="Odstavecseseznamem"/>
        <w:numPr>
          <w:ilvl w:val="0"/>
          <w:numId w:val="2"/>
        </w:numPr>
        <w:spacing w:before="240" w:after="240"/>
        <w:ind w:left="0" w:firstLine="0"/>
        <w:contextualSpacing w:val="0"/>
        <w:jc w:val="both"/>
        <w:rPr>
          <w:rFonts w:ascii="Garamond" w:hAnsi="Garamond"/>
        </w:rPr>
      </w:pPr>
      <w:r>
        <w:rPr>
          <w:rFonts w:ascii="Garamond" w:hAnsi="Garamond"/>
        </w:rPr>
        <w:t>P</w:t>
      </w:r>
      <w:r w:rsidR="008741BE" w:rsidRPr="00F919C6">
        <w:rPr>
          <w:rFonts w:ascii="Garamond" w:hAnsi="Garamond"/>
        </w:rPr>
        <w:t>odmínky pro výplatu nesporné části nadměrného odpočtu nebyly</w:t>
      </w:r>
      <w:r w:rsidR="00F919C6" w:rsidRPr="00F919C6">
        <w:rPr>
          <w:rFonts w:ascii="Garamond" w:hAnsi="Garamond"/>
        </w:rPr>
        <w:t xml:space="preserve"> </w:t>
      </w:r>
      <w:r w:rsidR="008741BE" w:rsidRPr="00F919C6">
        <w:rPr>
          <w:rFonts w:ascii="Garamond" w:hAnsi="Garamond"/>
        </w:rPr>
        <w:t xml:space="preserve">naplněny, neboť nesporná část nadměrného odpočtu nebyla </w:t>
      </w:r>
      <w:r w:rsidR="00CA4F2A">
        <w:rPr>
          <w:rFonts w:ascii="Garamond" w:hAnsi="Garamond"/>
        </w:rPr>
        <w:t>stěžovatel</w:t>
      </w:r>
      <w:r w:rsidR="00366A1D">
        <w:rPr>
          <w:rFonts w:ascii="Garamond" w:hAnsi="Garamond"/>
        </w:rPr>
        <w:t>kou</w:t>
      </w:r>
      <w:r w:rsidR="00CA4F2A">
        <w:rPr>
          <w:rFonts w:ascii="Garamond" w:hAnsi="Garamond"/>
        </w:rPr>
        <w:t xml:space="preserve"> </w:t>
      </w:r>
      <w:r w:rsidR="008741BE" w:rsidRPr="00F919C6">
        <w:rPr>
          <w:rFonts w:ascii="Garamond" w:hAnsi="Garamond"/>
        </w:rPr>
        <w:t>vyčíslena a žalovaný</w:t>
      </w:r>
      <w:r w:rsidR="00F919C6" w:rsidRPr="00F919C6">
        <w:rPr>
          <w:rFonts w:ascii="Garamond" w:hAnsi="Garamond"/>
        </w:rPr>
        <w:t xml:space="preserve"> </w:t>
      </w:r>
      <w:r w:rsidR="008741BE" w:rsidRPr="00F919C6">
        <w:rPr>
          <w:rFonts w:ascii="Garamond" w:hAnsi="Garamond"/>
        </w:rPr>
        <w:t>neměl žádné podklady k tomu, aby část nadměrného odpočtu byla kvalifikována jako nesporná.</w:t>
      </w:r>
      <w:r w:rsidR="00F919C6" w:rsidRPr="00F919C6">
        <w:rPr>
          <w:rFonts w:ascii="Garamond" w:hAnsi="Garamond"/>
        </w:rPr>
        <w:t xml:space="preserve"> </w:t>
      </w:r>
      <w:r>
        <w:rPr>
          <w:rFonts w:ascii="Garamond" w:hAnsi="Garamond"/>
        </w:rPr>
        <w:t>K</w:t>
      </w:r>
      <w:r w:rsidRPr="00315448">
        <w:rPr>
          <w:rFonts w:ascii="Garamond" w:hAnsi="Garamond"/>
        </w:rPr>
        <w:t xml:space="preserve">ontrola DPH </w:t>
      </w:r>
      <w:r>
        <w:rPr>
          <w:rFonts w:ascii="Garamond" w:hAnsi="Garamond"/>
        </w:rPr>
        <w:t>u</w:t>
      </w:r>
      <w:r w:rsidR="00CA4F2A">
        <w:rPr>
          <w:rFonts w:ascii="Garamond" w:hAnsi="Garamond"/>
        </w:rPr>
        <w:t> </w:t>
      </w:r>
      <w:r>
        <w:rPr>
          <w:rFonts w:ascii="Garamond" w:hAnsi="Garamond"/>
        </w:rPr>
        <w:t>stěžovatel</w:t>
      </w:r>
      <w:r w:rsidR="00366A1D">
        <w:rPr>
          <w:rFonts w:ascii="Garamond" w:hAnsi="Garamond"/>
        </w:rPr>
        <w:t>ky</w:t>
      </w:r>
      <w:r>
        <w:rPr>
          <w:rFonts w:ascii="Garamond" w:hAnsi="Garamond"/>
        </w:rPr>
        <w:t xml:space="preserve"> </w:t>
      </w:r>
      <w:r w:rsidRPr="00315448">
        <w:rPr>
          <w:rFonts w:ascii="Garamond" w:hAnsi="Garamond"/>
        </w:rPr>
        <w:t xml:space="preserve">se týkala pouze obchodování se surovým řepkovým olejem, žalovanému </w:t>
      </w:r>
      <w:r w:rsidR="00E87B59" w:rsidRPr="00315448">
        <w:rPr>
          <w:rFonts w:ascii="Garamond" w:hAnsi="Garamond"/>
        </w:rPr>
        <w:t xml:space="preserve">byly </w:t>
      </w:r>
      <w:r w:rsidRPr="00315448">
        <w:rPr>
          <w:rFonts w:ascii="Garamond" w:hAnsi="Garamond"/>
        </w:rPr>
        <w:t>předloženy pouze doklady vztahující se k takto vymezenému roz</w:t>
      </w:r>
      <w:r w:rsidR="003F2DD5">
        <w:rPr>
          <w:rFonts w:ascii="Garamond" w:hAnsi="Garamond"/>
        </w:rPr>
        <w:t>sahu kontroly. Žalovaný neměl k </w:t>
      </w:r>
      <w:r w:rsidRPr="00315448">
        <w:rPr>
          <w:rFonts w:ascii="Garamond" w:hAnsi="Garamond"/>
        </w:rPr>
        <w:t>dispozici doklady, jimiž by nezpochybněná část nadm</w:t>
      </w:r>
      <w:r w:rsidR="003F2DD5">
        <w:rPr>
          <w:rFonts w:ascii="Garamond" w:hAnsi="Garamond"/>
        </w:rPr>
        <w:t>ěrného odpočtu byla doložena. Z </w:t>
      </w:r>
      <w:r w:rsidRPr="00315448">
        <w:rPr>
          <w:rFonts w:ascii="Garamond" w:hAnsi="Garamond"/>
        </w:rPr>
        <w:t>daňového tvrzení nelze část</w:t>
      </w:r>
      <w:r>
        <w:rPr>
          <w:rFonts w:ascii="Garamond" w:hAnsi="Garamond"/>
        </w:rPr>
        <w:t xml:space="preserve"> </w:t>
      </w:r>
      <w:r w:rsidRPr="00315448">
        <w:rPr>
          <w:rFonts w:ascii="Garamond" w:hAnsi="Garamond"/>
        </w:rPr>
        <w:t>nadměrného odpočtu, která nebyla kontrolou dotčena, určit.</w:t>
      </w:r>
      <w:r>
        <w:rPr>
          <w:rFonts w:ascii="Garamond" w:hAnsi="Garamond"/>
        </w:rPr>
        <w:t xml:space="preserve"> </w:t>
      </w:r>
      <w:r w:rsidR="003F2DD5">
        <w:rPr>
          <w:rFonts w:ascii="Garamond" w:hAnsi="Garamond"/>
        </w:rPr>
        <w:t>V </w:t>
      </w:r>
      <w:r w:rsidR="008741BE" w:rsidRPr="00F919C6">
        <w:rPr>
          <w:rFonts w:ascii="Garamond" w:hAnsi="Garamond"/>
        </w:rPr>
        <w:t>průběhu daňové kontroly se předpoklad doměření daně měnil v závislosti na stavu</w:t>
      </w:r>
      <w:r w:rsidR="00F919C6" w:rsidRPr="00F919C6">
        <w:rPr>
          <w:rFonts w:ascii="Garamond" w:hAnsi="Garamond"/>
        </w:rPr>
        <w:t xml:space="preserve"> </w:t>
      </w:r>
      <w:r>
        <w:rPr>
          <w:rFonts w:ascii="Garamond" w:hAnsi="Garamond"/>
        </w:rPr>
        <w:t>provedeného dokazování. Pro výše uvedené žalovaný dospěl k</w:t>
      </w:r>
      <w:r w:rsidR="008741BE" w:rsidRPr="00F919C6">
        <w:rPr>
          <w:rFonts w:ascii="Garamond" w:hAnsi="Garamond"/>
        </w:rPr>
        <w:t xml:space="preserve"> závěru, že v průběhu kontroly žádná</w:t>
      </w:r>
      <w:r w:rsidR="00F919C6">
        <w:rPr>
          <w:rFonts w:ascii="Garamond" w:hAnsi="Garamond"/>
        </w:rPr>
        <w:t xml:space="preserve"> </w:t>
      </w:r>
      <w:r w:rsidR="008741BE" w:rsidRPr="00F919C6">
        <w:rPr>
          <w:rFonts w:ascii="Garamond" w:hAnsi="Garamond"/>
        </w:rPr>
        <w:t xml:space="preserve">nezpochybnitelná část nadměrného odpočtu ve smyslu rozsudku </w:t>
      </w:r>
      <w:r w:rsidR="00F919C6">
        <w:rPr>
          <w:rFonts w:ascii="Garamond" w:hAnsi="Garamond"/>
        </w:rPr>
        <w:t xml:space="preserve">Soudního dvora </w:t>
      </w:r>
      <w:r w:rsidR="008741BE" w:rsidRPr="00F919C6">
        <w:rPr>
          <w:rFonts w:ascii="Garamond" w:hAnsi="Garamond"/>
        </w:rPr>
        <w:t>neexistovala.</w:t>
      </w:r>
    </w:p>
    <w:p w:rsidR="000B3E65" w:rsidRPr="000B3E65" w:rsidRDefault="003C3153" w:rsidP="000B3E65">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Dne </w:t>
      </w:r>
      <w:r w:rsidR="003F2DD5">
        <w:rPr>
          <w:rFonts w:ascii="Garamond" w:hAnsi="Garamond"/>
        </w:rPr>
        <w:t>24. 6. </w:t>
      </w:r>
      <w:r w:rsidR="007C3557">
        <w:rPr>
          <w:rFonts w:ascii="Garamond" w:hAnsi="Garamond"/>
        </w:rPr>
        <w:t>2020 zaslal</w:t>
      </w:r>
      <w:r w:rsidR="00366A1D">
        <w:rPr>
          <w:rFonts w:ascii="Garamond" w:hAnsi="Garamond"/>
        </w:rPr>
        <w:t>a</w:t>
      </w:r>
      <w:r w:rsidR="007C3557">
        <w:rPr>
          <w:rFonts w:ascii="Garamond" w:hAnsi="Garamond"/>
        </w:rPr>
        <w:t xml:space="preserve"> soudu své vyjádření i stěžovatel</w:t>
      </w:r>
      <w:r w:rsidR="00366A1D">
        <w:rPr>
          <w:rFonts w:ascii="Garamond" w:hAnsi="Garamond"/>
        </w:rPr>
        <w:t>ka</w:t>
      </w:r>
      <w:r w:rsidR="007C3557">
        <w:rPr>
          <w:rFonts w:ascii="Garamond" w:hAnsi="Garamond"/>
        </w:rPr>
        <w:t>. Konstatoval</w:t>
      </w:r>
      <w:r w:rsidR="00366A1D">
        <w:rPr>
          <w:rFonts w:ascii="Garamond" w:hAnsi="Garamond"/>
        </w:rPr>
        <w:t>a</w:t>
      </w:r>
      <w:r w:rsidR="003F2DD5">
        <w:rPr>
          <w:rFonts w:ascii="Garamond" w:hAnsi="Garamond"/>
        </w:rPr>
        <w:t xml:space="preserve"> v něm, že </w:t>
      </w:r>
      <w:r w:rsidR="00DB3C02" w:rsidRPr="00DB3C02">
        <w:rPr>
          <w:rFonts w:ascii="Garamond" w:hAnsi="Garamond"/>
        </w:rPr>
        <w:t xml:space="preserve">interpretace závěrů </w:t>
      </w:r>
      <w:r w:rsidR="00DB3C02">
        <w:rPr>
          <w:rFonts w:ascii="Garamond" w:hAnsi="Garamond"/>
        </w:rPr>
        <w:t xml:space="preserve">rozsudku Soudního dvora </w:t>
      </w:r>
      <w:r w:rsidR="00DB3C02" w:rsidRPr="00DB3C02">
        <w:rPr>
          <w:rFonts w:ascii="Garamond" w:hAnsi="Garamond"/>
        </w:rPr>
        <w:t>provedená žal</w:t>
      </w:r>
      <w:r w:rsidR="003F2DD5">
        <w:rPr>
          <w:rFonts w:ascii="Garamond" w:hAnsi="Garamond"/>
        </w:rPr>
        <w:t>ovaným je poněkud zkreslující a </w:t>
      </w:r>
      <w:r w:rsidR="00DB3C02" w:rsidRPr="00DB3C02">
        <w:rPr>
          <w:rFonts w:ascii="Garamond" w:hAnsi="Garamond"/>
        </w:rPr>
        <w:t xml:space="preserve">zejména se zcela míjí s rozhodovacími důvody krajského soudu a tím i </w:t>
      </w:r>
      <w:r w:rsidR="00CA4F2A">
        <w:rPr>
          <w:rFonts w:ascii="Garamond" w:hAnsi="Garamond"/>
        </w:rPr>
        <w:t xml:space="preserve">jeho </w:t>
      </w:r>
      <w:r w:rsidR="00DB3C02" w:rsidRPr="00DB3C02">
        <w:rPr>
          <w:rFonts w:ascii="Garamond" w:hAnsi="Garamond"/>
        </w:rPr>
        <w:t>kasační stížností. Žalovaný pod tíhou argumentace Soudního dvora zcela zjevně ut</w:t>
      </w:r>
      <w:r w:rsidR="003F2DD5">
        <w:rPr>
          <w:rFonts w:ascii="Garamond" w:hAnsi="Garamond"/>
        </w:rPr>
        <w:t>íká ze své názorové pozice, dle </w:t>
      </w:r>
      <w:r w:rsidR="00DB3C02" w:rsidRPr="00DB3C02">
        <w:rPr>
          <w:rFonts w:ascii="Garamond" w:hAnsi="Garamond"/>
        </w:rPr>
        <w:t>níž je částečné vyměření daně (nesporné části nadměrného odpočtu) pojmově v</w:t>
      </w:r>
      <w:r w:rsidR="003F2DD5">
        <w:rPr>
          <w:rFonts w:ascii="Garamond" w:hAnsi="Garamond"/>
        </w:rPr>
        <w:t>yloučeno, a </w:t>
      </w:r>
      <w:r w:rsidR="00DB3C02" w:rsidRPr="00DB3C02">
        <w:rPr>
          <w:rFonts w:ascii="Garamond" w:hAnsi="Garamond"/>
        </w:rPr>
        <w:t>nově se uchyluje k argumentaci, že žádná nesporná část nadměrného odpočtu v případě žalobce neexistuje. Tato otázka ovšem nebyla předmětem rozhodování krajského soudu (jeho rozhodnutí na jejím řešení nestojí), a proto nemůže být řešena v první instanci ani Nejvyšším správním soudem.</w:t>
      </w:r>
      <w:r w:rsidR="005614FA">
        <w:rPr>
          <w:rFonts w:ascii="Garamond" w:hAnsi="Garamond"/>
        </w:rPr>
        <w:t xml:space="preserve"> </w:t>
      </w:r>
      <w:r w:rsidR="000B3E65" w:rsidRPr="000B3E65">
        <w:rPr>
          <w:rFonts w:ascii="Garamond" w:hAnsi="Garamond"/>
        </w:rPr>
        <w:t>Klíčová sporná otázka, zda vyměření nesporné části nadměrného odpočtu je vůbec pojmově možné, tedy byla dosavadní judikaturou zodpovězena zcela jednoznačně ve</w:t>
      </w:r>
      <w:r w:rsidR="000B3E65">
        <w:rPr>
          <w:rFonts w:ascii="Garamond" w:hAnsi="Garamond"/>
        </w:rPr>
        <w:t xml:space="preserve"> </w:t>
      </w:r>
      <w:r w:rsidR="000B3E65" w:rsidRPr="000B3E65">
        <w:rPr>
          <w:rFonts w:ascii="Garamond" w:hAnsi="Garamond"/>
        </w:rPr>
        <w:t xml:space="preserve">prospěch argumentace žalobce, k níž se postupně přiklonil Ústavní soud, Soudní dvůr a následně i Nejvyšší správní soud. </w:t>
      </w:r>
    </w:p>
    <w:p w:rsidR="000B3E65" w:rsidRPr="000B3E65" w:rsidRDefault="000B3E65" w:rsidP="000B3E65">
      <w:pPr>
        <w:pStyle w:val="Odstavecseseznamem"/>
        <w:numPr>
          <w:ilvl w:val="0"/>
          <w:numId w:val="2"/>
        </w:numPr>
        <w:spacing w:before="240" w:after="240"/>
        <w:ind w:left="0" w:firstLine="0"/>
        <w:contextualSpacing w:val="0"/>
        <w:jc w:val="both"/>
        <w:rPr>
          <w:rFonts w:ascii="Garamond" w:hAnsi="Garamond"/>
        </w:rPr>
      </w:pPr>
      <w:r w:rsidRPr="000B3E65">
        <w:rPr>
          <w:rFonts w:ascii="Garamond" w:hAnsi="Garamond"/>
        </w:rPr>
        <w:t>Splnění dalších podmínek (zejména pokud jde o existenci nesporné části nadměrného odpočtu a pokud jde o jeho výši) výplaty nesporné části na</w:t>
      </w:r>
      <w:r w:rsidR="003F2DD5">
        <w:rPr>
          <w:rFonts w:ascii="Garamond" w:hAnsi="Garamond"/>
        </w:rPr>
        <w:t>dměrného odpočtu musí proto být </w:t>
      </w:r>
      <w:r w:rsidRPr="000B3E65">
        <w:rPr>
          <w:rFonts w:ascii="Garamond" w:hAnsi="Garamond"/>
        </w:rPr>
        <w:t xml:space="preserve">předmětem pokračujícího řízení před krajským soudem. K opačné argumentaci žalovaného poznamenává, že si žalovaný sám odporuje, </w:t>
      </w:r>
      <w:r w:rsidR="00E87B59">
        <w:rPr>
          <w:rFonts w:ascii="Garamond" w:hAnsi="Garamond"/>
        </w:rPr>
        <w:t>pokud</w:t>
      </w:r>
      <w:r w:rsidR="00E87B59" w:rsidRPr="000B3E65">
        <w:rPr>
          <w:rFonts w:ascii="Garamond" w:hAnsi="Garamond"/>
        </w:rPr>
        <w:t xml:space="preserve"> </w:t>
      </w:r>
      <w:r w:rsidRPr="000B3E65">
        <w:rPr>
          <w:rFonts w:ascii="Garamond" w:hAnsi="Garamond"/>
        </w:rPr>
        <w:t>na s</w:t>
      </w:r>
      <w:r w:rsidR="003F2DD5">
        <w:rPr>
          <w:rFonts w:ascii="Garamond" w:hAnsi="Garamond"/>
        </w:rPr>
        <w:t>traně jedné poukazuje na to, že </w:t>
      </w:r>
      <w:r w:rsidRPr="000B3E65">
        <w:rPr>
          <w:rFonts w:ascii="Garamond" w:hAnsi="Garamond"/>
        </w:rPr>
        <w:t xml:space="preserve">nespornou částí nadměrného odpočtu nemůže být část odpočtu tvrzená </w:t>
      </w:r>
      <w:r w:rsidR="00366A1D" w:rsidRPr="000B3E65">
        <w:rPr>
          <w:rFonts w:ascii="Garamond" w:hAnsi="Garamond"/>
        </w:rPr>
        <w:t>žalob</w:t>
      </w:r>
      <w:r w:rsidR="00366A1D">
        <w:rPr>
          <w:rFonts w:ascii="Garamond" w:hAnsi="Garamond"/>
        </w:rPr>
        <w:t>kyní</w:t>
      </w:r>
      <w:r w:rsidR="003F2DD5">
        <w:rPr>
          <w:rFonts w:ascii="Garamond" w:hAnsi="Garamond"/>
        </w:rPr>
        <w:t>, na </w:t>
      </w:r>
      <w:r w:rsidRPr="000B3E65">
        <w:rPr>
          <w:rFonts w:ascii="Garamond" w:hAnsi="Garamond"/>
        </w:rPr>
        <w:t xml:space="preserve">straně druhé pak </w:t>
      </w:r>
      <w:r w:rsidR="00CA4F2A">
        <w:rPr>
          <w:rFonts w:ascii="Garamond" w:hAnsi="Garamond"/>
        </w:rPr>
        <w:t>stěžovatel</w:t>
      </w:r>
      <w:r w:rsidR="00366A1D">
        <w:rPr>
          <w:rFonts w:ascii="Garamond" w:hAnsi="Garamond"/>
        </w:rPr>
        <w:t>ce</w:t>
      </w:r>
      <w:r w:rsidRPr="000B3E65">
        <w:rPr>
          <w:rFonts w:ascii="Garamond" w:hAnsi="Garamond"/>
        </w:rPr>
        <w:t xml:space="preserve"> vytýká, že výši nesporné části netvrdil</w:t>
      </w:r>
      <w:r w:rsidR="00366A1D">
        <w:rPr>
          <w:rFonts w:ascii="Garamond" w:hAnsi="Garamond"/>
        </w:rPr>
        <w:t>a</w:t>
      </w:r>
      <w:r w:rsidRPr="000B3E65">
        <w:rPr>
          <w:rFonts w:ascii="Garamond" w:hAnsi="Garamond"/>
        </w:rPr>
        <w:t xml:space="preserve"> ani neprokázal</w:t>
      </w:r>
      <w:r w:rsidR="00366A1D">
        <w:rPr>
          <w:rFonts w:ascii="Garamond" w:hAnsi="Garamond"/>
        </w:rPr>
        <w:t>a</w:t>
      </w:r>
      <w:r w:rsidRPr="000B3E65">
        <w:rPr>
          <w:rFonts w:ascii="Garamond" w:hAnsi="Garamond"/>
        </w:rPr>
        <w:t xml:space="preserve">. </w:t>
      </w:r>
    </w:p>
    <w:p w:rsidR="003B679C" w:rsidRDefault="000B3E65" w:rsidP="000B3E65">
      <w:pPr>
        <w:pStyle w:val="Odstavecseseznamem"/>
        <w:numPr>
          <w:ilvl w:val="0"/>
          <w:numId w:val="2"/>
        </w:numPr>
        <w:spacing w:before="240" w:after="240"/>
        <w:ind w:left="0" w:firstLine="0"/>
        <w:contextualSpacing w:val="0"/>
        <w:jc w:val="both"/>
        <w:rPr>
          <w:rFonts w:ascii="Garamond" w:hAnsi="Garamond"/>
        </w:rPr>
      </w:pPr>
      <w:r w:rsidRPr="000B3E65">
        <w:rPr>
          <w:rFonts w:ascii="Garamond" w:hAnsi="Garamond"/>
        </w:rPr>
        <w:t>Jak z</w:t>
      </w:r>
      <w:r>
        <w:rPr>
          <w:rFonts w:ascii="Garamond" w:hAnsi="Garamond"/>
        </w:rPr>
        <w:t xml:space="preserve"> rozsudku </w:t>
      </w:r>
      <w:r w:rsidRPr="000B3E65">
        <w:rPr>
          <w:rFonts w:ascii="Garamond" w:hAnsi="Garamond"/>
        </w:rPr>
        <w:t>Soudního dvora E</w:t>
      </w:r>
      <w:r>
        <w:rPr>
          <w:rFonts w:ascii="Garamond" w:hAnsi="Garamond"/>
        </w:rPr>
        <w:t>vropské unie</w:t>
      </w:r>
      <w:r w:rsidRPr="000B3E65">
        <w:rPr>
          <w:rFonts w:ascii="Garamond" w:hAnsi="Garamond"/>
        </w:rPr>
        <w:t xml:space="preserve">, tak i z rozsudku Nejvyššího správního soudu </w:t>
      </w:r>
      <w:r>
        <w:rPr>
          <w:rFonts w:ascii="Garamond" w:hAnsi="Garamond"/>
        </w:rPr>
        <w:t xml:space="preserve">ze dne </w:t>
      </w:r>
      <w:r w:rsidRPr="000B3E65">
        <w:rPr>
          <w:rFonts w:ascii="Garamond" w:hAnsi="Garamond"/>
        </w:rPr>
        <w:t>9. 6. 2020, č</w:t>
      </w:r>
      <w:r>
        <w:rPr>
          <w:rFonts w:ascii="Garamond" w:hAnsi="Garamond"/>
        </w:rPr>
        <w:t xml:space="preserve">. </w:t>
      </w:r>
      <w:r w:rsidRPr="000B3E65">
        <w:rPr>
          <w:rFonts w:ascii="Garamond" w:hAnsi="Garamond"/>
        </w:rPr>
        <w:t xml:space="preserve">j. 1 Afs 22/2020 </w:t>
      </w:r>
      <w:r>
        <w:rPr>
          <w:rFonts w:ascii="Garamond" w:hAnsi="Garamond"/>
        </w:rPr>
        <w:t>–</w:t>
      </w:r>
      <w:r w:rsidRPr="000B3E65">
        <w:rPr>
          <w:rFonts w:ascii="Garamond" w:hAnsi="Garamond"/>
        </w:rPr>
        <w:t xml:space="preserve"> 34</w:t>
      </w:r>
      <w:r>
        <w:rPr>
          <w:rFonts w:ascii="Garamond" w:hAnsi="Garamond"/>
        </w:rPr>
        <w:t>,</w:t>
      </w:r>
      <w:r w:rsidRPr="000B3E65">
        <w:rPr>
          <w:rFonts w:ascii="Garamond" w:hAnsi="Garamond"/>
        </w:rPr>
        <w:t xml:space="preserve"> vyplývá, že „</w:t>
      </w:r>
      <w:r w:rsidRPr="000B3E65">
        <w:rPr>
          <w:rFonts w:ascii="Garamond" w:hAnsi="Garamond"/>
          <w:i/>
        </w:rPr>
        <w:t>správce daně není oprávněn zadržovat nespornou část nadměrného odpočtu, která není předmětem prověřování. S ohledem na ochranu vlastnického práva daňového subjektu je proto povinen neprodleně o této části nadměrného odpočtu rozhodnout a vyplatit daňovému subjektu příslušný vratitelný přeplatek.</w:t>
      </w:r>
      <w:r w:rsidRPr="000B3E65">
        <w:rPr>
          <w:rFonts w:ascii="Garamond" w:hAnsi="Garamond"/>
        </w:rPr>
        <w:t xml:space="preserve">“ I ze zásady součinnosti tedy plyne procesní povinnost správce daně spolupracovat na vymezení nesporné části nadměrného odpočtu a podílet se tak na určení, zda existuje nesporná část nadměrného odpočtu. </w:t>
      </w:r>
      <w:r w:rsidR="003B679C">
        <w:rPr>
          <w:rFonts w:ascii="Garamond" w:hAnsi="Garamond"/>
        </w:rPr>
        <w:t xml:space="preserve"> </w:t>
      </w:r>
    </w:p>
    <w:p w:rsidR="000B3E65" w:rsidRPr="000B3E65" w:rsidRDefault="003B679C" w:rsidP="000B3E65">
      <w:pPr>
        <w:pStyle w:val="Odstavecseseznamem"/>
        <w:numPr>
          <w:ilvl w:val="0"/>
          <w:numId w:val="2"/>
        </w:numPr>
        <w:spacing w:before="240" w:after="240"/>
        <w:ind w:left="0" w:firstLine="0"/>
        <w:contextualSpacing w:val="0"/>
        <w:jc w:val="both"/>
        <w:rPr>
          <w:rFonts w:ascii="Garamond" w:hAnsi="Garamond"/>
        </w:rPr>
      </w:pPr>
      <w:r w:rsidRPr="003B679C">
        <w:rPr>
          <w:rFonts w:ascii="Garamond" w:hAnsi="Garamond"/>
        </w:rPr>
        <w:t xml:space="preserve">Tvrzení, že požadavek </w:t>
      </w:r>
      <w:r>
        <w:rPr>
          <w:rFonts w:ascii="Garamond" w:hAnsi="Garamond"/>
        </w:rPr>
        <w:t>stěžovatel</w:t>
      </w:r>
      <w:r w:rsidR="00366A1D">
        <w:rPr>
          <w:rFonts w:ascii="Garamond" w:hAnsi="Garamond"/>
        </w:rPr>
        <w:t>ky</w:t>
      </w:r>
      <w:r>
        <w:rPr>
          <w:rFonts w:ascii="Garamond" w:hAnsi="Garamond"/>
        </w:rPr>
        <w:t xml:space="preserve"> na vymezení nesporné části nadměrného odpočtu DPH </w:t>
      </w:r>
      <w:r w:rsidRPr="003B679C">
        <w:rPr>
          <w:rFonts w:ascii="Garamond" w:hAnsi="Garamond"/>
        </w:rPr>
        <w:t>je nemístný proto, že správce daně má v úmyslu prověřit i část nadměrného odpočtu, jehož vznik s obchodem se surový</w:t>
      </w:r>
      <w:r w:rsidR="00E87B59">
        <w:rPr>
          <w:rFonts w:ascii="Garamond" w:hAnsi="Garamond"/>
        </w:rPr>
        <w:t>m</w:t>
      </w:r>
      <w:r w:rsidRPr="003B679C">
        <w:rPr>
          <w:rFonts w:ascii="Garamond" w:hAnsi="Garamond"/>
        </w:rPr>
        <w:t xml:space="preserve"> řepkovým olejem nesouvisí, žalovaný neuplatnil ani v průběhu daňového řízení</w:t>
      </w:r>
      <w:r w:rsidR="00E87B59">
        <w:rPr>
          <w:rFonts w:ascii="Garamond" w:hAnsi="Garamond"/>
        </w:rPr>
        <w:t>,</w:t>
      </w:r>
      <w:r w:rsidRPr="003B679C">
        <w:rPr>
          <w:rFonts w:ascii="Garamond" w:hAnsi="Garamond"/>
        </w:rPr>
        <w:t xml:space="preserve"> ani v průběhu řízení před soudem. </w:t>
      </w:r>
      <w:r>
        <w:rPr>
          <w:rFonts w:ascii="Garamond" w:hAnsi="Garamond"/>
        </w:rPr>
        <w:t>Daňovou kontrolu ani v tomto smyslu nerozšířil.</w:t>
      </w:r>
    </w:p>
    <w:p w:rsidR="000B3E65" w:rsidRDefault="000B3E65" w:rsidP="000B3E65">
      <w:pPr>
        <w:pStyle w:val="Odstavecseseznamem"/>
        <w:numPr>
          <w:ilvl w:val="0"/>
          <w:numId w:val="2"/>
        </w:numPr>
        <w:spacing w:before="240" w:after="240"/>
        <w:ind w:left="0" w:firstLine="0"/>
        <w:contextualSpacing w:val="0"/>
        <w:jc w:val="both"/>
        <w:rPr>
          <w:rFonts w:ascii="Garamond" w:hAnsi="Garamond"/>
        </w:rPr>
      </w:pPr>
      <w:r w:rsidRPr="000B3E65">
        <w:rPr>
          <w:rFonts w:ascii="Garamond" w:hAnsi="Garamond"/>
        </w:rPr>
        <w:t>Ve shodě se závěry rozsudku č. j. 1 Afs 22/2020</w:t>
      </w:r>
      <w:r w:rsidR="00E87B59">
        <w:rPr>
          <w:rFonts w:ascii="Garamond" w:hAnsi="Garamond"/>
        </w:rPr>
        <w:t xml:space="preserve"> - 34</w:t>
      </w:r>
      <w:r w:rsidR="003B679C">
        <w:rPr>
          <w:rFonts w:ascii="Garamond" w:hAnsi="Garamond"/>
        </w:rPr>
        <w:t xml:space="preserve"> pak </w:t>
      </w:r>
      <w:r w:rsidRPr="000B3E65">
        <w:rPr>
          <w:rFonts w:ascii="Garamond" w:hAnsi="Garamond"/>
        </w:rPr>
        <w:t>stěžovatel</w:t>
      </w:r>
      <w:r w:rsidR="00366A1D">
        <w:rPr>
          <w:rFonts w:ascii="Garamond" w:hAnsi="Garamond"/>
        </w:rPr>
        <w:t>ce</w:t>
      </w:r>
      <w:r w:rsidRPr="000B3E65">
        <w:rPr>
          <w:rFonts w:ascii="Garamond" w:hAnsi="Garamond"/>
        </w:rPr>
        <w:t xml:space="preserve"> svědčí právo učinit procesní úkon směřující ke změně žaloby a nově se domáhat deklaratorního rozhodnutí</w:t>
      </w:r>
      <w:r w:rsidR="003F2DD5">
        <w:rPr>
          <w:rFonts w:ascii="Garamond" w:hAnsi="Garamond"/>
        </w:rPr>
        <w:t>, že </w:t>
      </w:r>
      <w:r w:rsidRPr="000B3E65">
        <w:rPr>
          <w:rFonts w:ascii="Garamond" w:hAnsi="Garamond"/>
        </w:rPr>
        <w:t xml:space="preserve">nevydání částečného platebního výměru bylo nezákonným zásahem do veřejných subjektivních práv </w:t>
      </w:r>
      <w:r w:rsidR="00CA4F2A">
        <w:rPr>
          <w:rFonts w:ascii="Garamond" w:hAnsi="Garamond"/>
        </w:rPr>
        <w:t>stěžovatele</w:t>
      </w:r>
      <w:r w:rsidRPr="000B3E65">
        <w:rPr>
          <w:rFonts w:ascii="Garamond" w:hAnsi="Garamond"/>
        </w:rPr>
        <w:t xml:space="preserve">. Tento dispoziční úkon lze nicméně učinit až v případném pokračujícím řízení před krajským soudem a nikoli již v řízení o kasační stížnosti, jehož předmětem je přezkoumání správnosti rozsudku krajského soudu. </w:t>
      </w:r>
    </w:p>
    <w:p w:rsidR="000B3E65" w:rsidRDefault="000B3E65" w:rsidP="000B3E65">
      <w:pPr>
        <w:pStyle w:val="Odstavecseseznamem"/>
        <w:numPr>
          <w:ilvl w:val="0"/>
          <w:numId w:val="2"/>
        </w:numPr>
        <w:spacing w:before="240" w:after="240"/>
        <w:ind w:left="0" w:firstLine="0"/>
        <w:contextualSpacing w:val="0"/>
        <w:jc w:val="both"/>
        <w:rPr>
          <w:rFonts w:ascii="Garamond" w:hAnsi="Garamond"/>
        </w:rPr>
      </w:pPr>
      <w:r w:rsidRPr="000B3E65">
        <w:rPr>
          <w:rFonts w:ascii="Garamond" w:hAnsi="Garamond"/>
        </w:rPr>
        <w:t xml:space="preserve">Vzhledem k tomu, že napadený rozsudek krajského soudu je z výše popsaných důvodů nesprávný, není v souladu s nálezem Ústavního soudu </w:t>
      </w:r>
      <w:r>
        <w:rPr>
          <w:rFonts w:ascii="Garamond" w:hAnsi="Garamond"/>
        </w:rPr>
        <w:t xml:space="preserve">sp. zn. </w:t>
      </w:r>
      <w:r w:rsidRPr="000B3E65">
        <w:rPr>
          <w:rFonts w:ascii="Garamond" w:hAnsi="Garamond"/>
        </w:rPr>
        <w:t>II. ÚS 819/18, rozsudkem S</w:t>
      </w:r>
      <w:r>
        <w:rPr>
          <w:rFonts w:ascii="Garamond" w:hAnsi="Garamond"/>
        </w:rPr>
        <w:t xml:space="preserve">oudního dvora </w:t>
      </w:r>
      <w:r w:rsidRPr="000B3E65">
        <w:rPr>
          <w:rFonts w:ascii="Garamond" w:hAnsi="Garamond"/>
        </w:rPr>
        <w:t>o položené předběžné otázce</w:t>
      </w:r>
      <w:r w:rsidR="00E87B59">
        <w:rPr>
          <w:rFonts w:ascii="Garamond" w:hAnsi="Garamond"/>
        </w:rPr>
        <w:t>,</w:t>
      </w:r>
      <w:r w:rsidRPr="000B3E65">
        <w:rPr>
          <w:rFonts w:ascii="Garamond" w:hAnsi="Garamond"/>
        </w:rPr>
        <w:t xml:space="preserve"> a ani aktuální judikaturou Nejvyššího správního soudu </w:t>
      </w:r>
      <w:r>
        <w:rPr>
          <w:rFonts w:ascii="Garamond" w:hAnsi="Garamond"/>
        </w:rPr>
        <w:t>(</w:t>
      </w:r>
      <w:r w:rsidR="00366A1D">
        <w:rPr>
          <w:rFonts w:ascii="Garamond" w:hAnsi="Garamond"/>
        </w:rPr>
        <w:t xml:space="preserve">zmíněný </w:t>
      </w:r>
      <w:r w:rsidRPr="000B3E65">
        <w:rPr>
          <w:rFonts w:ascii="Garamond" w:hAnsi="Garamond"/>
        </w:rPr>
        <w:t>rozsud</w:t>
      </w:r>
      <w:r>
        <w:rPr>
          <w:rFonts w:ascii="Garamond" w:hAnsi="Garamond"/>
        </w:rPr>
        <w:t>e</w:t>
      </w:r>
      <w:r w:rsidRPr="000B3E65">
        <w:rPr>
          <w:rFonts w:ascii="Garamond" w:hAnsi="Garamond"/>
        </w:rPr>
        <w:t xml:space="preserve">k </w:t>
      </w:r>
      <w:r>
        <w:rPr>
          <w:rFonts w:ascii="Garamond" w:hAnsi="Garamond"/>
        </w:rPr>
        <w:t xml:space="preserve">č. j. </w:t>
      </w:r>
      <w:r w:rsidRPr="000B3E65">
        <w:rPr>
          <w:rFonts w:ascii="Garamond" w:hAnsi="Garamond"/>
        </w:rPr>
        <w:t>1 Afs 22/2020</w:t>
      </w:r>
      <w:r>
        <w:rPr>
          <w:rFonts w:ascii="Garamond" w:hAnsi="Garamond"/>
        </w:rPr>
        <w:t xml:space="preserve"> – </w:t>
      </w:r>
      <w:r w:rsidRPr="000B3E65">
        <w:rPr>
          <w:rFonts w:ascii="Garamond" w:hAnsi="Garamond"/>
        </w:rPr>
        <w:t>34</w:t>
      </w:r>
      <w:r>
        <w:rPr>
          <w:rFonts w:ascii="Garamond" w:hAnsi="Garamond"/>
        </w:rPr>
        <w:t>)</w:t>
      </w:r>
      <w:r w:rsidRPr="000B3E65">
        <w:rPr>
          <w:rFonts w:ascii="Garamond" w:hAnsi="Garamond"/>
        </w:rPr>
        <w:t xml:space="preserve">, trvá </w:t>
      </w:r>
      <w:r w:rsidR="002320B9">
        <w:rPr>
          <w:rFonts w:ascii="Garamond" w:hAnsi="Garamond"/>
        </w:rPr>
        <w:t>stěžovatelka</w:t>
      </w:r>
      <w:r w:rsidRPr="000B3E65">
        <w:rPr>
          <w:rFonts w:ascii="Garamond" w:hAnsi="Garamond"/>
        </w:rPr>
        <w:t xml:space="preserve"> na zrušení napadeného rozsudku a vrácení věci krajskému soudu k dalšímu řízení. </w:t>
      </w:r>
    </w:p>
    <w:p w:rsidR="00093C7D" w:rsidRDefault="00B35E6B" w:rsidP="00093C7D">
      <w:pPr>
        <w:pStyle w:val="Odstavecseseznamem"/>
        <w:numPr>
          <w:ilvl w:val="0"/>
          <w:numId w:val="2"/>
        </w:numPr>
        <w:spacing w:before="240" w:after="240"/>
        <w:ind w:left="0" w:firstLine="0"/>
        <w:contextualSpacing w:val="0"/>
        <w:jc w:val="both"/>
        <w:rPr>
          <w:rFonts w:ascii="Garamond" w:hAnsi="Garamond"/>
        </w:rPr>
      </w:pPr>
      <w:r w:rsidRPr="00093C7D">
        <w:rPr>
          <w:rFonts w:ascii="Garamond" w:hAnsi="Garamond"/>
        </w:rPr>
        <w:t xml:space="preserve">Žalovaný </w:t>
      </w:r>
      <w:r w:rsidR="00AB5284" w:rsidRPr="00093C7D">
        <w:rPr>
          <w:rFonts w:ascii="Garamond" w:hAnsi="Garamond"/>
        </w:rPr>
        <w:t>ve stanovisku k</w:t>
      </w:r>
      <w:r w:rsidR="00366A1D">
        <w:rPr>
          <w:rFonts w:ascii="Garamond" w:hAnsi="Garamond"/>
        </w:rPr>
        <w:t> </w:t>
      </w:r>
      <w:r w:rsidR="00AB5284" w:rsidRPr="00093C7D">
        <w:rPr>
          <w:rFonts w:ascii="Garamond" w:hAnsi="Garamond"/>
        </w:rPr>
        <w:t>vyjádření</w:t>
      </w:r>
      <w:r w:rsidR="00366A1D">
        <w:rPr>
          <w:rFonts w:ascii="Garamond" w:hAnsi="Garamond"/>
        </w:rPr>
        <w:t xml:space="preserve"> stěžovatelky</w:t>
      </w:r>
      <w:r w:rsidR="00AB5284" w:rsidRPr="00093C7D">
        <w:rPr>
          <w:rFonts w:ascii="Garamond" w:hAnsi="Garamond"/>
        </w:rPr>
        <w:t xml:space="preserve"> </w:t>
      </w:r>
      <w:r w:rsidR="00093C7D" w:rsidRPr="00093C7D">
        <w:rPr>
          <w:rFonts w:ascii="Garamond" w:hAnsi="Garamond"/>
        </w:rPr>
        <w:t>zdůra</w:t>
      </w:r>
      <w:r w:rsidR="003F2DD5">
        <w:rPr>
          <w:rFonts w:ascii="Garamond" w:hAnsi="Garamond"/>
        </w:rPr>
        <w:t>znil, že nečinnostní žalobou se </w:t>
      </w:r>
      <w:r w:rsidR="00093C7D" w:rsidRPr="00093C7D">
        <w:rPr>
          <w:rFonts w:ascii="Garamond" w:hAnsi="Garamond"/>
        </w:rPr>
        <w:t>stěžovatel</w:t>
      </w:r>
      <w:r w:rsidR="00366A1D">
        <w:rPr>
          <w:rFonts w:ascii="Garamond" w:hAnsi="Garamond"/>
        </w:rPr>
        <w:t>ka</w:t>
      </w:r>
      <w:r w:rsidR="00093C7D" w:rsidRPr="00093C7D">
        <w:rPr>
          <w:rFonts w:ascii="Garamond" w:hAnsi="Garamond"/>
        </w:rPr>
        <w:t xml:space="preserve"> domáhal</w:t>
      </w:r>
      <w:r w:rsidR="00366A1D">
        <w:rPr>
          <w:rFonts w:ascii="Garamond" w:hAnsi="Garamond"/>
        </w:rPr>
        <w:t>a</w:t>
      </w:r>
      <w:r w:rsidR="00093C7D" w:rsidRPr="00093C7D">
        <w:rPr>
          <w:rFonts w:ascii="Garamond" w:hAnsi="Garamond"/>
        </w:rPr>
        <w:t>, aby žalovaný rozhodl o stanovení daně</w:t>
      </w:r>
      <w:r w:rsidR="003F2DD5">
        <w:rPr>
          <w:rFonts w:ascii="Garamond" w:hAnsi="Garamond"/>
        </w:rPr>
        <w:t xml:space="preserve"> z přidané hodnoty v rozsahu, v </w:t>
      </w:r>
      <w:r w:rsidR="00093C7D" w:rsidRPr="00093C7D">
        <w:rPr>
          <w:rFonts w:ascii="Garamond" w:hAnsi="Garamond"/>
        </w:rPr>
        <w:t>němž tato daň není dotčena rozsahem probíhající daňové kontroly uskutečněných a přijatých zdanitelných plnění, jejichž předmětem byl nákup a prodej k</w:t>
      </w:r>
      <w:r w:rsidR="003F2DD5">
        <w:rPr>
          <w:rFonts w:ascii="Garamond" w:hAnsi="Garamond"/>
        </w:rPr>
        <w:t>omodity surový řepkový olej. To </w:t>
      </w:r>
      <w:r w:rsidR="00093C7D" w:rsidRPr="00093C7D">
        <w:rPr>
          <w:rFonts w:ascii="Garamond" w:hAnsi="Garamond"/>
        </w:rPr>
        <w:t>znamená, že předmětem rozhodování v soudním řízení je otázka, zda tato nesporná část nadměrného odpočtu existuje a zda je možné o ní rozhodnout a př</w:t>
      </w:r>
      <w:r w:rsidR="003F2DD5">
        <w:rPr>
          <w:rFonts w:ascii="Garamond" w:hAnsi="Garamond"/>
        </w:rPr>
        <w:t>ípadně vyplatit stěžovatelce. Z </w:t>
      </w:r>
      <w:r w:rsidR="00093C7D" w:rsidRPr="00093C7D">
        <w:rPr>
          <w:rFonts w:ascii="Garamond" w:hAnsi="Garamond"/>
        </w:rPr>
        <w:t>toho žalovaný dovozuje, že zodpovězení otázky existence nesporné části nadměrného odpočtu je v této věci primární. Pokud nesporná část nadměrného</w:t>
      </w:r>
      <w:r w:rsidR="00093C7D">
        <w:rPr>
          <w:rFonts w:ascii="Garamond" w:hAnsi="Garamond"/>
        </w:rPr>
        <w:t xml:space="preserve"> </w:t>
      </w:r>
      <w:r w:rsidR="00093C7D" w:rsidRPr="00093C7D">
        <w:rPr>
          <w:rFonts w:ascii="Garamond" w:hAnsi="Garamond"/>
        </w:rPr>
        <w:t>odpočtu neexistuje, je zbytečné posuzovat to, zda je možné ji vyměřit a vyplatit.</w:t>
      </w:r>
    </w:p>
    <w:p w:rsidR="004C25CF" w:rsidRPr="004836A9" w:rsidRDefault="004836A9" w:rsidP="004836A9">
      <w:pPr>
        <w:pStyle w:val="Odstavecseseznamem"/>
        <w:numPr>
          <w:ilvl w:val="0"/>
          <w:numId w:val="2"/>
        </w:numPr>
        <w:spacing w:before="240" w:after="240"/>
        <w:ind w:left="0" w:firstLine="0"/>
        <w:contextualSpacing w:val="0"/>
        <w:jc w:val="both"/>
        <w:rPr>
          <w:rFonts w:ascii="Garamond" w:hAnsi="Garamond"/>
        </w:rPr>
      </w:pPr>
      <w:r w:rsidRPr="004836A9">
        <w:rPr>
          <w:rFonts w:ascii="Garamond" w:hAnsi="Garamond"/>
        </w:rPr>
        <w:t xml:space="preserve">V daňovém ani soudním řízení správním nebyla nesporná část nadměrného odpočtu vyčíslena. K vyčíslení nesporné části nadměrného odpočtu disponuje podklady </w:t>
      </w:r>
      <w:r>
        <w:rPr>
          <w:rFonts w:ascii="Garamond" w:hAnsi="Garamond"/>
        </w:rPr>
        <w:t>stěžovatel</w:t>
      </w:r>
      <w:r w:rsidR="00366A1D">
        <w:rPr>
          <w:rFonts w:ascii="Garamond" w:hAnsi="Garamond"/>
        </w:rPr>
        <w:t>ka</w:t>
      </w:r>
      <w:r w:rsidRPr="004836A9">
        <w:rPr>
          <w:rFonts w:ascii="Garamond" w:hAnsi="Garamond"/>
        </w:rPr>
        <w:t>, a</w:t>
      </w:r>
      <w:r w:rsidR="00CA4F2A">
        <w:rPr>
          <w:rFonts w:ascii="Garamond" w:hAnsi="Garamond"/>
        </w:rPr>
        <w:t> </w:t>
      </w:r>
      <w:r w:rsidRPr="004836A9">
        <w:rPr>
          <w:rFonts w:ascii="Garamond" w:hAnsi="Garamond"/>
        </w:rPr>
        <w:t xml:space="preserve">nikoliv žalovaný, který tuto skutečnost pouze konstatoval. Rozhodně tato konstatace nebyla myšlena jako výtka vůči </w:t>
      </w:r>
      <w:r w:rsidR="00584004">
        <w:rPr>
          <w:rFonts w:ascii="Garamond" w:hAnsi="Garamond"/>
        </w:rPr>
        <w:t>stěžovatel</w:t>
      </w:r>
      <w:r w:rsidR="00366A1D">
        <w:rPr>
          <w:rFonts w:ascii="Garamond" w:hAnsi="Garamond"/>
        </w:rPr>
        <w:t>ce</w:t>
      </w:r>
      <w:r w:rsidRPr="004836A9">
        <w:rPr>
          <w:rFonts w:ascii="Garamond" w:hAnsi="Garamond"/>
        </w:rPr>
        <w:t xml:space="preserve">. Žalovaný se nezříká spolupráce na vymezení nesporné části nadměrného odpočtu, ale k tomu by musel mít k dispozici daňovou evidenci a daňové doklady, na základě jejichž kontroly by dospěl k vyčíslení nesporné části nadměrného odpočtu. Podle rozsudku Soudního dvora nesmí být tato nesporná část nadměrného odpočtu v průběhu kontroly daně z přidané hodnoty zpochybněna a snižována, což by podle názoru žalovaného popřelo </w:t>
      </w:r>
      <w:r w:rsidR="00CA4F2A">
        <w:rPr>
          <w:rFonts w:ascii="Garamond" w:hAnsi="Garamond"/>
        </w:rPr>
        <w:t xml:space="preserve">samotnou </w:t>
      </w:r>
      <w:r w:rsidRPr="004836A9">
        <w:rPr>
          <w:rFonts w:ascii="Garamond" w:hAnsi="Garamond"/>
        </w:rPr>
        <w:t>existenci nespornosti</w:t>
      </w:r>
      <w:r>
        <w:rPr>
          <w:rFonts w:ascii="Garamond" w:hAnsi="Garamond"/>
        </w:rPr>
        <w:t xml:space="preserve"> </w:t>
      </w:r>
      <w:r w:rsidRPr="004836A9">
        <w:rPr>
          <w:rFonts w:ascii="Garamond" w:hAnsi="Garamond"/>
        </w:rPr>
        <w:t>části nadměrného odpočtu.</w:t>
      </w:r>
    </w:p>
    <w:p w:rsidR="008B46E9" w:rsidRDefault="008B46E9" w:rsidP="008B46E9">
      <w:pPr>
        <w:pStyle w:val="Odstavecseseznamem"/>
        <w:numPr>
          <w:ilvl w:val="0"/>
          <w:numId w:val="3"/>
        </w:numPr>
        <w:spacing w:before="240" w:after="240"/>
        <w:jc w:val="center"/>
        <w:rPr>
          <w:rFonts w:ascii="Garamond" w:hAnsi="Garamond"/>
          <w:b/>
        </w:rPr>
      </w:pPr>
      <w:r>
        <w:rPr>
          <w:rFonts w:ascii="Garamond" w:hAnsi="Garamond"/>
          <w:b/>
        </w:rPr>
        <w:t>Posouzení kasační stížnosti</w:t>
      </w:r>
    </w:p>
    <w:p w:rsidR="00DF4033" w:rsidRDefault="00DF4033" w:rsidP="00DF4033">
      <w:pPr>
        <w:pStyle w:val="Odstavecseseznamem"/>
        <w:spacing w:before="240" w:after="240"/>
        <w:ind w:left="1080"/>
        <w:rPr>
          <w:rFonts w:ascii="Garamond" w:hAnsi="Garamond"/>
          <w:b/>
        </w:rPr>
      </w:pPr>
    </w:p>
    <w:p w:rsidR="00932BCB" w:rsidRDefault="0071331E" w:rsidP="00DF4033">
      <w:pPr>
        <w:pStyle w:val="Odstavecseseznamem"/>
        <w:numPr>
          <w:ilvl w:val="0"/>
          <w:numId w:val="2"/>
        </w:numPr>
        <w:spacing w:before="240" w:after="240"/>
        <w:ind w:left="0" w:firstLine="0"/>
        <w:contextualSpacing w:val="0"/>
        <w:jc w:val="both"/>
        <w:rPr>
          <w:rFonts w:ascii="Garamond" w:hAnsi="Garamond"/>
        </w:rPr>
      </w:pPr>
      <w:bookmarkStart w:id="1" w:name="_Ref291663195"/>
      <w:r w:rsidRPr="008A252F">
        <w:rPr>
          <w:rFonts w:ascii="Garamond" w:hAnsi="Garamond"/>
        </w:rPr>
        <w:t xml:space="preserve">Předmětem </w:t>
      </w:r>
      <w:r w:rsidR="00E9166C" w:rsidRPr="008A252F">
        <w:rPr>
          <w:rFonts w:ascii="Garamond" w:hAnsi="Garamond"/>
        </w:rPr>
        <w:t xml:space="preserve">projednávané </w:t>
      </w:r>
      <w:r w:rsidRPr="008A252F">
        <w:rPr>
          <w:rFonts w:ascii="Garamond" w:hAnsi="Garamond"/>
        </w:rPr>
        <w:t>věci</w:t>
      </w:r>
      <w:r w:rsidR="00AD0369" w:rsidRPr="008A252F">
        <w:rPr>
          <w:rFonts w:ascii="Garamond" w:hAnsi="Garamond"/>
        </w:rPr>
        <w:t xml:space="preserve"> </w:t>
      </w:r>
      <w:r w:rsidR="00D560AE" w:rsidRPr="008A252F">
        <w:rPr>
          <w:rFonts w:ascii="Garamond" w:hAnsi="Garamond"/>
        </w:rPr>
        <w:t>je otázka možnosti stanovení nesporné části uplatňovaného nadměrného odpočtu</w:t>
      </w:r>
      <w:r w:rsidR="00A5326D" w:rsidRPr="008A252F">
        <w:rPr>
          <w:rFonts w:ascii="Garamond" w:hAnsi="Garamond"/>
        </w:rPr>
        <w:t xml:space="preserve"> DPH</w:t>
      </w:r>
      <w:r w:rsidR="00D560AE" w:rsidRPr="008A252F">
        <w:rPr>
          <w:rFonts w:ascii="Garamond" w:hAnsi="Garamond"/>
        </w:rPr>
        <w:t>. Žalovaný zahájil daňovou kontrolu pouze část</w:t>
      </w:r>
      <w:r w:rsidR="00A00FC3">
        <w:rPr>
          <w:rFonts w:ascii="Garamond" w:hAnsi="Garamond"/>
        </w:rPr>
        <w:t>i</w:t>
      </w:r>
      <w:r w:rsidR="00D560AE" w:rsidRPr="008A252F">
        <w:rPr>
          <w:rFonts w:ascii="Garamond" w:hAnsi="Garamond"/>
        </w:rPr>
        <w:t xml:space="preserve"> uplatňovaných přijatých a uskutečněných zdanitelných plnění (nadměrného odpočtu DPH). </w:t>
      </w:r>
      <w:r w:rsidR="008A252F">
        <w:rPr>
          <w:rFonts w:ascii="Garamond" w:hAnsi="Garamond"/>
        </w:rPr>
        <w:t>Jinými slovy s</w:t>
      </w:r>
      <w:r w:rsidR="008A252F" w:rsidRPr="008A252F">
        <w:rPr>
          <w:rFonts w:ascii="Garamond" w:hAnsi="Garamond"/>
        </w:rPr>
        <w:t xml:space="preserve">těžovatel </w:t>
      </w:r>
      <w:r w:rsidR="008A252F">
        <w:rPr>
          <w:rFonts w:ascii="Garamond" w:hAnsi="Garamond"/>
        </w:rPr>
        <w:t xml:space="preserve">v řízení </w:t>
      </w:r>
      <w:r w:rsidR="008A252F" w:rsidRPr="008A252F">
        <w:rPr>
          <w:rFonts w:ascii="Garamond" w:hAnsi="Garamond"/>
        </w:rPr>
        <w:t>žádá vydání rozhodnutí o nesporné části j</w:t>
      </w:r>
      <w:r w:rsidR="00A00FC3">
        <w:rPr>
          <w:rFonts w:ascii="Garamond" w:hAnsi="Garamond"/>
        </w:rPr>
        <w:t>í</w:t>
      </w:r>
      <w:r w:rsidR="008A252F" w:rsidRPr="008A252F">
        <w:rPr>
          <w:rFonts w:ascii="Garamond" w:hAnsi="Garamond"/>
        </w:rPr>
        <w:t>m uplatňovaného</w:t>
      </w:r>
      <w:r w:rsidR="008A252F">
        <w:rPr>
          <w:rFonts w:ascii="Garamond" w:hAnsi="Garamond"/>
        </w:rPr>
        <w:t xml:space="preserve"> nadměrného odpočtu DPH (</w:t>
      </w:r>
      <w:r w:rsidR="00CA4F2A">
        <w:rPr>
          <w:rFonts w:ascii="Garamond" w:hAnsi="Garamond"/>
        </w:rPr>
        <w:t>netýkající se zdanitelných</w:t>
      </w:r>
      <w:r w:rsidR="008A252F">
        <w:rPr>
          <w:rFonts w:ascii="Garamond" w:hAnsi="Garamond"/>
        </w:rPr>
        <w:t xml:space="preserve"> plnění </w:t>
      </w:r>
      <w:r w:rsidR="00CA4F2A">
        <w:rPr>
          <w:rFonts w:ascii="Garamond" w:hAnsi="Garamond"/>
        </w:rPr>
        <w:t>souvisejících</w:t>
      </w:r>
      <w:r w:rsidR="008A252F">
        <w:rPr>
          <w:rFonts w:ascii="Garamond" w:hAnsi="Garamond"/>
        </w:rPr>
        <w:t xml:space="preserve"> s obchodování</w:t>
      </w:r>
      <w:r w:rsidR="00CA4F2A">
        <w:rPr>
          <w:rFonts w:ascii="Garamond" w:hAnsi="Garamond"/>
        </w:rPr>
        <w:t>m</w:t>
      </w:r>
      <w:r w:rsidR="008A252F">
        <w:rPr>
          <w:rFonts w:ascii="Garamond" w:hAnsi="Garamond"/>
        </w:rPr>
        <w:t xml:space="preserve"> s řepkovým olejem). </w:t>
      </w:r>
    </w:p>
    <w:p w:rsidR="00222B55" w:rsidRDefault="00222B55" w:rsidP="00222B55">
      <w:pPr>
        <w:pStyle w:val="Odstavecseseznamem"/>
        <w:numPr>
          <w:ilvl w:val="0"/>
          <w:numId w:val="2"/>
        </w:numPr>
        <w:spacing w:before="240" w:after="240"/>
        <w:ind w:left="0" w:firstLine="0"/>
        <w:contextualSpacing w:val="0"/>
        <w:jc w:val="both"/>
        <w:rPr>
          <w:rFonts w:ascii="Garamond" w:hAnsi="Garamond"/>
        </w:rPr>
      </w:pPr>
      <w:r>
        <w:rPr>
          <w:rFonts w:ascii="Garamond" w:hAnsi="Garamond"/>
        </w:rPr>
        <w:t>Odpověď</w:t>
      </w:r>
      <w:r w:rsidR="00932BCB">
        <w:rPr>
          <w:rFonts w:ascii="Garamond" w:hAnsi="Garamond"/>
        </w:rPr>
        <w:t xml:space="preserve"> na </w:t>
      </w:r>
      <w:r>
        <w:rPr>
          <w:rFonts w:ascii="Garamond" w:hAnsi="Garamond"/>
        </w:rPr>
        <w:t>výše uvedenou otázku</w:t>
      </w:r>
      <w:r w:rsidR="00932BCB">
        <w:rPr>
          <w:rFonts w:ascii="Garamond" w:hAnsi="Garamond"/>
        </w:rPr>
        <w:t xml:space="preserve"> poskytl Soudní dvůr</w:t>
      </w:r>
      <w:r>
        <w:rPr>
          <w:rFonts w:ascii="Garamond" w:hAnsi="Garamond"/>
        </w:rPr>
        <w:t xml:space="preserve">. </w:t>
      </w:r>
      <w:r w:rsidRPr="00222B55">
        <w:rPr>
          <w:rFonts w:ascii="Garamond" w:hAnsi="Garamond"/>
        </w:rPr>
        <w:t xml:space="preserve">V právní větě rozsudku ve věci stěžovatele uzavřel, že </w:t>
      </w:r>
      <w:r>
        <w:rPr>
          <w:rFonts w:ascii="Garamond" w:hAnsi="Garamond"/>
        </w:rPr>
        <w:t>„</w:t>
      </w:r>
      <w:r w:rsidRPr="002119F5">
        <w:rPr>
          <w:rFonts w:ascii="Garamond" w:hAnsi="Garamond"/>
        </w:rPr>
        <w:t>[</w:t>
      </w:r>
      <w:r>
        <w:rPr>
          <w:rFonts w:ascii="Garamond" w:hAnsi="Garamond"/>
        </w:rPr>
        <w:t>č</w:t>
      </w:r>
      <w:r w:rsidRPr="002119F5">
        <w:rPr>
          <w:rFonts w:ascii="Garamond" w:hAnsi="Garamond"/>
        </w:rPr>
        <w:t>]</w:t>
      </w:r>
      <w:r w:rsidRPr="002119F5">
        <w:rPr>
          <w:rFonts w:ascii="Garamond" w:hAnsi="Garamond"/>
          <w:i/>
        </w:rPr>
        <w:t>lánky 179, 183 a 273 směrnice Rady 2006/112/ES ze dne 28. listopadu 2006 o společném systému daně z přidané hodnoty, posuzované ve světle zás</w:t>
      </w:r>
      <w:r w:rsidR="003F2DD5">
        <w:rPr>
          <w:rFonts w:ascii="Garamond" w:hAnsi="Garamond"/>
          <w:i/>
        </w:rPr>
        <w:t>ady daňové neutrality, musí být </w:t>
      </w:r>
      <w:r w:rsidRPr="002119F5">
        <w:rPr>
          <w:rFonts w:ascii="Garamond" w:hAnsi="Garamond"/>
          <w:i/>
        </w:rPr>
        <w:t>vykládány v tom smyslu, že nebrání vnitrostátní právní úpravě, která neumožňuje, aby daňový orgán před skončením daňové kontroly týkající se přiznání k dani z přidané hodnoty (DPH), ve kterém je za určité zdaňovací období vykázán nadměrný odpočet, připustil vrácení části tohoto nadměrného odpočtu vztahu</w:t>
      </w:r>
      <w:r w:rsidR="003F2DD5">
        <w:rPr>
          <w:rFonts w:ascii="Garamond" w:hAnsi="Garamond"/>
          <w:i/>
        </w:rPr>
        <w:t>jící se k </w:t>
      </w:r>
      <w:r w:rsidRPr="002119F5">
        <w:rPr>
          <w:rFonts w:ascii="Garamond" w:hAnsi="Garamond"/>
          <w:i/>
        </w:rPr>
        <w:t>plněním, která k okamžiku zahájení této kontroly nejsou jejím rozsahem dotčena, pakliže není možné jasně, přesně a jednoznačně určit, že bez ohledu na výsledek této kontroly bude nadále existovat nadměrný odpočet DPH, jehož částka přitom může být případně nižší než částka vztahující se k plněním, jež nejsou rozsahem této kontroly dotčena, což přísluší ověřit předkládajícímu soudu.</w:t>
      </w:r>
      <w:r>
        <w:rPr>
          <w:rFonts w:ascii="Garamond" w:hAnsi="Garamond"/>
        </w:rPr>
        <w:t>“</w:t>
      </w:r>
    </w:p>
    <w:p w:rsidR="00782884" w:rsidRDefault="004D274D" w:rsidP="00222B55">
      <w:pPr>
        <w:pStyle w:val="Odstavecseseznamem"/>
        <w:numPr>
          <w:ilvl w:val="0"/>
          <w:numId w:val="2"/>
        </w:numPr>
        <w:spacing w:before="240" w:after="240"/>
        <w:ind w:left="0" w:firstLine="0"/>
        <w:contextualSpacing w:val="0"/>
        <w:jc w:val="both"/>
        <w:rPr>
          <w:rFonts w:ascii="Garamond" w:hAnsi="Garamond"/>
        </w:rPr>
      </w:pPr>
      <w:r w:rsidRPr="004D274D">
        <w:rPr>
          <w:rFonts w:ascii="Garamond" w:hAnsi="Garamond"/>
        </w:rPr>
        <w:t>Soudní dvůr ve svém rozsudku připustil možnost vydat „částečný platební výměr“, resp. vrátit nespornou část nadměrného odpočtu DPH uplatněného daňovým subjektem.</w:t>
      </w:r>
      <w:r>
        <w:rPr>
          <w:rFonts w:ascii="Garamond" w:hAnsi="Garamond"/>
        </w:rPr>
        <w:t xml:space="preserve"> </w:t>
      </w:r>
      <w:r w:rsidR="00782884" w:rsidRPr="004D274D">
        <w:rPr>
          <w:rFonts w:ascii="Garamond" w:hAnsi="Garamond"/>
        </w:rPr>
        <w:t>V projednávané věci to znamená překonání závěrů rozsudk</w:t>
      </w:r>
      <w:r w:rsidR="00401063">
        <w:rPr>
          <w:rFonts w:ascii="Garamond" w:hAnsi="Garamond"/>
        </w:rPr>
        <w:t>u</w:t>
      </w:r>
      <w:r w:rsidR="00706950" w:rsidRPr="004D274D">
        <w:rPr>
          <w:rFonts w:ascii="Garamond" w:hAnsi="Garamond"/>
        </w:rPr>
        <w:t xml:space="preserve"> Nejvyššího správního soudu</w:t>
      </w:r>
      <w:r w:rsidR="00782884" w:rsidRPr="004D274D">
        <w:rPr>
          <w:rFonts w:ascii="Garamond" w:hAnsi="Garamond"/>
        </w:rPr>
        <w:t xml:space="preserve"> č.</w:t>
      </w:r>
      <w:r w:rsidR="003137C9">
        <w:rPr>
          <w:rFonts w:ascii="Garamond" w:hAnsi="Garamond"/>
        </w:rPr>
        <w:t> </w:t>
      </w:r>
      <w:r w:rsidR="00782884" w:rsidRPr="004D274D">
        <w:rPr>
          <w:rFonts w:ascii="Garamond" w:hAnsi="Garamond"/>
        </w:rPr>
        <w:t>j.</w:t>
      </w:r>
      <w:r w:rsidR="003137C9">
        <w:rPr>
          <w:rFonts w:ascii="Garamond" w:hAnsi="Garamond"/>
        </w:rPr>
        <w:t> </w:t>
      </w:r>
      <w:r w:rsidR="00782884" w:rsidRPr="004D274D">
        <w:rPr>
          <w:rFonts w:ascii="Garamond" w:hAnsi="Garamond"/>
        </w:rPr>
        <w:t>6 Afs 264/2016 </w:t>
      </w:r>
      <w:r w:rsidR="00D23BD9" w:rsidRPr="004D274D">
        <w:rPr>
          <w:rFonts w:ascii="Garamond" w:hAnsi="Garamond"/>
        </w:rPr>
        <w:t>–</w:t>
      </w:r>
      <w:r w:rsidR="00782884" w:rsidRPr="004D274D">
        <w:rPr>
          <w:rFonts w:ascii="Garamond" w:hAnsi="Garamond"/>
        </w:rPr>
        <w:t> 44</w:t>
      </w:r>
      <w:r w:rsidR="00401063">
        <w:rPr>
          <w:rFonts w:ascii="Garamond" w:hAnsi="Garamond"/>
        </w:rPr>
        <w:t xml:space="preserve"> a na něj navazujícího rozsudku krajského soudu ve věci stěžovatele</w:t>
      </w:r>
      <w:r w:rsidR="00F86CA6">
        <w:rPr>
          <w:rFonts w:ascii="Garamond" w:hAnsi="Garamond"/>
        </w:rPr>
        <w:t xml:space="preserve"> (krajský soud v prvním řízení ve věci zastal opačný právní názor)</w:t>
      </w:r>
      <w:r w:rsidR="005B2377" w:rsidRPr="004D274D">
        <w:rPr>
          <w:rFonts w:ascii="Garamond" w:hAnsi="Garamond"/>
        </w:rPr>
        <w:t xml:space="preserve">, který stanovil, že daňový řád neumožňuje správci daně, aby vydal „částečný platební výměr“, resp. platební výměr na část daně. </w:t>
      </w:r>
    </w:p>
    <w:p w:rsidR="004D274D" w:rsidRDefault="00401063" w:rsidP="00222B55">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V rozsudku AGROBET CZ Soudní dvůr kromě nutnosti připuštění vrácení nesporné části uplatňovaného nadměrného odpočtu DPH stanovil i podmínky, za kterých je možné nadměrný odpočet (jeho část) </w:t>
      </w:r>
      <w:r w:rsidR="00D86D48">
        <w:rPr>
          <w:rFonts w:ascii="Garamond" w:hAnsi="Garamond"/>
        </w:rPr>
        <w:t>vrátit</w:t>
      </w:r>
      <w:r>
        <w:rPr>
          <w:rFonts w:ascii="Garamond" w:hAnsi="Garamond"/>
        </w:rPr>
        <w:t>.</w:t>
      </w:r>
    </w:p>
    <w:p w:rsidR="00B23377" w:rsidRDefault="00B23377" w:rsidP="00222B55">
      <w:pPr>
        <w:pStyle w:val="Odstavecseseznamem"/>
        <w:numPr>
          <w:ilvl w:val="0"/>
          <w:numId w:val="2"/>
        </w:numPr>
        <w:spacing w:before="240" w:after="240"/>
        <w:ind w:left="0" w:firstLine="0"/>
        <w:contextualSpacing w:val="0"/>
        <w:jc w:val="both"/>
        <w:rPr>
          <w:rFonts w:ascii="Garamond" w:hAnsi="Garamond"/>
        </w:rPr>
      </w:pPr>
      <w:r>
        <w:rPr>
          <w:rFonts w:ascii="Garamond" w:hAnsi="Garamond"/>
        </w:rPr>
        <w:t xml:space="preserve">Tyto podmínky vymezil následovně (důraz přidán </w:t>
      </w:r>
      <w:r w:rsidR="00A00FC3">
        <w:rPr>
          <w:rFonts w:ascii="Garamond" w:hAnsi="Garamond"/>
        </w:rPr>
        <w:t xml:space="preserve">nyní kasačním </w:t>
      </w:r>
      <w:r>
        <w:rPr>
          <w:rFonts w:ascii="Garamond" w:hAnsi="Garamond"/>
        </w:rPr>
        <w:t>soudem):</w:t>
      </w:r>
    </w:p>
    <w:bookmarkEnd w:id="1"/>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r w:rsidRPr="00B23377">
        <w:rPr>
          <w:rFonts w:ascii="Garamond" w:hAnsi="Garamond"/>
          <w:i/>
        </w:rPr>
        <w:t>37 Pokud jde na druhém místě o otázku, za jakých podmínek lze v rámci daňové kontroly omezené daňovým orgánem na základě jeho vnitrostátního práva jen na určitá plnění v daném zdaňovacím období považovat danou část nadměrného odpočtu DPH za skutečně nespornou</w:t>
      </w:r>
      <w:r w:rsidR="003F2DD5">
        <w:rPr>
          <w:rFonts w:ascii="Garamond" w:hAnsi="Garamond"/>
          <w:i/>
        </w:rPr>
        <w:t>, je třeba uvést, že jelikož je </w:t>
      </w:r>
      <w:r w:rsidRPr="00B23377">
        <w:rPr>
          <w:rFonts w:ascii="Garamond" w:hAnsi="Garamond"/>
          <w:i/>
        </w:rPr>
        <w:t>nadměrný odpočet výsledkem aritmetické operace připomenuté v bode</w:t>
      </w:r>
      <w:r w:rsidR="003F2DD5">
        <w:rPr>
          <w:rFonts w:ascii="Garamond" w:hAnsi="Garamond"/>
          <w:i/>
        </w:rPr>
        <w:t>ch 30 a 31 tohoto rozsudku, lze </w:t>
      </w:r>
      <w:r w:rsidRPr="00B23377">
        <w:rPr>
          <w:rFonts w:ascii="Garamond" w:hAnsi="Garamond"/>
          <w:i/>
          <w:u w:val="single"/>
        </w:rPr>
        <w:t>o nesporné části tohoto nadměrného odpočtu hovořit pouze tehdy, pokud částka splatné daně i částka odpočitatelné daně připadající na tato plnění jsou samy nesporné</w:t>
      </w:r>
      <w:r w:rsidRPr="00B23377">
        <w:rPr>
          <w:rFonts w:ascii="Garamond" w:hAnsi="Garamond"/>
          <w:i/>
        </w:rPr>
        <w:t xml:space="preserve">.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2" w:name="point38"/>
      <w:r w:rsidRPr="00B23377">
        <w:rPr>
          <w:rFonts w:ascii="Garamond" w:hAnsi="Garamond"/>
          <w:i/>
        </w:rPr>
        <w:t>38</w:t>
      </w:r>
      <w:bookmarkEnd w:id="2"/>
      <w:r w:rsidRPr="00B23377">
        <w:rPr>
          <w:rFonts w:ascii="Garamond" w:hAnsi="Garamond"/>
          <w:i/>
        </w:rPr>
        <w:t xml:space="preserve">      Pokud však není daňový orgán při zahájení daňové kontroly nebo v jejím průběhu schopen vyloučit, že se po jejím skončení budou částky splatné a odpočitatelné daně odpovídající plněním, která nejsou rozsahem této kontroly dotčena, odchylovat od částek přiznaných osobou povinnou k dani, nelze odpovídající část příslušného nadměrného odpočtu DPH považovat za nespornou. Daňový orgán se ještě musí při zahájení předmětné daňové kontroly nebo v jejím průběhu přesvědčit, že údaje použité pro výpočet takovéto části již nebude možné do skončení této kontroly zpochybnit.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3" w:name="point39"/>
      <w:r w:rsidRPr="00B23377">
        <w:rPr>
          <w:rFonts w:ascii="Garamond" w:hAnsi="Garamond"/>
          <w:i/>
        </w:rPr>
        <w:t>39</w:t>
      </w:r>
      <w:bookmarkEnd w:id="3"/>
      <w:r w:rsidRPr="00B23377">
        <w:rPr>
          <w:rFonts w:ascii="Garamond" w:hAnsi="Garamond"/>
          <w:i/>
        </w:rPr>
        <w:t xml:space="preserve">      K tomu, aby bylo možné část nadměrného odpočtu DPH považovat za nespornou, proto nestačí, když osoba povinná k dani jednostranně prohlásí, že existuje nezpochybněná část tohoto nadměrného odpočtu, ani když existenci takové části nasvědčuje jediný důvod, že při zahájení předmětné daňové kontroly daňový orgán tuto kontrolu omezil jen na určitá plnění </w:t>
      </w:r>
      <w:r w:rsidR="003F2DD5">
        <w:rPr>
          <w:rFonts w:ascii="Garamond" w:hAnsi="Garamond"/>
          <w:i/>
        </w:rPr>
        <w:t>osoby povinné k dani. Naopak je </w:t>
      </w:r>
      <w:r w:rsidRPr="00B23377">
        <w:rPr>
          <w:rFonts w:ascii="Garamond" w:hAnsi="Garamond"/>
          <w:i/>
        </w:rPr>
        <w:t xml:space="preserve">nezbytné, aby se </w:t>
      </w:r>
      <w:r w:rsidRPr="00B23377">
        <w:rPr>
          <w:rFonts w:ascii="Garamond" w:hAnsi="Garamond"/>
          <w:i/>
          <w:u w:val="single"/>
        </w:rPr>
        <w:t>daňový orgán přesvědčil zaprvé o tom, že nebude možné, aby případné nesrovnalosti</w:t>
      </w:r>
      <w:r w:rsidR="003F2DD5">
        <w:rPr>
          <w:rFonts w:ascii="Garamond" w:hAnsi="Garamond"/>
          <w:i/>
          <w:u w:val="single"/>
        </w:rPr>
        <w:t>, na </w:t>
      </w:r>
      <w:r w:rsidRPr="00B23377">
        <w:rPr>
          <w:rFonts w:ascii="Garamond" w:hAnsi="Garamond"/>
          <w:i/>
          <w:u w:val="single"/>
        </w:rPr>
        <w:t xml:space="preserve">něž má podezření, měly – pakliže se prokáží – dopad na částky splatné DPH a odpočitatelné DPH odpovídající plněním nedotčeným rozsahem této kontroly, a tudíž na částku nadměrného odpočtu DPH, která se jeví být nezpochybněná, a zadruhé o tom, že nebude nucen rozšířit rozsah této kontroly na všechna původně nekontrolovaná plnění či na některá z nich. Tyto skutečnosti musí jasně, přesně a jednoznačně vyplývat ze souboru podkladů v rámci daňové kontroly a z relevantních okolností dané věci.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4" w:name="point40"/>
      <w:r w:rsidRPr="00B23377">
        <w:rPr>
          <w:rFonts w:ascii="Garamond" w:hAnsi="Garamond"/>
          <w:i/>
        </w:rPr>
        <w:t>40</w:t>
      </w:r>
      <w:bookmarkEnd w:id="4"/>
      <w:r w:rsidRPr="00B23377">
        <w:rPr>
          <w:rFonts w:ascii="Garamond" w:hAnsi="Garamond"/>
          <w:i/>
        </w:rPr>
        <w:t xml:space="preserve">      V tomto rámci je třeba připomenout, že lhůta pro vrácení </w:t>
      </w:r>
      <w:r w:rsidR="003F2DD5">
        <w:rPr>
          <w:rFonts w:ascii="Garamond" w:hAnsi="Garamond"/>
          <w:i/>
        </w:rPr>
        <w:t>nadměrného odpočtu DPH může být </w:t>
      </w:r>
      <w:r w:rsidRPr="00B23377">
        <w:rPr>
          <w:rFonts w:ascii="Garamond" w:hAnsi="Garamond"/>
          <w:i/>
        </w:rPr>
        <w:t>v zásadě prodloužena k tomu, aby mohla být provedena daňová kontrola, aniž je nutno tuto prodlouženou lhůtu považovat za nepřiměřenou, pokud prodloužení nepřekračuje meze toho, co je nezbytné k řádnému provedení této daňové kontroly (rozsudek ze dne 12. května 2011, Enel Maritsa Iztok 3, C</w:t>
      </w:r>
      <w:r w:rsidRPr="00B23377">
        <w:rPr>
          <w:rFonts w:ascii="Garamond" w:hAnsi="Garamond"/>
          <w:i/>
        </w:rPr>
        <w:noBreakHyphen/>
        <w:t>107/10, EU:C:2011:298, bod 53 a citovaná judikatura), a že pokud dojde k vrácení takového nadměrného odpočtu osobě povinné k dani po uplynutí přiměřené lhůty, zásada neutrality systému DPH vyžaduje, aby finanční ztráty vzniklé osobě povinné k dani v důsledku nemožnosti disponovat dotčenými peněžitými částkami byly nahrazeny zaplacením úroků z prodlení (rozsudek ze dne 28. února 2018, Nidera, C</w:t>
      </w:r>
      <w:r w:rsidRPr="00B23377">
        <w:rPr>
          <w:rFonts w:ascii="Garamond" w:hAnsi="Garamond"/>
          <w:i/>
        </w:rPr>
        <w:noBreakHyphen/>
        <w:t xml:space="preserve">387/16, EU:C:2018:121, bod 25 a citovaná judikatura).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5" w:name="point41"/>
      <w:r w:rsidRPr="00B23377">
        <w:rPr>
          <w:rFonts w:ascii="Garamond" w:hAnsi="Garamond"/>
          <w:i/>
        </w:rPr>
        <w:t>41</w:t>
      </w:r>
      <w:bookmarkEnd w:id="5"/>
      <w:r w:rsidRPr="00B23377">
        <w:rPr>
          <w:rFonts w:ascii="Garamond" w:hAnsi="Garamond"/>
          <w:i/>
        </w:rPr>
        <w:t xml:space="preserve">      Dále vzhledem k tomu, že boj proti daňovým únikům, vyhýbání se daňovým povinnostem a případným zneužitím je cílem uznaným a podporovaným směrnicí o DPH, zejména jejím článkem 273, a že se právní subjekty nemohou podvodně nebo zneužívajícím způsobem dovolávat unijních právních norem, </w:t>
      </w:r>
      <w:r w:rsidRPr="00B23377">
        <w:rPr>
          <w:rFonts w:ascii="Garamond" w:hAnsi="Garamond"/>
          <w:i/>
          <w:u w:val="single"/>
        </w:rPr>
        <w:t>musí vnitrostátní orgány a soudy odmítnout uznat nárok na odpočet daně, je-li na základě objektivních okolností prokázáno, že k uplatnění tohoto nároku došlo podvodně nebo zneužívajícím způsobem</w:t>
      </w:r>
      <w:r w:rsidRPr="00B23377">
        <w:rPr>
          <w:rFonts w:ascii="Garamond" w:hAnsi="Garamond"/>
          <w:i/>
        </w:rPr>
        <w:t xml:space="preserve"> (v tomto smyslu viz rozsudky ze dne 28. července 2016, Astone, C</w:t>
      </w:r>
      <w:r w:rsidRPr="00B23377">
        <w:rPr>
          <w:rFonts w:ascii="Garamond" w:hAnsi="Garamond"/>
          <w:i/>
        </w:rPr>
        <w:noBreakHyphen/>
        <w:t>332/15, EU:C:2016:614, bod 50, a ze dne 16. října 2019, Glencore Agriculture Hungary, C</w:t>
      </w:r>
      <w:r w:rsidRPr="00B23377">
        <w:rPr>
          <w:rFonts w:ascii="Garamond" w:hAnsi="Garamond"/>
          <w:i/>
        </w:rPr>
        <w:noBreakHyphen/>
        <w:t xml:space="preserve">189/18, EU:C:2019:861, bod 34). </w:t>
      </w:r>
      <w:r w:rsidRPr="00B23377">
        <w:rPr>
          <w:rFonts w:ascii="Garamond" w:hAnsi="Garamond"/>
          <w:i/>
          <w:u w:val="single"/>
        </w:rPr>
        <w:t>V rámci daňových kontrol tedy musí daňové orgány</w:t>
      </w:r>
      <w:r w:rsidRPr="00B23377">
        <w:rPr>
          <w:rFonts w:ascii="Garamond" w:hAnsi="Garamond"/>
          <w:i/>
        </w:rPr>
        <w:t xml:space="preserve"> – aby splnily konečný cíl, kterým je správné stanovení výše daně – </w:t>
      </w:r>
      <w:r w:rsidRPr="00B23377">
        <w:rPr>
          <w:rFonts w:ascii="Garamond" w:hAnsi="Garamond"/>
          <w:i/>
          <w:u w:val="single"/>
        </w:rPr>
        <w:t>nejen rozptýlit své případné pochybnosti o řádném průběhu určitých plnění uskutečněných osobou povinnou k dani, ale také se ujistit, že nesrovnalosti, které případně odhalí, nejdou svým rozsahem nad rámec jejich podezření.</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6" w:name="point42"/>
      <w:r w:rsidRPr="00B23377">
        <w:rPr>
          <w:rFonts w:ascii="Garamond" w:hAnsi="Garamond"/>
          <w:i/>
        </w:rPr>
        <w:t>42</w:t>
      </w:r>
      <w:bookmarkEnd w:id="6"/>
      <w:r w:rsidRPr="00B23377">
        <w:rPr>
          <w:rFonts w:ascii="Garamond" w:hAnsi="Garamond"/>
          <w:i/>
        </w:rPr>
        <w:t xml:space="preserve">      Je třeba též poukázat na to – jak uvádí předkládající soud v rámci své argumentace uvedené v bodě 25 tohoto rozsudku – že česká právní úprava, o niž jde ve věci v původním řízení, </w:t>
      </w:r>
      <w:r w:rsidRPr="009C42FF">
        <w:rPr>
          <w:rFonts w:ascii="Garamond" w:hAnsi="Garamond"/>
          <w:i/>
        </w:rPr>
        <w:t>nedává osobě povinné k dani ani možnost prokázat oprávněnost jejích tvrzení o existenci nesporné části nadměrného odpočtu DPH, což je v rozporu s požadavky vyplývajícími z obecné zásady řádné správy.</w:t>
      </w:r>
      <w:r w:rsidRPr="00B23377">
        <w:rPr>
          <w:rFonts w:ascii="Garamond" w:hAnsi="Garamond"/>
          <w:i/>
        </w:rPr>
        <w:t xml:space="preserve">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7" w:name="point43"/>
      <w:r w:rsidRPr="00B23377">
        <w:rPr>
          <w:rFonts w:ascii="Garamond" w:hAnsi="Garamond"/>
          <w:i/>
        </w:rPr>
        <w:t>43</w:t>
      </w:r>
      <w:bookmarkEnd w:id="7"/>
      <w:r w:rsidRPr="00B23377">
        <w:rPr>
          <w:rFonts w:ascii="Garamond" w:hAnsi="Garamond"/>
          <w:i/>
        </w:rPr>
        <w:t>      V tomto ohledu je nutno zaprvé připomenout, že uplatňuje-li členský stát unijní právo, platí i v rámci daňové kontroly požadavky plynoucí z práva na řádnou správu – odrážejícího obecnou zásadu unijního práva – a mimo jiné právo každého, aby jeho záležitosti byly řešeny nestranně a v přiměřené lhůtě (obdobně viz rozsudek ze dne 8. května 2014, N., C</w:t>
      </w:r>
      <w:r w:rsidRPr="00B23377">
        <w:rPr>
          <w:rFonts w:ascii="Garamond" w:hAnsi="Garamond"/>
          <w:i/>
        </w:rPr>
        <w:noBreakHyphen/>
        <w:t xml:space="preserve">604/12, EU:C:2014:302, body 49 a 50).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8" w:name="point44"/>
      <w:r w:rsidRPr="00B23377">
        <w:rPr>
          <w:rFonts w:ascii="Garamond" w:hAnsi="Garamond"/>
          <w:i/>
        </w:rPr>
        <w:t>44</w:t>
      </w:r>
      <w:bookmarkEnd w:id="8"/>
      <w:r w:rsidRPr="00B23377">
        <w:rPr>
          <w:rFonts w:ascii="Garamond" w:hAnsi="Garamond"/>
          <w:i/>
        </w:rPr>
        <w:t xml:space="preserve">      Zadruhé je třeba poukázat na to, že tato zásada řádné správy po </w:t>
      </w:r>
      <w:r w:rsidRPr="009C42FF">
        <w:rPr>
          <w:rFonts w:ascii="Garamond" w:hAnsi="Garamond"/>
          <w:i/>
        </w:rPr>
        <w:t xml:space="preserve">správním orgánu, jako je daňový orgán ve věci v původním řízení, požaduje, aby v rámci svých kontrolních povinností provedl pečlivý a nestranný přezkum všech relevantních aspektů a zajistil tak, že bude mít při přijímání svého rozhodnutí k tomu účelu co nejúplnější a nejspolehlivější poznatky </w:t>
      </w:r>
      <w:r w:rsidRPr="00B23377">
        <w:rPr>
          <w:rFonts w:ascii="Garamond" w:hAnsi="Garamond"/>
          <w:i/>
        </w:rPr>
        <w:t>(v tomto smyslu viz rozsudek ze dne 2. září 2010, Komise v. Scott, C</w:t>
      </w:r>
      <w:r w:rsidRPr="00B23377">
        <w:rPr>
          <w:rFonts w:ascii="Garamond" w:hAnsi="Garamond"/>
          <w:i/>
        </w:rPr>
        <w:noBreakHyphen/>
        <w:t>290/07 P, EU:C:2010:480, bod 90 a citovaná judikatura). Kromě toho tato povinnost řádné péče, jejímž logickým důsledkem je právo každého na to, aby jeho záležitosti byly správními orgány řešeny nestranně, spravedlivě a v přiměřené lhůtě, v podstatě vyžaduje, aby tyto orgány pečlivě a nestranně zkoumaly všechny relevantní skutečnosti projednávan</w:t>
      </w:r>
      <w:r w:rsidR="003F2DD5">
        <w:rPr>
          <w:rFonts w:ascii="Garamond" w:hAnsi="Garamond"/>
          <w:i/>
        </w:rPr>
        <w:t>ého případu a hlavně ty z nich, </w:t>
      </w:r>
      <w:r w:rsidRPr="00B23377">
        <w:rPr>
          <w:rFonts w:ascii="Garamond" w:hAnsi="Garamond"/>
          <w:i/>
        </w:rPr>
        <w:t>které se týkají tvrzení vyjádřených osobou povinnou k dani, v tomto případě společností AGROBET (obdobně viz rozsudek ze dne 22. října 1991, Nölle, C</w:t>
      </w:r>
      <w:r w:rsidRPr="00B23377">
        <w:rPr>
          <w:rFonts w:ascii="Garamond" w:hAnsi="Garamond"/>
          <w:i/>
        </w:rPr>
        <w:noBreakHyphen/>
        <w:t xml:space="preserve">16/90, EU:C:1991:402, body 30 až 35).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9" w:name="point45"/>
      <w:r w:rsidRPr="00B23377">
        <w:rPr>
          <w:rFonts w:ascii="Garamond" w:hAnsi="Garamond"/>
          <w:i/>
        </w:rPr>
        <w:t>45</w:t>
      </w:r>
      <w:bookmarkEnd w:id="9"/>
      <w:r w:rsidRPr="00B23377">
        <w:rPr>
          <w:rFonts w:ascii="Garamond" w:hAnsi="Garamond"/>
          <w:i/>
        </w:rPr>
        <w:t>      Tato judikatura se použije i v případě, kdy osoba povinná k dani tvrdí, že podezření daňového orgánu týkající se řádného průběhu části plnění zahrnutých do daného přiznání k DPH nemůže mít dopad na plnění, která nejsou dotčena rozsahem příslušné daňové kontroly, ani na určitou část nadměrného odpočtu DPH vykázaného v tomto přiznání, a že tím pádem existuje nesporná část tohoto nadměrného odpočtu. Může být totiž v oprávněném zájmu osoby povinné k dani, aby daňový orgán vydal rozhodnutí potvrzující, že uvedená kontrola zůstane omezena pouze na určitá plnění, zvl</w:t>
      </w:r>
      <w:r w:rsidR="003F2DD5">
        <w:rPr>
          <w:rFonts w:ascii="Garamond" w:hAnsi="Garamond"/>
          <w:i/>
        </w:rPr>
        <w:t>áště když tato plnění tvoří jen </w:t>
      </w:r>
      <w:r w:rsidRPr="00B23377">
        <w:rPr>
          <w:rFonts w:ascii="Garamond" w:hAnsi="Garamond"/>
          <w:i/>
        </w:rPr>
        <w:t>malou část ekonomické činnosti osoby povinné k dani.</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0" w:name="point46"/>
      <w:r w:rsidRPr="00B23377">
        <w:rPr>
          <w:rFonts w:ascii="Garamond" w:hAnsi="Garamond"/>
          <w:i/>
        </w:rPr>
        <w:t>46</w:t>
      </w:r>
      <w:bookmarkEnd w:id="10"/>
      <w:r w:rsidRPr="00B23377">
        <w:rPr>
          <w:rFonts w:ascii="Garamond" w:hAnsi="Garamond"/>
          <w:i/>
        </w:rPr>
        <w:t xml:space="preserve">      Za těchto podmínek je třeba zdůraznit, že vnitrostátní právní úprava, která by v rámci opatření přijatých členským státem na základě článku 273 směrnice o DPH nedovolovala osobě povinné k dani předložit takové důkazy a daňovému orgánu přijmout k tomu rozhodnutí, by byla v rozporu se zásadou řádné správy, a nebyla by tedy slučitelná se směrnicí o DPH.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1" w:name="point47"/>
      <w:r w:rsidRPr="00B23377">
        <w:rPr>
          <w:rFonts w:ascii="Garamond" w:hAnsi="Garamond"/>
          <w:i/>
        </w:rPr>
        <w:t>47</w:t>
      </w:r>
      <w:bookmarkEnd w:id="11"/>
      <w:r w:rsidRPr="00B23377">
        <w:rPr>
          <w:rFonts w:ascii="Garamond" w:hAnsi="Garamond"/>
          <w:i/>
        </w:rPr>
        <w:t xml:space="preserve">      Je třeba rovněž upřesnit, že </w:t>
      </w:r>
      <w:r w:rsidRPr="00B23377">
        <w:rPr>
          <w:rFonts w:ascii="Garamond" w:hAnsi="Garamond"/>
          <w:i/>
          <w:u w:val="single"/>
        </w:rPr>
        <w:t>možnost osoby povinné k dani dovolávat se existence nesporné části nadměrného odpočtu DPH za určité zdaňovací období tak, aby dosáhla jejího vrácení před skončením daňové kontroly, neznamená automaticky povinnost daňového orgánu vr</w:t>
      </w:r>
      <w:r w:rsidR="003F2DD5">
        <w:rPr>
          <w:rFonts w:ascii="Garamond" w:hAnsi="Garamond"/>
          <w:i/>
          <w:u w:val="single"/>
        </w:rPr>
        <w:t>átit tuto část předem, a to ani </w:t>
      </w:r>
      <w:r w:rsidRPr="00B23377">
        <w:rPr>
          <w:rFonts w:ascii="Garamond" w:hAnsi="Garamond"/>
          <w:i/>
          <w:u w:val="single"/>
        </w:rPr>
        <w:t xml:space="preserve">tehdy, když uzná její nespornou povahu. </w:t>
      </w:r>
      <w:r w:rsidRPr="00B23377">
        <w:rPr>
          <w:rFonts w:ascii="Garamond" w:hAnsi="Garamond"/>
          <w:i/>
        </w:rPr>
        <w:t xml:space="preserve">Z článku 183 směrnice o DPH totiž vyplývá, že členské státy jsou bez ohledu na podmínky, které samy stanoví, </w:t>
      </w:r>
      <w:r w:rsidRPr="00B23377">
        <w:rPr>
          <w:rFonts w:ascii="Garamond" w:hAnsi="Garamond"/>
          <w:i/>
          <w:u w:val="single"/>
        </w:rPr>
        <w:t>povinny vrátit nebo převést nadměrný odpočet DPH pouze v případě, kdy za dané zdaňovací období výše odpočtu daně překročí výši splatné DPH. Povinnost vrátit nebo převést nadměrný odpočet, kterou toto ustanovení členským státům ukládá, je tedy podmíněna existencí nadměrného odpočtu DPH za celé příslušné zdaňovací období.</w:t>
      </w:r>
      <w:r w:rsidRPr="00B23377">
        <w:rPr>
          <w:rFonts w:ascii="Garamond" w:hAnsi="Garamond"/>
          <w:i/>
        </w:rPr>
        <w:t xml:space="preserve">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2" w:name="point48"/>
      <w:r w:rsidRPr="00B23377">
        <w:rPr>
          <w:rFonts w:ascii="Garamond" w:hAnsi="Garamond"/>
          <w:i/>
        </w:rPr>
        <w:t>48</w:t>
      </w:r>
      <w:bookmarkEnd w:id="12"/>
      <w:r w:rsidRPr="00B23377">
        <w:rPr>
          <w:rFonts w:ascii="Garamond" w:hAnsi="Garamond"/>
          <w:i/>
        </w:rPr>
        <w:t xml:space="preserve">      Za těchto podmínek je třeba mít za to, že </w:t>
      </w:r>
      <w:r w:rsidRPr="00BB65F9">
        <w:rPr>
          <w:rFonts w:ascii="Garamond" w:hAnsi="Garamond"/>
          <w:i/>
          <w:u w:val="single"/>
        </w:rPr>
        <w:t xml:space="preserve">v případě, kdy se osoba povinná k dani dovolává v rámci daňové kontroly existence nesporné části nadměrného odpočtu DPH, je daňový orgán povinen vrátit nebo převést pouze tu část nadměrného odpočtu DPH, kterou je schopen se zřetelem ke svým pochybnostem vyjádřeným u příležitosti této kontroly a s ohledem na relevantní okolnosti projednávaného případu určit jasně, přesně a jednoznačně, nezávisle na výsledku této kontroly a za </w:t>
      </w:r>
      <w:r w:rsidR="003F2DD5">
        <w:rPr>
          <w:rFonts w:ascii="Garamond" w:hAnsi="Garamond"/>
          <w:i/>
          <w:u w:val="single"/>
        </w:rPr>
        <w:t>celé zdaňovací období, které je </w:t>
      </w:r>
      <w:r w:rsidRPr="00BB65F9">
        <w:rPr>
          <w:rFonts w:ascii="Garamond" w:hAnsi="Garamond"/>
          <w:i/>
          <w:u w:val="single"/>
        </w:rPr>
        <w:t>předmětem počátečního přiznání k DPH.</w:t>
      </w:r>
      <w:r w:rsidRPr="00B23377">
        <w:rPr>
          <w:rFonts w:ascii="Garamond" w:hAnsi="Garamond"/>
          <w:i/>
        </w:rPr>
        <w:t xml:space="preserve"> Vzhledem k tomu, že se taková povinnost vrátit nebo převést nadměrný odpočet vztahuje k určitému zdaňovacímu období, musí tedy platit nikoli ve vztahu k samotným částkám splatné daně a odpočitatelné daně, které odpovídají plněním nedotčeným rozsahem předmětné daňové kontroly a které daňový orgán identifikoval jako nesporné, nýbrž ve vztahu k části nadměrného odpočtu DPH, která bude nadále existovat nezávisle na výsledku této kontroly a která jako jediná může být v konečném výsledku považována za nespornou. V tomto ohledu je nutno poznamenat, že tato nesporná část nadměrného odpočtu DPH může být případně nižší než část nadměrného odpočtu nárokovaná osobou povinnou k dani a vztahující se k uvedeným čás</w:t>
      </w:r>
      <w:r w:rsidR="003F2DD5">
        <w:rPr>
          <w:rFonts w:ascii="Garamond" w:hAnsi="Garamond"/>
          <w:i/>
        </w:rPr>
        <w:t>tkám uznaným daňovým orgánem za </w:t>
      </w:r>
      <w:r w:rsidRPr="00B23377">
        <w:rPr>
          <w:rFonts w:ascii="Garamond" w:hAnsi="Garamond"/>
          <w:i/>
        </w:rPr>
        <w:t xml:space="preserve">nesporné.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3" w:name="point49"/>
      <w:r w:rsidRPr="00B23377">
        <w:rPr>
          <w:rFonts w:ascii="Garamond" w:hAnsi="Garamond"/>
          <w:i/>
        </w:rPr>
        <w:t>49</w:t>
      </w:r>
      <w:bookmarkEnd w:id="13"/>
      <w:r w:rsidRPr="00B23377">
        <w:rPr>
          <w:rFonts w:ascii="Garamond" w:hAnsi="Garamond"/>
          <w:i/>
        </w:rPr>
        <w:t xml:space="preserve">      V daném případě přísluší předkládajícímu soudu ověřit, zda s ohledem na důkazy případně předložené společností AGROBET daňový orgán v kterékoli fázi daňové kontroly, o niž jde ve věci v původním řízení, jasně, přesně a jednoznačně identifikoval nebo měl identifikovat existenci nesporné části nadměrného odpočtu DPH a konkrétně zda určil nebo měl určit, že částky splatné daně a odpočitatelné daně odpovídající plněním, která nejsou rozsahem této kontroly dotčena, se již nemohly do skončení této kontroly odchýlit od částek deklarovaných osobou povinnou k dani. Dále mu přísluší ověřit, zda daňový orgán byl nebo měl být schopen se zřetelem ke svým pochybnostem vyjádřeným u příležitosti daňové kontroly a s ohledem na veškeré podklady v rámci této kontroly a na relevantní okolnosti dané věci stejným způsobem určit, že bez ohledu na výsledek této kontroly bude nadále existovat nadměrný odpočet DPH, jehož částka přitom může být nižší než částka vztahující se k plněním, jež nejsou rozsahem kontroly dotčena. Při takovém ověření by měly být zohledněny zejména případné sankce, které by v situaci částečného nebo prozatímního vrácení nárokované části nadměrného odpočtu DPH mohly osobě povinné k dani hrozit v případě, že by daňová kontrola dospěla k pozitivnímu výsledku.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4" w:name="point50"/>
      <w:r w:rsidRPr="00B23377">
        <w:rPr>
          <w:rFonts w:ascii="Garamond" w:hAnsi="Garamond"/>
          <w:i/>
        </w:rPr>
        <w:t>50</w:t>
      </w:r>
      <w:bookmarkEnd w:id="14"/>
      <w:r w:rsidRPr="00B23377">
        <w:rPr>
          <w:rFonts w:ascii="Garamond" w:hAnsi="Garamond"/>
          <w:i/>
        </w:rPr>
        <w:t xml:space="preserve">      Pokud by daňový orgán nebyl schopen tato zjištění učinit, nebylo by možné mu vytýkat, že odmítl vydání částečného platebního výměru před skončením daňové kontroly, o niž jde ve věci v původním řízení. </w:t>
      </w:r>
    </w:p>
    <w:p w:rsidR="00B23377" w:rsidRPr="00B23377" w:rsidRDefault="00B23377" w:rsidP="00B23377">
      <w:pPr>
        <w:pStyle w:val="Odstavecseseznamem"/>
        <w:tabs>
          <w:tab w:val="left" w:pos="284"/>
        </w:tabs>
        <w:spacing w:before="240" w:after="240"/>
        <w:ind w:left="284" w:right="283"/>
        <w:contextualSpacing w:val="0"/>
        <w:jc w:val="both"/>
        <w:rPr>
          <w:rFonts w:ascii="Garamond" w:hAnsi="Garamond"/>
          <w:i/>
        </w:rPr>
      </w:pPr>
      <w:bookmarkStart w:id="15" w:name="point51"/>
      <w:r w:rsidRPr="00B23377">
        <w:rPr>
          <w:rFonts w:ascii="Garamond" w:hAnsi="Garamond"/>
          <w:i/>
        </w:rPr>
        <w:t>51</w:t>
      </w:r>
      <w:bookmarkEnd w:id="15"/>
      <w:r w:rsidRPr="00B23377">
        <w:rPr>
          <w:rFonts w:ascii="Garamond" w:hAnsi="Garamond"/>
          <w:i/>
        </w:rPr>
        <w:t>      S ohledem na předchozí úvahy je třeba na položenou otázku odpovědět tak, že články 179, 183 a 273 směrnice o DPH, posuzované ve světle zásady daňové neutrality, musí být vykládány v tom smyslu, že nebrání vnitrostátní právní úpravě, která neumožňuje, aby daňový orgán před skončením daňové kontroly týkající se přiznání k DPH, ve kterém je za určité zdaňovací období vykázán nadměrný odpočet, připustil vrácení části tohoto nadměrného odpočtu vztahující se k plněním, která k okamžiku zahájení této kontroly nejsou jejím rozsahem dotčena, pakliže není možné jasně, pře</w:t>
      </w:r>
      <w:r w:rsidR="003F2DD5">
        <w:rPr>
          <w:rFonts w:ascii="Garamond" w:hAnsi="Garamond"/>
          <w:i/>
        </w:rPr>
        <w:t>sně a jednoznačně určit, že bez </w:t>
      </w:r>
      <w:r w:rsidRPr="00B23377">
        <w:rPr>
          <w:rFonts w:ascii="Garamond" w:hAnsi="Garamond"/>
          <w:i/>
        </w:rPr>
        <w:t>ohledu na výsledek této kontroly bude nadále existovat nadměrný odpočet DPH, jehož částka přitom může být případně nižší než částka vztahující se k plněním, jež nejsou rozs</w:t>
      </w:r>
      <w:r w:rsidR="003F2DD5">
        <w:rPr>
          <w:rFonts w:ascii="Garamond" w:hAnsi="Garamond"/>
          <w:i/>
        </w:rPr>
        <w:t>ahem této kontroly dotčena, což </w:t>
      </w:r>
      <w:r w:rsidRPr="00B23377">
        <w:rPr>
          <w:rFonts w:ascii="Garamond" w:hAnsi="Garamond"/>
          <w:i/>
        </w:rPr>
        <w:t>přísluší ověřit předkládajícímu soudu.</w:t>
      </w:r>
    </w:p>
    <w:p w:rsidR="00F129B0" w:rsidRPr="00F129B0" w:rsidRDefault="00F129B0" w:rsidP="00F129B0">
      <w:pPr>
        <w:pStyle w:val="Odstavecseseznamem"/>
        <w:numPr>
          <w:ilvl w:val="0"/>
          <w:numId w:val="2"/>
        </w:numPr>
        <w:spacing w:before="240" w:after="240"/>
        <w:ind w:left="0" w:firstLine="0"/>
        <w:contextualSpacing w:val="0"/>
        <w:jc w:val="both"/>
        <w:rPr>
          <w:rFonts w:ascii="Garamond" w:hAnsi="Garamond"/>
        </w:rPr>
      </w:pPr>
      <w:r w:rsidRPr="00F129B0">
        <w:rPr>
          <w:rFonts w:ascii="Garamond" w:hAnsi="Garamond"/>
        </w:rPr>
        <w:t xml:space="preserve">Souhrnně lze uzavřít, že o nesporné části </w:t>
      </w:r>
      <w:r w:rsidR="00A00FC3">
        <w:rPr>
          <w:rFonts w:ascii="Garamond" w:hAnsi="Garamond"/>
        </w:rPr>
        <w:t xml:space="preserve">uplatňovaného </w:t>
      </w:r>
      <w:r w:rsidRPr="00F129B0">
        <w:rPr>
          <w:rFonts w:ascii="Garamond" w:hAnsi="Garamond"/>
        </w:rPr>
        <w:t xml:space="preserve">nadměrného odpočtu </w:t>
      </w:r>
      <w:r w:rsidR="003F2DD5">
        <w:rPr>
          <w:rFonts w:ascii="Garamond" w:hAnsi="Garamond"/>
        </w:rPr>
        <w:t>lze </w:t>
      </w:r>
      <w:r w:rsidR="00A00FC3">
        <w:rPr>
          <w:rFonts w:ascii="Garamond" w:hAnsi="Garamond"/>
        </w:rPr>
        <w:t>uvažovat</w:t>
      </w:r>
      <w:r w:rsidRPr="00F129B0">
        <w:rPr>
          <w:rFonts w:ascii="Garamond" w:hAnsi="Garamond"/>
        </w:rPr>
        <w:t xml:space="preserve">, pokud tuto část odpočtu nebude možné v dalším průběhu řízení zpochybnit (nestane se součástí prověřovaných zdanitelných plnění v rámci daňové kontroly či postupu k odstranění pochybností </w:t>
      </w:r>
      <w:r w:rsidR="00CA4F2A">
        <w:rPr>
          <w:rFonts w:ascii="Garamond" w:hAnsi="Garamond"/>
        </w:rPr>
        <w:t xml:space="preserve">a </w:t>
      </w:r>
      <w:r w:rsidRPr="00F129B0">
        <w:rPr>
          <w:rFonts w:ascii="Garamond" w:hAnsi="Garamond"/>
        </w:rPr>
        <w:t>nebude zasažena daňovým podvodem nebo získaná zneužívajícím způsobem). Na správce daně v rámci vymezení nesporné části dopadá zás</w:t>
      </w:r>
      <w:r w:rsidR="003F2DD5">
        <w:rPr>
          <w:rFonts w:ascii="Garamond" w:hAnsi="Garamond"/>
        </w:rPr>
        <w:t>ada řádné správy (srov. </w:t>
      </w:r>
      <w:r w:rsidRPr="00F129B0">
        <w:rPr>
          <w:rFonts w:ascii="Garamond" w:hAnsi="Garamond"/>
        </w:rPr>
        <w:t>bod [44] rozsudku</w:t>
      </w:r>
      <w:r w:rsidR="004071BD">
        <w:rPr>
          <w:rFonts w:ascii="Garamond" w:hAnsi="Garamond"/>
        </w:rPr>
        <w:t xml:space="preserve"> Soudního dvora</w:t>
      </w:r>
      <w:r w:rsidRPr="00F129B0">
        <w:rPr>
          <w:rFonts w:ascii="Garamond" w:hAnsi="Garamond"/>
        </w:rPr>
        <w:t xml:space="preserve"> AGR</w:t>
      </w:r>
      <w:r w:rsidR="00A00FC3">
        <w:rPr>
          <w:rFonts w:ascii="Garamond" w:hAnsi="Garamond"/>
        </w:rPr>
        <w:t>O</w:t>
      </w:r>
      <w:r w:rsidRPr="00F129B0">
        <w:rPr>
          <w:rFonts w:ascii="Garamond" w:hAnsi="Garamond"/>
        </w:rPr>
        <w:t xml:space="preserve">BET CZ), která požaduje, aby v rámci svých kontrolních povinností provedl pečlivý a nestranný přezkum všech relevantních aspektů a zajistil tak, že bude mít při přijímání svého rozhodnutí k tomu účelu co nejúplnější a nejspolehlivější poznatky. Tato povinnost je spjatá i s poslední podmínkou pro vrácení nesporné části nadměrného odpočtu. Soudní dvůr v bodu [48] </w:t>
      </w:r>
      <w:r w:rsidR="004071BD">
        <w:rPr>
          <w:rFonts w:ascii="Garamond" w:hAnsi="Garamond"/>
        </w:rPr>
        <w:t xml:space="preserve">svého </w:t>
      </w:r>
      <w:r w:rsidRPr="00F129B0">
        <w:rPr>
          <w:rFonts w:ascii="Garamond" w:hAnsi="Garamond"/>
        </w:rPr>
        <w:t>rozsudku vyslovil, že „</w:t>
      </w:r>
      <w:r w:rsidRPr="00F129B0">
        <w:rPr>
          <w:rFonts w:ascii="Garamond" w:hAnsi="Garamond"/>
          <w:i/>
          <w:iCs/>
        </w:rPr>
        <w:t xml:space="preserve">v případě, kdy se osoba povinná k dani dovolává v rámci daňové kontroly existence nesporné části nadměrného odpočtu DPH, je daňový orgán povinen vrátit nebo převést pouze tu část nadměrného odpočtu DPH, kterou je schopen se zřetelem ke svým pochybnostem vyjádřeným u příležitosti této kontroly a s ohledem na relevantní okolnosti projednávaného případu určit jasně, přesně a jednoznačně, nezávisle na výsledku této kontroly a za </w:t>
      </w:r>
      <w:r w:rsidR="003F2DD5">
        <w:rPr>
          <w:rFonts w:ascii="Garamond" w:hAnsi="Garamond"/>
          <w:i/>
          <w:iCs/>
        </w:rPr>
        <w:t>celé zdaňovací období, které je </w:t>
      </w:r>
      <w:r w:rsidRPr="00F129B0">
        <w:rPr>
          <w:rFonts w:ascii="Garamond" w:hAnsi="Garamond"/>
          <w:i/>
          <w:iCs/>
        </w:rPr>
        <w:t>předmětem počátečního přiznání k DPH.</w:t>
      </w:r>
      <w:r w:rsidRPr="00F129B0">
        <w:rPr>
          <w:rFonts w:ascii="Garamond" w:hAnsi="Garamond"/>
        </w:rPr>
        <w:t xml:space="preserve">“ </w:t>
      </w:r>
    </w:p>
    <w:p w:rsidR="00F129B0" w:rsidRPr="00F129B0" w:rsidRDefault="00F129B0" w:rsidP="00F129B0">
      <w:pPr>
        <w:pStyle w:val="Odstavecseseznamem"/>
        <w:numPr>
          <w:ilvl w:val="0"/>
          <w:numId w:val="2"/>
        </w:numPr>
        <w:spacing w:before="240" w:after="240"/>
        <w:ind w:left="0" w:firstLine="0"/>
        <w:contextualSpacing w:val="0"/>
        <w:jc w:val="both"/>
        <w:rPr>
          <w:rFonts w:ascii="Garamond" w:hAnsi="Garamond"/>
        </w:rPr>
      </w:pPr>
      <w:r w:rsidRPr="00F129B0">
        <w:rPr>
          <w:rFonts w:ascii="Garamond" w:hAnsi="Garamond"/>
        </w:rPr>
        <w:t>Právě v uvedeném smyslu je nutno vykládat závěry Ústavního soudu vyjádřené v nálezu sp. zn. II</w:t>
      </w:r>
      <w:r w:rsidR="004071BD">
        <w:rPr>
          <w:rFonts w:ascii="Garamond" w:hAnsi="Garamond"/>
        </w:rPr>
        <w:t>.</w:t>
      </w:r>
      <w:r w:rsidRPr="00F129B0">
        <w:rPr>
          <w:rFonts w:ascii="Garamond" w:hAnsi="Garamond"/>
        </w:rPr>
        <w:t xml:space="preserve"> ÚS 819/18, ve kterém soud uvedl, že „[d]</w:t>
      </w:r>
      <w:r w:rsidRPr="00F129B0">
        <w:rPr>
          <w:rFonts w:ascii="Garamond" w:hAnsi="Garamond"/>
          <w:i/>
          <w:iCs/>
        </w:rPr>
        <w:t>aňový řád (§ 90 odst. 3 ve spojení s § 85 odst. 1) umožňuje správci daně prověřovat před vyměřením daně pouze tu část plnění, o nichž existují důvodné pochybnosti; nedává však správci daně pravomoc zadržovat nespornou část nadměrného odpočtu odvozenou od těch zdanitelných plnění, která jako nesporná nemohou být předmětem prověřování. Daňový řád sice výslovně neumožňuje nakládat s nespornou částkou odděleně od částky sporné; rovněž však daňový řád v žádném svém ustanovení neumožňuje zadržovat nespornou částku společně s částkou spornou.</w:t>
      </w:r>
      <w:r w:rsidRPr="00F129B0">
        <w:rPr>
          <w:rFonts w:ascii="Garamond" w:hAnsi="Garamond"/>
        </w:rPr>
        <w:t>“ Ústavním soudem zmiňovanou „nespornou část nadměrného odpočtu“ je přitom nutno určit tak, jak plyne právě z citovaného rozhodnutí Soudního dvora. Nelze tedy hovořit o nesporné části na</w:t>
      </w:r>
      <w:r w:rsidR="003F2DD5">
        <w:rPr>
          <w:rFonts w:ascii="Garamond" w:hAnsi="Garamond"/>
        </w:rPr>
        <w:t>dměrného odpočtu, jedná-li se o </w:t>
      </w:r>
      <w:r w:rsidRPr="00F129B0">
        <w:rPr>
          <w:rFonts w:ascii="Garamond" w:hAnsi="Garamond"/>
        </w:rPr>
        <w:t>zdanitelná plnění, která správce daně může v budoucn</w:t>
      </w:r>
      <w:r w:rsidR="003F2DD5">
        <w:rPr>
          <w:rFonts w:ascii="Garamond" w:hAnsi="Garamond"/>
        </w:rPr>
        <w:t>u zpochybnit (zpravidla půjde o </w:t>
      </w:r>
      <w:r w:rsidRPr="00F129B0">
        <w:rPr>
          <w:rFonts w:ascii="Garamond" w:hAnsi="Garamond"/>
        </w:rPr>
        <w:t xml:space="preserve">zdanitelná plnění nějakým způsobem spjatá s prověřovanou částí nadměrného odpočtu </w:t>
      </w:r>
      <w:r w:rsidR="00CA4F2A">
        <w:rPr>
          <w:rFonts w:ascii="Garamond" w:hAnsi="Garamond"/>
        </w:rPr>
        <w:t xml:space="preserve">- </w:t>
      </w:r>
      <w:r w:rsidRPr="00F129B0">
        <w:rPr>
          <w:rFonts w:ascii="Garamond" w:hAnsi="Garamond"/>
        </w:rPr>
        <w:t xml:space="preserve">stejné subjekty u vstupů či výstupů, obdobný ekonomický model plnění apod.). Soudní dvůr tato zdanitelná plnění považuje za součást sporné části nadměrného odpočtu. Nutno dodat, že bude na správci daně, aby případnou možnost vzniku pochybností adekvátně určil, popsal a vysvětlil, resp. aby stanovil, proč zdanitelná plnění nejsou nesporná, ač jsou prozatímně vyňata z kontrolních postupů. To bude platit i pro situaci, v níž se daňový subjekt bude domáhat rozšíření nesporné části nadměrných odpočtů či jejího určení v situaci zahájení kontrolních postupů na celé zdaňovací období. </w:t>
      </w:r>
    </w:p>
    <w:p w:rsidR="002D2462" w:rsidRDefault="0050307D" w:rsidP="00450222">
      <w:pPr>
        <w:pStyle w:val="Odstavecseseznamem"/>
        <w:numPr>
          <w:ilvl w:val="0"/>
          <w:numId w:val="2"/>
        </w:numPr>
        <w:ind w:left="0" w:firstLine="0"/>
        <w:contextualSpacing w:val="0"/>
        <w:jc w:val="both"/>
        <w:rPr>
          <w:rFonts w:ascii="Garamond" w:hAnsi="Garamond"/>
        </w:rPr>
      </w:pPr>
      <w:r w:rsidRPr="00C9623B">
        <w:rPr>
          <w:rFonts w:ascii="Garamond" w:hAnsi="Garamond"/>
        </w:rPr>
        <w:t xml:space="preserve"> </w:t>
      </w:r>
      <w:r w:rsidR="002D2462" w:rsidRPr="00C9623B">
        <w:rPr>
          <w:rFonts w:ascii="Garamond" w:hAnsi="Garamond"/>
        </w:rPr>
        <w:t xml:space="preserve">V projednávané věci </w:t>
      </w:r>
      <w:r w:rsidR="00667CD9" w:rsidRPr="00C9623B">
        <w:rPr>
          <w:rFonts w:ascii="Garamond" w:hAnsi="Garamond"/>
        </w:rPr>
        <w:t xml:space="preserve">došlo k ukončení daňové kontroly a vydání platebních výměrů. Stěžovatel správně uvádí, že mu </w:t>
      </w:r>
      <w:r w:rsidR="00CA4F2A">
        <w:rPr>
          <w:rFonts w:ascii="Garamond" w:hAnsi="Garamond"/>
        </w:rPr>
        <w:t xml:space="preserve">v takovém případě </w:t>
      </w:r>
      <w:r w:rsidR="00667CD9" w:rsidRPr="00C9623B">
        <w:rPr>
          <w:rFonts w:ascii="Garamond" w:hAnsi="Garamond"/>
        </w:rPr>
        <w:t>náleží práv</w:t>
      </w:r>
      <w:r w:rsidR="003F2DD5">
        <w:rPr>
          <w:rFonts w:ascii="Garamond" w:hAnsi="Garamond"/>
        </w:rPr>
        <w:t>o na změnu žalobního typu dle § </w:t>
      </w:r>
      <w:r w:rsidR="00667CD9" w:rsidRPr="00C9623B">
        <w:rPr>
          <w:rFonts w:ascii="Garamond" w:hAnsi="Garamond"/>
        </w:rPr>
        <w:t>95 odst. 2 zákona č. 99/1963 Sb., občanského soudního řádu (dále jen „o. s. ř.“)</w:t>
      </w:r>
      <w:r w:rsidR="00B17D7C" w:rsidRPr="00C9623B">
        <w:rPr>
          <w:rFonts w:ascii="Garamond" w:hAnsi="Garamond"/>
        </w:rPr>
        <w:t xml:space="preserve">, které potvrdil rozsudek Nejvyššího správního soudu ze dne </w:t>
      </w:r>
      <w:r w:rsidR="003D050D" w:rsidRPr="00C9623B">
        <w:rPr>
          <w:rFonts w:ascii="Garamond" w:hAnsi="Garamond"/>
        </w:rPr>
        <w:t xml:space="preserve">9. 6. 2020, č. j. 1 Afs 22/2020 </w:t>
      </w:r>
      <w:r w:rsidR="00D50208" w:rsidRPr="00C9623B">
        <w:rPr>
          <w:rFonts w:ascii="Garamond" w:hAnsi="Garamond"/>
        </w:rPr>
        <w:t>–</w:t>
      </w:r>
      <w:r w:rsidR="003D050D" w:rsidRPr="00C9623B">
        <w:rPr>
          <w:rFonts w:ascii="Garamond" w:hAnsi="Garamond"/>
        </w:rPr>
        <w:t xml:space="preserve"> 34</w:t>
      </w:r>
      <w:r w:rsidR="00D50208" w:rsidRPr="00C9623B">
        <w:rPr>
          <w:rFonts w:ascii="Garamond" w:hAnsi="Garamond"/>
        </w:rPr>
        <w:t xml:space="preserve">. </w:t>
      </w:r>
      <w:r w:rsidR="00337681" w:rsidRPr="00C9623B">
        <w:rPr>
          <w:rFonts w:ascii="Garamond" w:hAnsi="Garamond"/>
        </w:rPr>
        <w:t xml:space="preserve">Soud v rozsudku </w:t>
      </w:r>
      <w:r w:rsidR="004071BD">
        <w:rPr>
          <w:rFonts w:ascii="Garamond" w:hAnsi="Garamond"/>
        </w:rPr>
        <w:t xml:space="preserve">mimo jiné </w:t>
      </w:r>
      <w:r w:rsidR="00337681" w:rsidRPr="00C9623B">
        <w:rPr>
          <w:rFonts w:ascii="Garamond" w:hAnsi="Garamond"/>
        </w:rPr>
        <w:t xml:space="preserve">uvedl, že </w:t>
      </w:r>
      <w:r w:rsidR="00C9623B" w:rsidRPr="00C9623B">
        <w:rPr>
          <w:rFonts w:ascii="Garamond" w:hAnsi="Garamond"/>
        </w:rPr>
        <w:t>„</w:t>
      </w:r>
      <w:r w:rsidR="00C9623B" w:rsidRPr="00C9623B">
        <w:rPr>
          <w:rFonts w:ascii="Garamond" w:hAnsi="Garamond"/>
          <w:i/>
        </w:rPr>
        <w:t>nevydání rozhodnutí o nesporné části nadměrného odpočtu daně z přidané hodnoty (resp. nevydání částečného platebního výměru) bylo možno v p</w:t>
      </w:r>
      <w:r w:rsidR="003F2DD5">
        <w:rPr>
          <w:rFonts w:ascii="Garamond" w:hAnsi="Garamond"/>
          <w:i/>
        </w:rPr>
        <w:t>osuzovaném případě považovat za </w:t>
      </w:r>
      <w:r w:rsidR="00C9623B" w:rsidRPr="00C9623B">
        <w:rPr>
          <w:rFonts w:ascii="Garamond" w:hAnsi="Garamond"/>
          <w:i/>
        </w:rPr>
        <w:t>nezákonnou nečinnost správce daně. Stěžovatelka proto zvolila adekvátní nástroj ochrany proti postupu žalovaného, a to žalobu na ochranu proti nečinnosti.</w:t>
      </w:r>
      <w:r w:rsidR="00882EC0">
        <w:rPr>
          <w:rFonts w:ascii="Garamond" w:hAnsi="Garamond"/>
        </w:rPr>
        <w:t xml:space="preserve"> </w:t>
      </w:r>
      <w:r w:rsidR="00882EC0" w:rsidRPr="00882EC0">
        <w:rPr>
          <w:rFonts w:ascii="Garamond" w:hAnsi="Garamond"/>
        </w:rPr>
        <w:t>[</w:t>
      </w:r>
      <w:r w:rsidR="00882EC0">
        <w:rPr>
          <w:rFonts w:ascii="Garamond" w:hAnsi="Garamond"/>
        </w:rPr>
        <w:t>…]</w:t>
      </w:r>
      <w:r w:rsidR="004071BD">
        <w:rPr>
          <w:rFonts w:ascii="Garamond" w:hAnsi="Garamond"/>
        </w:rPr>
        <w:t>.</w:t>
      </w:r>
      <w:r w:rsidR="00667CD9" w:rsidRPr="00C9623B">
        <w:rPr>
          <w:rFonts w:ascii="Garamond" w:hAnsi="Garamond"/>
        </w:rPr>
        <w:t xml:space="preserve"> </w:t>
      </w:r>
      <w:r w:rsidR="00882EC0" w:rsidRPr="00882EC0">
        <w:rPr>
          <w:rFonts w:ascii="Garamond" w:hAnsi="Garamond"/>
          <w:i/>
        </w:rPr>
        <w:t>Vydáním celkového platebního výměru bylo zkonzumováno právo stěžovatelky na vydání částečného platebního výměru v rozsahu nesporné části nadměrného odpočtu. Žaloba na ochranu proti nečinnosti žalovaného proto již nemohla být úspěšná.</w:t>
      </w:r>
      <w:r w:rsidR="00882EC0">
        <w:rPr>
          <w:rFonts w:ascii="Garamond" w:hAnsi="Garamond"/>
          <w:i/>
        </w:rPr>
        <w:t xml:space="preserve"> </w:t>
      </w:r>
      <w:r w:rsidR="00882EC0" w:rsidRPr="0021194B">
        <w:rPr>
          <w:rFonts w:ascii="Garamond" w:hAnsi="Garamond"/>
        </w:rPr>
        <w:t>[</w:t>
      </w:r>
      <w:r w:rsidR="00882EC0">
        <w:rPr>
          <w:rFonts w:ascii="Garamond" w:hAnsi="Garamond"/>
        </w:rPr>
        <w:t>…</w:t>
      </w:r>
      <w:r w:rsidR="00882EC0" w:rsidRPr="0021194B">
        <w:rPr>
          <w:rFonts w:ascii="Garamond" w:hAnsi="Garamond"/>
        </w:rPr>
        <w:t>]</w:t>
      </w:r>
      <w:r w:rsidR="004071BD">
        <w:rPr>
          <w:rFonts w:ascii="Garamond" w:hAnsi="Garamond"/>
        </w:rPr>
        <w:t>.</w:t>
      </w:r>
      <w:r w:rsidR="000707CD">
        <w:rPr>
          <w:rFonts w:ascii="Garamond" w:hAnsi="Garamond"/>
        </w:rPr>
        <w:t xml:space="preserve"> </w:t>
      </w:r>
      <w:r w:rsidR="000707CD" w:rsidRPr="000707CD">
        <w:rPr>
          <w:rFonts w:ascii="Garamond" w:hAnsi="Garamond"/>
        </w:rPr>
        <w:t>[</w:t>
      </w:r>
      <w:r w:rsidR="000707CD">
        <w:rPr>
          <w:rFonts w:ascii="Garamond" w:hAnsi="Garamond"/>
        </w:rPr>
        <w:t>Za nastalé situace</w:t>
      </w:r>
      <w:r w:rsidR="000707CD" w:rsidRPr="000707CD">
        <w:rPr>
          <w:rFonts w:ascii="Garamond" w:hAnsi="Garamond"/>
        </w:rPr>
        <w:t>]</w:t>
      </w:r>
      <w:r w:rsidR="000707CD">
        <w:rPr>
          <w:rFonts w:ascii="Garamond" w:hAnsi="Garamond"/>
        </w:rPr>
        <w:t xml:space="preserve"> </w:t>
      </w:r>
      <w:r w:rsidR="004071BD">
        <w:rPr>
          <w:rFonts w:ascii="Garamond" w:hAnsi="Garamond"/>
          <w:i/>
          <w:iCs/>
        </w:rPr>
        <w:t xml:space="preserve">je </w:t>
      </w:r>
      <w:r w:rsidR="000707CD" w:rsidRPr="000707CD">
        <w:rPr>
          <w:rFonts w:ascii="Garamond" w:hAnsi="Garamond"/>
          <w:i/>
        </w:rPr>
        <w:t xml:space="preserve">nutné upřednostnit co nejrychlejší a z hlediska procesní ekonomie </w:t>
      </w:r>
      <w:r w:rsidR="003F2DD5">
        <w:rPr>
          <w:rFonts w:ascii="Garamond" w:hAnsi="Garamond"/>
          <w:i/>
        </w:rPr>
        <w:t>nejvýhodnější cestu k vedoucí k </w:t>
      </w:r>
      <w:r w:rsidR="000707CD" w:rsidRPr="000707CD">
        <w:rPr>
          <w:rFonts w:ascii="Garamond" w:hAnsi="Garamond"/>
          <w:i/>
        </w:rPr>
        <w:t>ochraně práv stěžovatelky; tou je v posuzované věci umožnění změny žaloby v reakci na změnu procesní situace nastalé v průběhu soudního řízení.</w:t>
      </w:r>
      <w:r w:rsidR="000C7CC8">
        <w:rPr>
          <w:rFonts w:ascii="Garamond" w:hAnsi="Garamond"/>
        </w:rPr>
        <w:t>“</w:t>
      </w:r>
      <w:r w:rsidR="00116294">
        <w:rPr>
          <w:rFonts w:ascii="Garamond" w:hAnsi="Garamond"/>
        </w:rPr>
        <w:t xml:space="preserve"> Stejně tak lze se stěžovatel</w:t>
      </w:r>
      <w:r w:rsidR="004071BD">
        <w:rPr>
          <w:rFonts w:ascii="Garamond" w:hAnsi="Garamond"/>
        </w:rPr>
        <w:t>kou</w:t>
      </w:r>
      <w:r w:rsidR="00116294">
        <w:rPr>
          <w:rFonts w:ascii="Garamond" w:hAnsi="Garamond"/>
        </w:rPr>
        <w:t xml:space="preserve"> souhlasit v tom, že o změně žalobního typu</w:t>
      </w:r>
      <w:r w:rsidR="008C7532">
        <w:rPr>
          <w:rFonts w:ascii="Garamond" w:hAnsi="Garamond"/>
        </w:rPr>
        <w:t xml:space="preserve"> </w:t>
      </w:r>
      <w:r w:rsidR="00116294">
        <w:rPr>
          <w:rFonts w:ascii="Garamond" w:hAnsi="Garamond"/>
        </w:rPr>
        <w:t xml:space="preserve">v projednávané věci </w:t>
      </w:r>
      <w:r w:rsidR="008A6146">
        <w:rPr>
          <w:rFonts w:ascii="Garamond" w:hAnsi="Garamond"/>
        </w:rPr>
        <w:t xml:space="preserve">má </w:t>
      </w:r>
      <w:r w:rsidR="00116294">
        <w:rPr>
          <w:rFonts w:ascii="Garamond" w:hAnsi="Garamond"/>
        </w:rPr>
        <w:t xml:space="preserve">rozhodnout krajský soud, nikoliv Nejvyšší správní soud. </w:t>
      </w:r>
      <w:r w:rsidR="00A75431" w:rsidRPr="00896174">
        <w:rPr>
          <w:rFonts w:ascii="Garamond" w:hAnsi="Garamond"/>
        </w:rPr>
        <w:t xml:space="preserve">V této souvislosti soud upozorňuje na skutečnost, že zásahovou žalobou </w:t>
      </w:r>
      <w:r w:rsidR="008A6146" w:rsidRPr="00896174">
        <w:rPr>
          <w:rFonts w:ascii="Garamond" w:hAnsi="Garamond"/>
        </w:rPr>
        <w:t xml:space="preserve">se zde </w:t>
      </w:r>
      <w:r w:rsidR="00A75431" w:rsidRPr="00896174">
        <w:rPr>
          <w:rFonts w:ascii="Garamond" w:hAnsi="Garamond"/>
        </w:rPr>
        <w:t>nelze domáhat vyslovení nezákonné nečinnosti (srov. rozsudek Nejvyššího správního soudu ze dne 21. 5. 2020, č. j. 5 As 138/2020 – 80)</w:t>
      </w:r>
      <w:r w:rsidR="008A6146" w:rsidRPr="00896174">
        <w:rPr>
          <w:rFonts w:ascii="Garamond" w:hAnsi="Garamond"/>
        </w:rPr>
        <w:t>.</w:t>
      </w:r>
      <w:r w:rsidR="00A75431" w:rsidRPr="00896174">
        <w:rPr>
          <w:rFonts w:ascii="Garamond" w:hAnsi="Garamond"/>
        </w:rPr>
        <w:t xml:space="preserve"> </w:t>
      </w:r>
      <w:r w:rsidR="008A6146" w:rsidRPr="00896174">
        <w:rPr>
          <w:rFonts w:ascii="Garamond" w:hAnsi="Garamond"/>
        </w:rPr>
        <w:t>Proto</w:t>
      </w:r>
      <w:r w:rsidR="00A75431" w:rsidRPr="00896174">
        <w:rPr>
          <w:rFonts w:ascii="Garamond" w:hAnsi="Garamond"/>
        </w:rPr>
        <w:t xml:space="preserve"> je důležité </w:t>
      </w:r>
      <w:r w:rsidR="008A6146" w:rsidRPr="00896174">
        <w:rPr>
          <w:rFonts w:ascii="Garamond" w:hAnsi="Garamond"/>
        </w:rPr>
        <w:t xml:space="preserve">správně </w:t>
      </w:r>
      <w:r w:rsidR="00A75431" w:rsidRPr="00896174">
        <w:rPr>
          <w:rFonts w:ascii="Garamond" w:hAnsi="Garamond"/>
        </w:rPr>
        <w:t>formulovat</w:t>
      </w:r>
      <w:r w:rsidR="00F22C73" w:rsidRPr="00896174">
        <w:rPr>
          <w:rFonts w:ascii="Garamond" w:hAnsi="Garamond"/>
        </w:rPr>
        <w:t xml:space="preserve"> žalobní</w:t>
      </w:r>
      <w:r w:rsidR="00A75431" w:rsidRPr="00896174">
        <w:rPr>
          <w:rFonts w:ascii="Garamond" w:hAnsi="Garamond"/>
        </w:rPr>
        <w:t xml:space="preserve"> petit v</w:t>
      </w:r>
      <w:r w:rsidR="00F22C73" w:rsidRPr="00896174">
        <w:rPr>
          <w:rFonts w:ascii="Garamond" w:hAnsi="Garamond"/>
        </w:rPr>
        <w:t> </w:t>
      </w:r>
      <w:r w:rsidR="00A75431" w:rsidRPr="00896174">
        <w:rPr>
          <w:rFonts w:ascii="Garamond" w:hAnsi="Garamond"/>
        </w:rPr>
        <w:t>intencích</w:t>
      </w:r>
      <w:r w:rsidR="00F22C73" w:rsidRPr="00896174">
        <w:rPr>
          <w:rFonts w:ascii="Garamond" w:hAnsi="Garamond"/>
        </w:rPr>
        <w:t xml:space="preserve"> závěrů</w:t>
      </w:r>
      <w:r w:rsidR="00A75431" w:rsidRPr="00896174">
        <w:rPr>
          <w:rFonts w:ascii="Garamond" w:hAnsi="Garamond"/>
        </w:rPr>
        <w:t xml:space="preserve"> </w:t>
      </w:r>
      <w:r w:rsidR="008A6146" w:rsidRPr="00896174">
        <w:rPr>
          <w:rFonts w:ascii="Garamond" w:hAnsi="Garamond"/>
        </w:rPr>
        <w:t xml:space="preserve">zrušujícího </w:t>
      </w:r>
      <w:r w:rsidR="00A75431" w:rsidRPr="00896174">
        <w:rPr>
          <w:rFonts w:ascii="Garamond" w:hAnsi="Garamond"/>
        </w:rPr>
        <w:t>rozsudku č. j. 1 Afs 22/2020 – 34</w:t>
      </w:r>
      <w:r w:rsidR="008A6146" w:rsidRPr="00896174">
        <w:rPr>
          <w:rFonts w:ascii="Garamond" w:hAnsi="Garamond"/>
        </w:rPr>
        <w:t>, aby o něm mohl krajský soud rozhodnout</w:t>
      </w:r>
      <w:r w:rsidR="00A75431" w:rsidRPr="00896174">
        <w:rPr>
          <w:rFonts w:ascii="Garamond" w:hAnsi="Garamond"/>
        </w:rPr>
        <w:t xml:space="preserve">. </w:t>
      </w:r>
      <w:r w:rsidR="003F2DD5">
        <w:rPr>
          <w:rFonts w:ascii="Garamond" w:hAnsi="Garamond"/>
        </w:rPr>
        <w:t>Tak </w:t>
      </w:r>
      <w:r w:rsidR="008A6146" w:rsidRPr="00896174">
        <w:rPr>
          <w:rFonts w:ascii="Garamond" w:hAnsi="Garamond"/>
        </w:rPr>
        <w:t xml:space="preserve">ostatně postupoval podle pokynu kasačního soudu </w:t>
      </w:r>
      <w:r w:rsidR="00A75431" w:rsidRPr="00896174">
        <w:rPr>
          <w:rFonts w:ascii="Garamond" w:hAnsi="Garamond"/>
        </w:rPr>
        <w:t>Městský soud v</w:t>
      </w:r>
      <w:r w:rsidR="008A6146" w:rsidRPr="00896174">
        <w:rPr>
          <w:rFonts w:ascii="Garamond" w:hAnsi="Garamond"/>
        </w:rPr>
        <w:t> </w:t>
      </w:r>
      <w:r w:rsidR="00A75431" w:rsidRPr="00896174">
        <w:rPr>
          <w:rFonts w:ascii="Garamond" w:hAnsi="Garamond"/>
        </w:rPr>
        <w:t>Praze</w:t>
      </w:r>
      <w:r w:rsidR="008A6146" w:rsidRPr="00896174">
        <w:rPr>
          <w:rFonts w:ascii="Garamond" w:hAnsi="Garamond"/>
        </w:rPr>
        <w:t>, který v citované věci v dalším řízení rozhodl rozsudkem</w:t>
      </w:r>
      <w:r w:rsidR="00A75431" w:rsidRPr="00896174">
        <w:rPr>
          <w:rFonts w:ascii="Garamond" w:hAnsi="Garamond"/>
        </w:rPr>
        <w:t xml:space="preserve"> ze dne 29. 7. 2020, č. j. 15 A 67/2019 – 123</w:t>
      </w:r>
      <w:r w:rsidR="008A6146" w:rsidRPr="00896174">
        <w:rPr>
          <w:rFonts w:ascii="Garamond" w:hAnsi="Garamond"/>
        </w:rPr>
        <w:t xml:space="preserve">, v němž výrokem určil, že </w:t>
      </w:r>
      <w:r w:rsidR="00A75431" w:rsidRPr="00896174">
        <w:rPr>
          <w:rFonts w:ascii="Garamond" w:hAnsi="Garamond"/>
        </w:rPr>
        <w:t>zadržování nesporné části nadměrného odpočtu (nikoliv nezákonn</w:t>
      </w:r>
      <w:r w:rsidR="008A6146" w:rsidRPr="00896174">
        <w:rPr>
          <w:rFonts w:ascii="Garamond" w:hAnsi="Garamond"/>
        </w:rPr>
        <w:t>á</w:t>
      </w:r>
      <w:r w:rsidR="00A75431" w:rsidRPr="00896174">
        <w:rPr>
          <w:rFonts w:ascii="Garamond" w:hAnsi="Garamond"/>
        </w:rPr>
        <w:t xml:space="preserve"> nečinnost)</w:t>
      </w:r>
      <w:r w:rsidR="008A6146" w:rsidRPr="00896174">
        <w:rPr>
          <w:rFonts w:ascii="Garamond" w:hAnsi="Garamond"/>
        </w:rPr>
        <w:t xml:space="preserve"> po konkrétně vymezenou dobu a ve vztahu ke konkrétním zdanitelným plněním bylo nezákonným zásahem</w:t>
      </w:r>
      <w:r w:rsidR="00A75431" w:rsidRPr="00896174">
        <w:rPr>
          <w:rFonts w:ascii="Garamond" w:hAnsi="Garamond"/>
        </w:rPr>
        <w:t>.</w:t>
      </w:r>
      <w:r w:rsidR="00A75431">
        <w:rPr>
          <w:rFonts w:ascii="Garamond" w:hAnsi="Garamond"/>
        </w:rPr>
        <w:t xml:space="preserve">  </w:t>
      </w:r>
      <w:r w:rsidR="00116294">
        <w:rPr>
          <w:rFonts w:ascii="Garamond" w:hAnsi="Garamond"/>
        </w:rPr>
        <w:t xml:space="preserve"> </w:t>
      </w:r>
    </w:p>
    <w:p w:rsidR="00450222" w:rsidRPr="00C9623B" w:rsidRDefault="00450222" w:rsidP="00D5380C">
      <w:pPr>
        <w:pStyle w:val="Odstavecseseznamem"/>
        <w:ind w:left="0"/>
        <w:contextualSpacing w:val="0"/>
        <w:jc w:val="both"/>
        <w:rPr>
          <w:rFonts w:ascii="Garamond" w:hAnsi="Garamond"/>
        </w:rPr>
      </w:pPr>
    </w:p>
    <w:p w:rsidR="008B46E9" w:rsidRDefault="008B46E9" w:rsidP="00450222">
      <w:pPr>
        <w:pStyle w:val="Odstavecseseznamem"/>
        <w:numPr>
          <w:ilvl w:val="0"/>
          <w:numId w:val="3"/>
        </w:numPr>
        <w:jc w:val="center"/>
        <w:rPr>
          <w:rFonts w:ascii="Garamond" w:hAnsi="Garamond"/>
          <w:b/>
        </w:rPr>
      </w:pPr>
      <w:r w:rsidRPr="00812096">
        <w:rPr>
          <w:rFonts w:ascii="Garamond" w:hAnsi="Garamond"/>
          <w:b/>
        </w:rPr>
        <w:t>Závěr a náklady řízení</w:t>
      </w:r>
    </w:p>
    <w:p w:rsidR="000754D8" w:rsidRDefault="000754D8" w:rsidP="00450222">
      <w:pPr>
        <w:pStyle w:val="Odstavecseseznamem"/>
        <w:ind w:left="1080"/>
        <w:rPr>
          <w:rFonts w:ascii="Garamond" w:hAnsi="Garamond"/>
          <w:b/>
        </w:rPr>
      </w:pPr>
    </w:p>
    <w:p w:rsidR="008B46E9" w:rsidRDefault="008B46E9" w:rsidP="00450222">
      <w:pPr>
        <w:pStyle w:val="Odstavecseseznamem"/>
        <w:numPr>
          <w:ilvl w:val="0"/>
          <w:numId w:val="2"/>
        </w:numPr>
        <w:ind w:left="0" w:firstLine="0"/>
        <w:contextualSpacing w:val="0"/>
        <w:jc w:val="both"/>
        <w:rPr>
          <w:rFonts w:ascii="Garamond" w:hAnsi="Garamond"/>
        </w:rPr>
      </w:pPr>
      <w:r w:rsidRPr="00AF23DD">
        <w:rPr>
          <w:rFonts w:ascii="Garamond" w:hAnsi="Garamond"/>
        </w:rPr>
        <w:t>Nejvyšší správní soud</w:t>
      </w:r>
      <w:r w:rsidR="00CA4F2A">
        <w:rPr>
          <w:rFonts w:ascii="Garamond" w:hAnsi="Garamond"/>
        </w:rPr>
        <w:t xml:space="preserve"> pro výše uvedené</w:t>
      </w:r>
      <w:r w:rsidRPr="00AF23DD">
        <w:rPr>
          <w:rFonts w:ascii="Garamond" w:hAnsi="Garamond"/>
        </w:rPr>
        <w:t xml:space="preserve"> </w:t>
      </w:r>
      <w:r>
        <w:rPr>
          <w:rFonts w:ascii="Garamond" w:hAnsi="Garamond"/>
        </w:rPr>
        <w:t xml:space="preserve">shledal kasační stížnost důvodnou. Rozsudek krajského soudu proto </w:t>
      </w:r>
      <w:r w:rsidRPr="00AF23DD">
        <w:rPr>
          <w:rFonts w:ascii="Garamond" w:hAnsi="Garamond"/>
        </w:rPr>
        <w:t>zrušil a</w:t>
      </w:r>
      <w:r>
        <w:rPr>
          <w:rFonts w:ascii="Garamond" w:hAnsi="Garamond"/>
        </w:rPr>
        <w:t> </w:t>
      </w:r>
      <w:r w:rsidRPr="00AF23DD">
        <w:rPr>
          <w:rFonts w:ascii="Garamond" w:hAnsi="Garamond"/>
        </w:rPr>
        <w:t xml:space="preserve">věc mu vrátil k dalšímu řízení (§ 110 </w:t>
      </w:r>
      <w:r w:rsidR="003F2DD5">
        <w:rPr>
          <w:rFonts w:ascii="Garamond" w:hAnsi="Garamond"/>
        </w:rPr>
        <w:t>odst. 1 věta první s. ř. s.). V </w:t>
      </w:r>
      <w:r w:rsidRPr="00AF23DD">
        <w:rPr>
          <w:rFonts w:ascii="Garamond" w:hAnsi="Garamond"/>
        </w:rPr>
        <w:t>něm bude krajský soud vázán právním názorem vysloveným v t</w:t>
      </w:r>
      <w:r w:rsidR="003F2DD5">
        <w:rPr>
          <w:rFonts w:ascii="Garamond" w:hAnsi="Garamond"/>
        </w:rPr>
        <w:t>omto rozsudku (§ 110 odst. 4 s. ř. </w:t>
      </w:r>
      <w:r w:rsidRPr="00AF23DD">
        <w:rPr>
          <w:rFonts w:ascii="Garamond" w:hAnsi="Garamond"/>
        </w:rPr>
        <w:t>s.)</w:t>
      </w:r>
      <w:r w:rsidR="008C7532">
        <w:rPr>
          <w:rFonts w:ascii="Garamond" w:hAnsi="Garamond"/>
        </w:rPr>
        <w:t xml:space="preserve"> a v něm citovaných rozhodnutí Ústavního soudu,</w:t>
      </w:r>
      <w:r w:rsidR="003F2DD5">
        <w:rPr>
          <w:rFonts w:ascii="Garamond" w:hAnsi="Garamond"/>
        </w:rPr>
        <w:t xml:space="preserve"> Soudního dvora Evropské unie a </w:t>
      </w:r>
      <w:r w:rsidR="008C7532">
        <w:rPr>
          <w:rFonts w:ascii="Garamond" w:hAnsi="Garamond"/>
        </w:rPr>
        <w:t>Nejvyššího správního soudu</w:t>
      </w:r>
      <w:r w:rsidRPr="00AF23DD">
        <w:rPr>
          <w:rFonts w:ascii="Garamond" w:hAnsi="Garamond"/>
        </w:rPr>
        <w:t>.</w:t>
      </w:r>
      <w:r w:rsidR="003B401E">
        <w:rPr>
          <w:rFonts w:ascii="Garamond" w:hAnsi="Garamond"/>
        </w:rPr>
        <w:t xml:space="preserve">  </w:t>
      </w:r>
    </w:p>
    <w:p w:rsidR="003F2DD5" w:rsidRDefault="003F2DD5" w:rsidP="003F2DD5">
      <w:pPr>
        <w:pStyle w:val="Odstavecseseznamem"/>
        <w:ind w:left="0"/>
        <w:contextualSpacing w:val="0"/>
        <w:jc w:val="both"/>
        <w:rPr>
          <w:rFonts w:ascii="Garamond" w:hAnsi="Garamond"/>
        </w:rPr>
      </w:pPr>
    </w:p>
    <w:p w:rsidR="00093C7D" w:rsidRPr="000754D8" w:rsidRDefault="008B46E9" w:rsidP="00450222">
      <w:pPr>
        <w:pStyle w:val="Odstavecseseznamem"/>
        <w:numPr>
          <w:ilvl w:val="0"/>
          <w:numId w:val="2"/>
        </w:numPr>
        <w:ind w:left="0" w:firstLine="0"/>
        <w:contextualSpacing w:val="0"/>
        <w:jc w:val="both"/>
        <w:rPr>
          <w:rFonts w:ascii="Garamond" w:hAnsi="Garamond"/>
        </w:rPr>
      </w:pPr>
      <w:r w:rsidRPr="00AF23DD">
        <w:rPr>
          <w:rFonts w:ascii="Garamond" w:hAnsi="Garamond"/>
        </w:rPr>
        <w:t xml:space="preserve"> Krajský soud v novém rozhodnutí rozhodne i o náhradě nákladů řízení o kasační stížnosti (§ 110 odst. 3 s. ř. s.).</w:t>
      </w:r>
    </w:p>
    <w:p w:rsidR="0011650B" w:rsidRPr="00951657" w:rsidRDefault="0011650B" w:rsidP="00450222">
      <w:pPr>
        <w:pStyle w:val="Odstavecseseznamem"/>
        <w:ind w:left="0"/>
        <w:contextualSpacing w:val="0"/>
        <w:jc w:val="both"/>
        <w:rPr>
          <w:rFonts w:ascii="Garamond" w:hAnsi="Garamond"/>
        </w:rPr>
      </w:pPr>
    </w:p>
    <w:p w:rsidR="0011650B" w:rsidRPr="00951657" w:rsidRDefault="0011650B" w:rsidP="00951657">
      <w:pPr>
        <w:jc w:val="both"/>
        <w:rPr>
          <w:rFonts w:ascii="Garamond" w:hAnsi="Garamond"/>
          <w:b/>
        </w:rPr>
      </w:pPr>
      <w:r w:rsidRPr="00951657">
        <w:rPr>
          <w:rFonts w:ascii="Garamond" w:hAnsi="Garamond"/>
          <w:b/>
        </w:rPr>
        <w:t>P o u č e n í :</w:t>
      </w:r>
      <w:r w:rsidR="00111474">
        <w:rPr>
          <w:rFonts w:ascii="Garamond" w:hAnsi="Garamond"/>
          <w:b/>
        </w:rPr>
        <w:t>   </w:t>
      </w:r>
      <w:r w:rsidR="00111474">
        <w:rPr>
          <w:rFonts w:ascii="Garamond" w:hAnsi="Garamond"/>
        </w:rPr>
        <w:t xml:space="preserve">Proti tomuto </w:t>
      </w:r>
      <w:r w:rsidR="002D3302">
        <w:rPr>
          <w:rFonts w:ascii="Garamond" w:hAnsi="Garamond"/>
        </w:rPr>
        <w:t>rozsudku</w:t>
      </w:r>
      <w:r w:rsidR="00111474">
        <w:rPr>
          <w:rFonts w:ascii="Garamond" w:hAnsi="Garamond"/>
        </w:rPr>
        <w:t>  </w:t>
      </w:r>
      <w:r w:rsidRPr="00951657">
        <w:rPr>
          <w:rFonts w:ascii="Garamond" w:hAnsi="Garamond"/>
        </w:rPr>
        <w:t> </w:t>
      </w:r>
      <w:r w:rsidRPr="00951657">
        <w:rPr>
          <w:rFonts w:ascii="Garamond" w:hAnsi="Garamond"/>
          <w:b/>
        </w:rPr>
        <w:t>n e j s o u   </w:t>
      </w:r>
      <w:r w:rsidRPr="00951657">
        <w:rPr>
          <w:rFonts w:ascii="Garamond" w:hAnsi="Garamond"/>
        </w:rPr>
        <w:t>opravné prostředky přípustné.</w:t>
      </w:r>
    </w:p>
    <w:p w:rsidR="0011650B" w:rsidRPr="00951657" w:rsidRDefault="0011650B" w:rsidP="00951657">
      <w:pPr>
        <w:jc w:val="center"/>
        <w:rPr>
          <w:rFonts w:ascii="Garamond" w:hAnsi="Garamond"/>
        </w:rPr>
      </w:pPr>
    </w:p>
    <w:p w:rsidR="0011650B" w:rsidRDefault="0011650B" w:rsidP="00951657">
      <w:pPr>
        <w:jc w:val="center"/>
        <w:rPr>
          <w:rFonts w:ascii="Garamond" w:hAnsi="Garamond"/>
        </w:rPr>
      </w:pPr>
      <w:r w:rsidRPr="00951657">
        <w:rPr>
          <w:rFonts w:ascii="Garamond" w:hAnsi="Garamond"/>
        </w:rPr>
        <w:t>V Brně dne</w:t>
      </w:r>
      <w:r w:rsidR="00111474">
        <w:rPr>
          <w:rFonts w:ascii="Garamond" w:hAnsi="Garamond"/>
        </w:rPr>
        <w:t xml:space="preserve"> </w:t>
      </w:r>
      <w:r w:rsidR="0048512A">
        <w:rPr>
          <w:rFonts w:ascii="Garamond" w:hAnsi="Garamond"/>
        </w:rPr>
        <w:t>13</w:t>
      </w:r>
      <w:r w:rsidR="00111474">
        <w:rPr>
          <w:rFonts w:ascii="Garamond" w:hAnsi="Garamond"/>
        </w:rPr>
        <w:t xml:space="preserve">. </w:t>
      </w:r>
      <w:r w:rsidR="0048512A">
        <w:rPr>
          <w:rFonts w:ascii="Garamond" w:hAnsi="Garamond"/>
        </w:rPr>
        <w:t xml:space="preserve">srpna </w:t>
      </w:r>
      <w:r w:rsidR="00111474">
        <w:rPr>
          <w:rFonts w:ascii="Garamond" w:hAnsi="Garamond"/>
        </w:rPr>
        <w:t>20</w:t>
      </w:r>
      <w:r w:rsidR="0048512A">
        <w:rPr>
          <w:rFonts w:ascii="Garamond" w:hAnsi="Garamond"/>
        </w:rPr>
        <w:t>20</w:t>
      </w:r>
      <w:r w:rsidRPr="00951657">
        <w:rPr>
          <w:rFonts w:ascii="Garamond" w:hAnsi="Garamond"/>
        </w:rPr>
        <w:t xml:space="preserve"> </w:t>
      </w:r>
    </w:p>
    <w:p w:rsidR="00111474" w:rsidRPr="00951657" w:rsidRDefault="00111474" w:rsidP="00951657">
      <w:pPr>
        <w:jc w:val="center"/>
        <w:rPr>
          <w:rFonts w:ascii="Garamond" w:hAnsi="Garamond"/>
        </w:rPr>
      </w:pPr>
    </w:p>
    <w:p w:rsidR="0011650B" w:rsidRPr="00951657" w:rsidRDefault="0011650B" w:rsidP="00951657">
      <w:pPr>
        <w:ind w:left="5664" w:firstLine="708"/>
        <w:jc w:val="center"/>
        <w:rPr>
          <w:rFonts w:ascii="Garamond" w:hAnsi="Garamond"/>
        </w:rPr>
      </w:pPr>
    </w:p>
    <w:p w:rsidR="0011650B" w:rsidRPr="00951657" w:rsidRDefault="0011650B" w:rsidP="00951657">
      <w:pPr>
        <w:ind w:left="6237"/>
        <w:jc w:val="center"/>
        <w:rPr>
          <w:rFonts w:ascii="Garamond" w:hAnsi="Garamond"/>
        </w:rPr>
      </w:pPr>
      <w:r w:rsidRPr="00951657">
        <w:rPr>
          <w:rFonts w:ascii="Garamond" w:hAnsi="Garamond"/>
        </w:rPr>
        <w:t xml:space="preserve">JUDr. </w:t>
      </w:r>
      <w:r w:rsidR="00AB7981">
        <w:rPr>
          <w:rFonts w:ascii="Garamond" w:hAnsi="Garamond"/>
        </w:rPr>
        <w:t>Josef Baxa</w:t>
      </w:r>
      <w:r w:rsidR="00045EC2">
        <w:rPr>
          <w:rFonts w:ascii="Garamond" w:hAnsi="Garamond"/>
        </w:rPr>
        <w:t xml:space="preserve"> </w:t>
      </w:r>
    </w:p>
    <w:p w:rsidR="0011650B" w:rsidRDefault="0011650B" w:rsidP="00951657">
      <w:pPr>
        <w:ind w:left="6237"/>
        <w:jc w:val="center"/>
        <w:rPr>
          <w:rFonts w:ascii="Garamond" w:hAnsi="Garamond"/>
        </w:rPr>
      </w:pPr>
      <w:r w:rsidRPr="00951657">
        <w:rPr>
          <w:rFonts w:ascii="Garamond" w:hAnsi="Garamond"/>
        </w:rPr>
        <w:t>předsed</w:t>
      </w:r>
      <w:r w:rsidR="00AB7981">
        <w:rPr>
          <w:rFonts w:ascii="Garamond" w:hAnsi="Garamond"/>
        </w:rPr>
        <w:t>a</w:t>
      </w:r>
      <w:r w:rsidRPr="00951657">
        <w:rPr>
          <w:rFonts w:ascii="Garamond" w:hAnsi="Garamond"/>
        </w:rPr>
        <w:t xml:space="preserve"> senátu</w:t>
      </w:r>
    </w:p>
    <w:p w:rsidR="003924BC" w:rsidRDefault="003924BC" w:rsidP="00951657">
      <w:pPr>
        <w:ind w:left="6237"/>
        <w:jc w:val="center"/>
        <w:rPr>
          <w:rFonts w:ascii="Garamond" w:hAnsi="Garamond"/>
        </w:rPr>
      </w:pPr>
    </w:p>
    <w:p w:rsidR="003924BC" w:rsidRPr="003924BC" w:rsidRDefault="003924BC" w:rsidP="003924BC">
      <w:pPr>
        <w:rPr>
          <w:rFonts w:ascii="Garamond" w:hAnsi="Garamond"/>
        </w:rPr>
      </w:pPr>
    </w:p>
    <w:p w:rsidR="007A2ECE" w:rsidRDefault="007A2ECE" w:rsidP="00951657"/>
    <w:sectPr w:rsidR="007A2ECE" w:rsidSect="00804B0B">
      <w:headerReference w:type="even" r:id="rId11"/>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7A" w:rsidRDefault="00930C7A" w:rsidP="0042420A">
      <w:r>
        <w:separator/>
      </w:r>
    </w:p>
  </w:endnote>
  <w:endnote w:type="continuationSeparator" w:id="0">
    <w:p w:rsidR="00930C7A" w:rsidRDefault="00930C7A" w:rsidP="0042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7A" w:rsidRDefault="00930C7A" w:rsidP="0042420A">
      <w:r>
        <w:separator/>
      </w:r>
    </w:p>
  </w:footnote>
  <w:footnote w:type="continuationSeparator" w:id="0">
    <w:p w:rsidR="00930C7A" w:rsidRDefault="00930C7A" w:rsidP="0042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01E" w:rsidRDefault="00450222" w:rsidP="00450222">
    <w:pPr>
      <w:pStyle w:val="Zhlav"/>
      <w:jc w:val="right"/>
    </w:pPr>
    <w:r w:rsidRPr="00450222">
      <w:rPr>
        <w:rFonts w:ascii="Garamond" w:hAnsi="Garamond"/>
      </w:rPr>
      <w:t>1 Afs 271/2017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01E" w:rsidRPr="00804B0B" w:rsidRDefault="003B401E" w:rsidP="00804B0B">
    <w:pPr>
      <w:pStyle w:val="Zhlav"/>
      <w:jc w:val="both"/>
      <w:rPr>
        <w:rFonts w:ascii="Garamond" w:hAnsi="Garamond"/>
      </w:rPr>
    </w:pPr>
    <w:r>
      <w:rPr>
        <w:rFonts w:ascii="Garamond" w:hAnsi="Garamond"/>
      </w:rPr>
      <w:t xml:space="preserve">pokračování                                                             </w:t>
    </w:r>
    <w:r w:rsidR="00450222">
      <w:rPr>
        <w:rFonts w:ascii="Garamond" w:hAnsi="Garamond"/>
      </w:rPr>
      <w:t xml:space="preserve">                              </w:t>
    </w:r>
    <w:r>
      <w:rPr>
        <w:rFonts w:ascii="Garamond" w:hAnsi="Garamond"/>
      </w:rPr>
      <w:t xml:space="preserve">       </w:t>
    </w:r>
    <w:r w:rsidR="00450222" w:rsidRPr="00450222">
      <w:rPr>
        <w:rFonts w:ascii="Garamond" w:hAnsi="Garamond"/>
      </w:rPr>
      <w:t xml:space="preserve">1 Afs 271/2017 - </w:t>
    </w:r>
    <w:r w:rsidR="00450222" w:rsidRPr="00450222">
      <w:rPr>
        <w:rFonts w:ascii="Garamond" w:hAnsi="Garamond"/>
      </w:rPr>
      <w:fldChar w:fldCharType="begin"/>
    </w:r>
    <w:r w:rsidR="00450222" w:rsidRPr="00450222">
      <w:rPr>
        <w:rFonts w:ascii="Garamond" w:hAnsi="Garamond"/>
      </w:rPr>
      <w:instrText xml:space="preserve"> = 191   + INT ((</w:instrText>
    </w:r>
    <w:r w:rsidR="00450222" w:rsidRPr="00450222">
      <w:rPr>
        <w:rFonts w:ascii="Garamond" w:hAnsi="Garamond"/>
      </w:rPr>
      <w:fldChar w:fldCharType="begin"/>
    </w:r>
    <w:r w:rsidR="00450222" w:rsidRPr="00450222">
      <w:rPr>
        <w:rFonts w:ascii="Garamond" w:hAnsi="Garamond"/>
      </w:rPr>
      <w:instrText xml:space="preserve"> PAGE</w:instrText>
    </w:r>
    <w:r w:rsidR="00450222" w:rsidRPr="00450222">
      <w:rPr>
        <w:rFonts w:ascii="Garamond" w:hAnsi="Garamond"/>
      </w:rPr>
      <w:fldChar w:fldCharType="separate"/>
    </w:r>
    <w:r w:rsidR="002B649D">
      <w:rPr>
        <w:rFonts w:ascii="Garamond" w:hAnsi="Garamond"/>
        <w:noProof/>
      </w:rPr>
      <w:instrText>11</w:instrText>
    </w:r>
    <w:r w:rsidR="00450222" w:rsidRPr="00450222">
      <w:rPr>
        <w:rFonts w:ascii="Garamond" w:hAnsi="Garamond"/>
        <w:noProof/>
      </w:rPr>
      <w:fldChar w:fldCharType="end"/>
    </w:r>
    <w:r w:rsidR="00450222" w:rsidRPr="00450222">
      <w:rPr>
        <w:rFonts w:ascii="Garamond" w:hAnsi="Garamond"/>
      </w:rPr>
      <w:instrText xml:space="preserve">+1)/2)-1 </w:instrText>
    </w:r>
    <w:r w:rsidR="00450222" w:rsidRPr="00450222">
      <w:rPr>
        <w:rFonts w:ascii="Garamond" w:hAnsi="Garamond"/>
      </w:rPr>
      <w:fldChar w:fldCharType="separate"/>
    </w:r>
    <w:r w:rsidR="002B649D">
      <w:rPr>
        <w:rFonts w:ascii="Garamond" w:hAnsi="Garamond"/>
        <w:noProof/>
      </w:rPr>
      <w:t>196</w:t>
    </w:r>
    <w:r w:rsidR="00450222" w:rsidRPr="00450222">
      <w:rPr>
        <w:rFonts w:ascii="Garamond" w:hAnsi="Garamond"/>
      </w:rPr>
      <w:fldChar w:fldCharType="end"/>
    </w:r>
  </w:p>
  <w:p w:rsidR="003B401E" w:rsidRPr="00804B0B" w:rsidRDefault="003B401E" w:rsidP="00804B0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01E" w:rsidRPr="00450222" w:rsidRDefault="00450222" w:rsidP="00450222">
    <w:pPr>
      <w:pStyle w:val="Zhlav"/>
      <w:jc w:val="right"/>
      <w:rPr>
        <w:rFonts w:ascii="Garamond" w:hAnsi="Garamond"/>
      </w:rPr>
    </w:pPr>
    <w:r>
      <w:tab/>
    </w:r>
    <w:r w:rsidRPr="00450222">
      <w:rPr>
        <w:rFonts w:ascii="Garamond" w:hAnsi="Garamond"/>
      </w:rPr>
      <w:t xml:space="preserve">1 Afs 271/2017 - </w:t>
    </w:r>
    <w:r w:rsidRPr="00450222">
      <w:rPr>
        <w:rFonts w:ascii="Garamond" w:hAnsi="Garamond"/>
      </w:rPr>
      <w:fldChar w:fldCharType="begin"/>
    </w:r>
    <w:r w:rsidRPr="00450222">
      <w:rPr>
        <w:rFonts w:ascii="Garamond" w:hAnsi="Garamond"/>
      </w:rPr>
      <w:instrText xml:space="preserve"> = 191   + INT ((</w:instrText>
    </w:r>
    <w:r w:rsidRPr="00450222">
      <w:rPr>
        <w:rFonts w:ascii="Garamond" w:hAnsi="Garamond"/>
      </w:rPr>
      <w:fldChar w:fldCharType="begin"/>
    </w:r>
    <w:r w:rsidRPr="00450222">
      <w:rPr>
        <w:rFonts w:ascii="Garamond" w:hAnsi="Garamond"/>
      </w:rPr>
      <w:instrText xml:space="preserve"> PAGE</w:instrText>
    </w:r>
    <w:r w:rsidRPr="00450222">
      <w:rPr>
        <w:rFonts w:ascii="Garamond" w:hAnsi="Garamond"/>
      </w:rPr>
      <w:fldChar w:fldCharType="separate"/>
    </w:r>
    <w:r w:rsidR="002B649D">
      <w:rPr>
        <w:rFonts w:ascii="Garamond" w:hAnsi="Garamond"/>
        <w:noProof/>
      </w:rPr>
      <w:instrText>1</w:instrText>
    </w:r>
    <w:r w:rsidRPr="00450222">
      <w:rPr>
        <w:rFonts w:ascii="Garamond" w:hAnsi="Garamond"/>
        <w:noProof/>
      </w:rPr>
      <w:fldChar w:fldCharType="end"/>
    </w:r>
    <w:r w:rsidRPr="00450222">
      <w:rPr>
        <w:rFonts w:ascii="Garamond" w:hAnsi="Garamond"/>
      </w:rPr>
      <w:instrText xml:space="preserve">+1)/2)-1 </w:instrText>
    </w:r>
    <w:r w:rsidRPr="00450222">
      <w:rPr>
        <w:rFonts w:ascii="Garamond" w:hAnsi="Garamond"/>
      </w:rPr>
      <w:fldChar w:fldCharType="separate"/>
    </w:r>
    <w:r w:rsidR="002B649D">
      <w:rPr>
        <w:rFonts w:ascii="Garamond" w:hAnsi="Garamond"/>
        <w:noProof/>
      </w:rPr>
      <w:t>191</w:t>
    </w:r>
    <w:r w:rsidRPr="00450222">
      <w:rPr>
        <w:rFonts w:ascii="Garamond" w:hAnsi="Garamon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97433"/>
    <w:multiLevelType w:val="hybridMultilevel"/>
    <w:tmpl w:val="95208FF0"/>
    <w:lvl w:ilvl="0" w:tplc="678CE4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8C0786"/>
    <w:multiLevelType w:val="hybridMultilevel"/>
    <w:tmpl w:val="0924F6C2"/>
    <w:lvl w:ilvl="0" w:tplc="174C3DA4">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3F811C4"/>
    <w:multiLevelType w:val="hybridMultilevel"/>
    <w:tmpl w:val="1540A6C4"/>
    <w:lvl w:ilvl="0" w:tplc="3B12AC2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8F85D5F"/>
    <w:multiLevelType w:val="hybridMultilevel"/>
    <w:tmpl w:val="BB9AA064"/>
    <w:lvl w:ilvl="0" w:tplc="374E2E9A">
      <w:start w:val="1"/>
      <w:numFmt w:val="decimal"/>
      <w:lvlText w:val="[%1]"/>
      <w:lvlJc w:val="left"/>
      <w:pPr>
        <w:ind w:left="2061" w:hanging="360"/>
      </w:pPr>
      <w:rPr>
        <w:rFonts w:hint="default"/>
        <w:b w:val="0"/>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61A46FF"/>
    <w:multiLevelType w:val="hybridMultilevel"/>
    <w:tmpl w:val="8082A22C"/>
    <w:lvl w:ilvl="0" w:tplc="2286C7DA">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50B"/>
    <w:rsid w:val="00004F59"/>
    <w:rsid w:val="00006017"/>
    <w:rsid w:val="000102F4"/>
    <w:rsid w:val="00017D7D"/>
    <w:rsid w:val="00024227"/>
    <w:rsid w:val="00034B0E"/>
    <w:rsid w:val="00041193"/>
    <w:rsid w:val="00044017"/>
    <w:rsid w:val="00045EC2"/>
    <w:rsid w:val="000527E6"/>
    <w:rsid w:val="00064FD0"/>
    <w:rsid w:val="000650BA"/>
    <w:rsid w:val="000707CD"/>
    <w:rsid w:val="00074357"/>
    <w:rsid w:val="000754D8"/>
    <w:rsid w:val="00077CB4"/>
    <w:rsid w:val="00083041"/>
    <w:rsid w:val="00093C7D"/>
    <w:rsid w:val="000B1714"/>
    <w:rsid w:val="000B21D4"/>
    <w:rsid w:val="000B3E65"/>
    <w:rsid w:val="000C555C"/>
    <w:rsid w:val="000C7CC8"/>
    <w:rsid w:val="000D2E25"/>
    <w:rsid w:val="000D3478"/>
    <w:rsid w:val="000E5E47"/>
    <w:rsid w:val="000F054A"/>
    <w:rsid w:val="000F58B7"/>
    <w:rsid w:val="00103949"/>
    <w:rsid w:val="00111474"/>
    <w:rsid w:val="00115F90"/>
    <w:rsid w:val="00116294"/>
    <w:rsid w:val="0011650B"/>
    <w:rsid w:val="001200DC"/>
    <w:rsid w:val="0012500E"/>
    <w:rsid w:val="001330D9"/>
    <w:rsid w:val="0013328C"/>
    <w:rsid w:val="00154DB4"/>
    <w:rsid w:val="00160545"/>
    <w:rsid w:val="001610CF"/>
    <w:rsid w:val="00166CEC"/>
    <w:rsid w:val="0017242B"/>
    <w:rsid w:val="0017267B"/>
    <w:rsid w:val="001774F9"/>
    <w:rsid w:val="00185861"/>
    <w:rsid w:val="00197BEB"/>
    <w:rsid w:val="00197D42"/>
    <w:rsid w:val="001C1478"/>
    <w:rsid w:val="001E72F6"/>
    <w:rsid w:val="001F2335"/>
    <w:rsid w:val="002024B6"/>
    <w:rsid w:val="00204D51"/>
    <w:rsid w:val="00205D92"/>
    <w:rsid w:val="002064EC"/>
    <w:rsid w:val="0021194B"/>
    <w:rsid w:val="002119F5"/>
    <w:rsid w:val="00213C60"/>
    <w:rsid w:val="00222B55"/>
    <w:rsid w:val="00227BF3"/>
    <w:rsid w:val="002311EE"/>
    <w:rsid w:val="002320B9"/>
    <w:rsid w:val="00240255"/>
    <w:rsid w:val="00254C33"/>
    <w:rsid w:val="00254D14"/>
    <w:rsid w:val="00264CB0"/>
    <w:rsid w:val="00285437"/>
    <w:rsid w:val="00293068"/>
    <w:rsid w:val="00296401"/>
    <w:rsid w:val="0029665B"/>
    <w:rsid w:val="002A058A"/>
    <w:rsid w:val="002B4D90"/>
    <w:rsid w:val="002B649D"/>
    <w:rsid w:val="002C0BAC"/>
    <w:rsid w:val="002C7240"/>
    <w:rsid w:val="002D01E8"/>
    <w:rsid w:val="002D0DDF"/>
    <w:rsid w:val="002D1D18"/>
    <w:rsid w:val="002D2462"/>
    <w:rsid w:val="002D2765"/>
    <w:rsid w:val="002D3302"/>
    <w:rsid w:val="002F12E3"/>
    <w:rsid w:val="002F17A1"/>
    <w:rsid w:val="003012EF"/>
    <w:rsid w:val="003137C9"/>
    <w:rsid w:val="0031458A"/>
    <w:rsid w:val="00315448"/>
    <w:rsid w:val="00323A21"/>
    <w:rsid w:val="00323E0A"/>
    <w:rsid w:val="003242E8"/>
    <w:rsid w:val="0032458F"/>
    <w:rsid w:val="00331055"/>
    <w:rsid w:val="003323E5"/>
    <w:rsid w:val="00337681"/>
    <w:rsid w:val="00357775"/>
    <w:rsid w:val="00361818"/>
    <w:rsid w:val="00363A15"/>
    <w:rsid w:val="00366A1D"/>
    <w:rsid w:val="0037063E"/>
    <w:rsid w:val="003741C7"/>
    <w:rsid w:val="00382F0D"/>
    <w:rsid w:val="003837AD"/>
    <w:rsid w:val="0038603C"/>
    <w:rsid w:val="003861F7"/>
    <w:rsid w:val="0038681B"/>
    <w:rsid w:val="00387FA7"/>
    <w:rsid w:val="003924BC"/>
    <w:rsid w:val="00393372"/>
    <w:rsid w:val="003A2D62"/>
    <w:rsid w:val="003B401E"/>
    <w:rsid w:val="003B57B3"/>
    <w:rsid w:val="003B5D4F"/>
    <w:rsid w:val="003B679C"/>
    <w:rsid w:val="003C0021"/>
    <w:rsid w:val="003C3153"/>
    <w:rsid w:val="003D050D"/>
    <w:rsid w:val="003D0FA8"/>
    <w:rsid w:val="003D4372"/>
    <w:rsid w:val="003E3DA3"/>
    <w:rsid w:val="003E4420"/>
    <w:rsid w:val="003E6C5F"/>
    <w:rsid w:val="003F2DD5"/>
    <w:rsid w:val="003F3A22"/>
    <w:rsid w:val="00401063"/>
    <w:rsid w:val="0040145C"/>
    <w:rsid w:val="004071BD"/>
    <w:rsid w:val="00414EDA"/>
    <w:rsid w:val="00423401"/>
    <w:rsid w:val="0042420A"/>
    <w:rsid w:val="00425BBA"/>
    <w:rsid w:val="00432B53"/>
    <w:rsid w:val="004333A3"/>
    <w:rsid w:val="004362D5"/>
    <w:rsid w:val="0043744C"/>
    <w:rsid w:val="004401FF"/>
    <w:rsid w:val="00442D6D"/>
    <w:rsid w:val="00445C96"/>
    <w:rsid w:val="00450222"/>
    <w:rsid w:val="00453C7D"/>
    <w:rsid w:val="004612B6"/>
    <w:rsid w:val="00464865"/>
    <w:rsid w:val="00471A29"/>
    <w:rsid w:val="004836A9"/>
    <w:rsid w:val="0048512A"/>
    <w:rsid w:val="004B0637"/>
    <w:rsid w:val="004B4495"/>
    <w:rsid w:val="004C25CF"/>
    <w:rsid w:val="004D274D"/>
    <w:rsid w:val="004E4A72"/>
    <w:rsid w:val="004E4C1D"/>
    <w:rsid w:val="004E6914"/>
    <w:rsid w:val="004E74F4"/>
    <w:rsid w:val="004F67D7"/>
    <w:rsid w:val="00500E0C"/>
    <w:rsid w:val="00502DE2"/>
    <w:rsid w:val="0050307D"/>
    <w:rsid w:val="00512892"/>
    <w:rsid w:val="00513109"/>
    <w:rsid w:val="00514055"/>
    <w:rsid w:val="0052496E"/>
    <w:rsid w:val="00526840"/>
    <w:rsid w:val="00531DB1"/>
    <w:rsid w:val="00536D91"/>
    <w:rsid w:val="0054042D"/>
    <w:rsid w:val="00540F2E"/>
    <w:rsid w:val="00556C56"/>
    <w:rsid w:val="00557F41"/>
    <w:rsid w:val="005614FA"/>
    <w:rsid w:val="005649F8"/>
    <w:rsid w:val="005703AA"/>
    <w:rsid w:val="005778F6"/>
    <w:rsid w:val="00582744"/>
    <w:rsid w:val="00584004"/>
    <w:rsid w:val="00586C37"/>
    <w:rsid w:val="0059346D"/>
    <w:rsid w:val="0059401F"/>
    <w:rsid w:val="005A1DB8"/>
    <w:rsid w:val="005B015F"/>
    <w:rsid w:val="005B0163"/>
    <w:rsid w:val="005B2244"/>
    <w:rsid w:val="005B2377"/>
    <w:rsid w:val="005C2C04"/>
    <w:rsid w:val="005D56C3"/>
    <w:rsid w:val="005E6930"/>
    <w:rsid w:val="00611F79"/>
    <w:rsid w:val="00613361"/>
    <w:rsid w:val="00615B3D"/>
    <w:rsid w:val="00623C39"/>
    <w:rsid w:val="00635132"/>
    <w:rsid w:val="00635D8D"/>
    <w:rsid w:val="00641841"/>
    <w:rsid w:val="00650A2A"/>
    <w:rsid w:val="00651B72"/>
    <w:rsid w:val="00653BCB"/>
    <w:rsid w:val="006555C7"/>
    <w:rsid w:val="006637F2"/>
    <w:rsid w:val="00667CD9"/>
    <w:rsid w:val="00672932"/>
    <w:rsid w:val="00674B45"/>
    <w:rsid w:val="00684AA9"/>
    <w:rsid w:val="00696120"/>
    <w:rsid w:val="006A3DEC"/>
    <w:rsid w:val="006A3E70"/>
    <w:rsid w:val="006B6038"/>
    <w:rsid w:val="006C25C3"/>
    <w:rsid w:val="006C520E"/>
    <w:rsid w:val="006D00A7"/>
    <w:rsid w:val="006D21D3"/>
    <w:rsid w:val="006E1856"/>
    <w:rsid w:val="006E2D4B"/>
    <w:rsid w:val="006E2F8C"/>
    <w:rsid w:val="006F212F"/>
    <w:rsid w:val="0070365D"/>
    <w:rsid w:val="0070650E"/>
    <w:rsid w:val="00706950"/>
    <w:rsid w:val="00711A28"/>
    <w:rsid w:val="0071331E"/>
    <w:rsid w:val="007137DC"/>
    <w:rsid w:val="0071730D"/>
    <w:rsid w:val="00721887"/>
    <w:rsid w:val="007243B6"/>
    <w:rsid w:val="00724EE0"/>
    <w:rsid w:val="00726EC5"/>
    <w:rsid w:val="00731036"/>
    <w:rsid w:val="0073653E"/>
    <w:rsid w:val="007377EF"/>
    <w:rsid w:val="00742BCD"/>
    <w:rsid w:val="00745332"/>
    <w:rsid w:val="0076636E"/>
    <w:rsid w:val="00773143"/>
    <w:rsid w:val="00774580"/>
    <w:rsid w:val="007761C9"/>
    <w:rsid w:val="00782884"/>
    <w:rsid w:val="007876F3"/>
    <w:rsid w:val="007944B9"/>
    <w:rsid w:val="0079586B"/>
    <w:rsid w:val="00795C88"/>
    <w:rsid w:val="00797350"/>
    <w:rsid w:val="007A2ECE"/>
    <w:rsid w:val="007A59BF"/>
    <w:rsid w:val="007C3557"/>
    <w:rsid w:val="007C5CA7"/>
    <w:rsid w:val="007E29B0"/>
    <w:rsid w:val="007E6DB0"/>
    <w:rsid w:val="007F55FF"/>
    <w:rsid w:val="00804B0B"/>
    <w:rsid w:val="00811E3C"/>
    <w:rsid w:val="00814484"/>
    <w:rsid w:val="00815555"/>
    <w:rsid w:val="00816928"/>
    <w:rsid w:val="00824C9C"/>
    <w:rsid w:val="00824E88"/>
    <w:rsid w:val="00835F2D"/>
    <w:rsid w:val="008445DF"/>
    <w:rsid w:val="00851750"/>
    <w:rsid w:val="0085665E"/>
    <w:rsid w:val="00861B55"/>
    <w:rsid w:val="00863C7F"/>
    <w:rsid w:val="00863FF2"/>
    <w:rsid w:val="00873CDB"/>
    <w:rsid w:val="008741BE"/>
    <w:rsid w:val="0087431A"/>
    <w:rsid w:val="00877A1F"/>
    <w:rsid w:val="00882EC0"/>
    <w:rsid w:val="00886C06"/>
    <w:rsid w:val="00886EFB"/>
    <w:rsid w:val="00890AD2"/>
    <w:rsid w:val="008913D8"/>
    <w:rsid w:val="00891DD0"/>
    <w:rsid w:val="00896174"/>
    <w:rsid w:val="008972BD"/>
    <w:rsid w:val="008A252F"/>
    <w:rsid w:val="008A5D66"/>
    <w:rsid w:val="008A6146"/>
    <w:rsid w:val="008A68E9"/>
    <w:rsid w:val="008A773A"/>
    <w:rsid w:val="008B46E9"/>
    <w:rsid w:val="008C16B3"/>
    <w:rsid w:val="008C412A"/>
    <w:rsid w:val="008C7532"/>
    <w:rsid w:val="008D0C1D"/>
    <w:rsid w:val="008E3847"/>
    <w:rsid w:val="008E5710"/>
    <w:rsid w:val="008E61DA"/>
    <w:rsid w:val="009027D7"/>
    <w:rsid w:val="00905D97"/>
    <w:rsid w:val="0093007D"/>
    <w:rsid w:val="00930C7A"/>
    <w:rsid w:val="00932BCB"/>
    <w:rsid w:val="00940878"/>
    <w:rsid w:val="00941BB5"/>
    <w:rsid w:val="00942079"/>
    <w:rsid w:val="0094221B"/>
    <w:rsid w:val="00951657"/>
    <w:rsid w:val="00954F4F"/>
    <w:rsid w:val="00961431"/>
    <w:rsid w:val="00971E91"/>
    <w:rsid w:val="00980A36"/>
    <w:rsid w:val="00981918"/>
    <w:rsid w:val="00984B4F"/>
    <w:rsid w:val="009B577D"/>
    <w:rsid w:val="009C42FF"/>
    <w:rsid w:val="009C7912"/>
    <w:rsid w:val="009D67E9"/>
    <w:rsid w:val="009E0377"/>
    <w:rsid w:val="009F3D4B"/>
    <w:rsid w:val="00A00FC3"/>
    <w:rsid w:val="00A038CA"/>
    <w:rsid w:val="00A04535"/>
    <w:rsid w:val="00A118EA"/>
    <w:rsid w:val="00A16AA0"/>
    <w:rsid w:val="00A22EF6"/>
    <w:rsid w:val="00A33D0A"/>
    <w:rsid w:val="00A410CA"/>
    <w:rsid w:val="00A44F67"/>
    <w:rsid w:val="00A51EB1"/>
    <w:rsid w:val="00A5326D"/>
    <w:rsid w:val="00A5721C"/>
    <w:rsid w:val="00A67927"/>
    <w:rsid w:val="00A67FCE"/>
    <w:rsid w:val="00A75431"/>
    <w:rsid w:val="00A806E7"/>
    <w:rsid w:val="00A82381"/>
    <w:rsid w:val="00A833F6"/>
    <w:rsid w:val="00A84786"/>
    <w:rsid w:val="00A8599B"/>
    <w:rsid w:val="00A925C5"/>
    <w:rsid w:val="00A93418"/>
    <w:rsid w:val="00A936EB"/>
    <w:rsid w:val="00A93FF9"/>
    <w:rsid w:val="00AA1747"/>
    <w:rsid w:val="00AA4131"/>
    <w:rsid w:val="00AB0E92"/>
    <w:rsid w:val="00AB1119"/>
    <w:rsid w:val="00AB344E"/>
    <w:rsid w:val="00AB5284"/>
    <w:rsid w:val="00AB7981"/>
    <w:rsid w:val="00AC4CDC"/>
    <w:rsid w:val="00AC6BE9"/>
    <w:rsid w:val="00AD0369"/>
    <w:rsid w:val="00AD6368"/>
    <w:rsid w:val="00AE160F"/>
    <w:rsid w:val="00AE1FD1"/>
    <w:rsid w:val="00AE6183"/>
    <w:rsid w:val="00B1146E"/>
    <w:rsid w:val="00B162AC"/>
    <w:rsid w:val="00B16556"/>
    <w:rsid w:val="00B17D7C"/>
    <w:rsid w:val="00B23377"/>
    <w:rsid w:val="00B26495"/>
    <w:rsid w:val="00B35E6B"/>
    <w:rsid w:val="00B5641D"/>
    <w:rsid w:val="00B60ECA"/>
    <w:rsid w:val="00B62187"/>
    <w:rsid w:val="00B6260E"/>
    <w:rsid w:val="00B7138B"/>
    <w:rsid w:val="00B83AAD"/>
    <w:rsid w:val="00B867E5"/>
    <w:rsid w:val="00B8719E"/>
    <w:rsid w:val="00B8766E"/>
    <w:rsid w:val="00B93F6C"/>
    <w:rsid w:val="00BA29E2"/>
    <w:rsid w:val="00BA2ABB"/>
    <w:rsid w:val="00BB0FC7"/>
    <w:rsid w:val="00BB5DA9"/>
    <w:rsid w:val="00BB65F9"/>
    <w:rsid w:val="00BC12EC"/>
    <w:rsid w:val="00BC4CFA"/>
    <w:rsid w:val="00BD4C29"/>
    <w:rsid w:val="00BD560C"/>
    <w:rsid w:val="00BE5676"/>
    <w:rsid w:val="00BF3755"/>
    <w:rsid w:val="00BF67DA"/>
    <w:rsid w:val="00C0057C"/>
    <w:rsid w:val="00C07B66"/>
    <w:rsid w:val="00C07F23"/>
    <w:rsid w:val="00C127EB"/>
    <w:rsid w:val="00C14F98"/>
    <w:rsid w:val="00C2251C"/>
    <w:rsid w:val="00C240A1"/>
    <w:rsid w:val="00C26EEA"/>
    <w:rsid w:val="00C32563"/>
    <w:rsid w:val="00C343C7"/>
    <w:rsid w:val="00C35534"/>
    <w:rsid w:val="00C35B73"/>
    <w:rsid w:val="00C35F20"/>
    <w:rsid w:val="00C4250D"/>
    <w:rsid w:val="00C42A56"/>
    <w:rsid w:val="00C54D22"/>
    <w:rsid w:val="00C62CD0"/>
    <w:rsid w:val="00C87DCA"/>
    <w:rsid w:val="00C91C2F"/>
    <w:rsid w:val="00C95818"/>
    <w:rsid w:val="00C9623B"/>
    <w:rsid w:val="00C96EFC"/>
    <w:rsid w:val="00CA1397"/>
    <w:rsid w:val="00CA4F2A"/>
    <w:rsid w:val="00CA6C50"/>
    <w:rsid w:val="00CB58D4"/>
    <w:rsid w:val="00CB6B43"/>
    <w:rsid w:val="00CF00CA"/>
    <w:rsid w:val="00CF0168"/>
    <w:rsid w:val="00D14636"/>
    <w:rsid w:val="00D23BD9"/>
    <w:rsid w:val="00D24D46"/>
    <w:rsid w:val="00D260A5"/>
    <w:rsid w:val="00D3329D"/>
    <w:rsid w:val="00D33740"/>
    <w:rsid w:val="00D35B13"/>
    <w:rsid w:val="00D500D5"/>
    <w:rsid w:val="00D50208"/>
    <w:rsid w:val="00D5214B"/>
    <w:rsid w:val="00D5380C"/>
    <w:rsid w:val="00D560AE"/>
    <w:rsid w:val="00D65E5E"/>
    <w:rsid w:val="00D75855"/>
    <w:rsid w:val="00D86D48"/>
    <w:rsid w:val="00D918BF"/>
    <w:rsid w:val="00D91FE8"/>
    <w:rsid w:val="00DA19EC"/>
    <w:rsid w:val="00DA1A59"/>
    <w:rsid w:val="00DA515A"/>
    <w:rsid w:val="00DA7BF5"/>
    <w:rsid w:val="00DB3C02"/>
    <w:rsid w:val="00DB64A8"/>
    <w:rsid w:val="00DD4847"/>
    <w:rsid w:val="00DE6990"/>
    <w:rsid w:val="00DF068A"/>
    <w:rsid w:val="00DF29D4"/>
    <w:rsid w:val="00DF4033"/>
    <w:rsid w:val="00E11E54"/>
    <w:rsid w:val="00E14534"/>
    <w:rsid w:val="00E26103"/>
    <w:rsid w:val="00E26CA8"/>
    <w:rsid w:val="00E5535A"/>
    <w:rsid w:val="00E76C6A"/>
    <w:rsid w:val="00E842B5"/>
    <w:rsid w:val="00E87B59"/>
    <w:rsid w:val="00E9166C"/>
    <w:rsid w:val="00E92F72"/>
    <w:rsid w:val="00EB0E2B"/>
    <w:rsid w:val="00EB3B06"/>
    <w:rsid w:val="00EB5EC9"/>
    <w:rsid w:val="00EB7690"/>
    <w:rsid w:val="00EC1DB6"/>
    <w:rsid w:val="00ED4A1B"/>
    <w:rsid w:val="00ED4BFB"/>
    <w:rsid w:val="00EE1AF9"/>
    <w:rsid w:val="00EE2438"/>
    <w:rsid w:val="00EF534F"/>
    <w:rsid w:val="00F01799"/>
    <w:rsid w:val="00F04AD6"/>
    <w:rsid w:val="00F0781E"/>
    <w:rsid w:val="00F129B0"/>
    <w:rsid w:val="00F1387C"/>
    <w:rsid w:val="00F201A3"/>
    <w:rsid w:val="00F22C73"/>
    <w:rsid w:val="00F23256"/>
    <w:rsid w:val="00F2579D"/>
    <w:rsid w:val="00F37D49"/>
    <w:rsid w:val="00F4018F"/>
    <w:rsid w:val="00F4209F"/>
    <w:rsid w:val="00F51CF7"/>
    <w:rsid w:val="00F560EC"/>
    <w:rsid w:val="00F67537"/>
    <w:rsid w:val="00F7108C"/>
    <w:rsid w:val="00F75520"/>
    <w:rsid w:val="00F76126"/>
    <w:rsid w:val="00F86309"/>
    <w:rsid w:val="00F86CA6"/>
    <w:rsid w:val="00F919C6"/>
    <w:rsid w:val="00F95D3D"/>
    <w:rsid w:val="00FA265E"/>
    <w:rsid w:val="00FC5482"/>
    <w:rsid w:val="00FD4070"/>
    <w:rsid w:val="00FD6B1A"/>
    <w:rsid w:val="00FE4F48"/>
    <w:rsid w:val="00FF1FFD"/>
    <w:rsid w:val="00FF4B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5EAC2F"/>
  <w15:chartTrackingRefBased/>
  <w15:docId w15:val="{7514E2CF-EED1-4E87-A20F-3DD4933F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1650B"/>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11650B"/>
    <w:pPr>
      <w:ind w:left="720"/>
      <w:contextualSpacing/>
    </w:pPr>
    <w:rPr>
      <w:lang w:val="x-none"/>
    </w:rPr>
  </w:style>
  <w:style w:type="character" w:customStyle="1" w:styleId="OdstavecseseznamemChar">
    <w:name w:val="Odstavec se seznamem Char"/>
    <w:link w:val="Odstavecseseznamem"/>
    <w:uiPriority w:val="34"/>
    <w:rsid w:val="0011650B"/>
    <w:rPr>
      <w:rFonts w:ascii="Times New Roman" w:eastAsia="Times New Roman" w:hAnsi="Times New Roman" w:cs="Times New Roman"/>
      <w:sz w:val="24"/>
      <w:szCs w:val="24"/>
      <w:lang w:eastAsia="cs-CZ"/>
    </w:rPr>
  </w:style>
  <w:style w:type="paragraph" w:styleId="Zkladntext">
    <w:name w:val="Body Text"/>
    <w:basedOn w:val="Normln"/>
    <w:link w:val="ZkladntextChar"/>
    <w:rsid w:val="0011650B"/>
    <w:pPr>
      <w:numPr>
        <w:ilvl w:val="12"/>
      </w:numPr>
      <w:tabs>
        <w:tab w:val="left" w:pos="567"/>
      </w:tabs>
      <w:overflowPunct w:val="0"/>
      <w:autoSpaceDE w:val="0"/>
      <w:autoSpaceDN w:val="0"/>
      <w:adjustRightInd w:val="0"/>
      <w:jc w:val="both"/>
    </w:pPr>
    <w:rPr>
      <w:rFonts w:ascii="Arial" w:hAnsi="Arial"/>
      <w:sz w:val="20"/>
      <w:szCs w:val="20"/>
      <w:lang w:val="x-none"/>
    </w:rPr>
  </w:style>
  <w:style w:type="character" w:customStyle="1" w:styleId="ZkladntextChar">
    <w:name w:val="Základní text Char"/>
    <w:link w:val="Zkladntext"/>
    <w:rsid w:val="0011650B"/>
    <w:rPr>
      <w:rFonts w:ascii="Arial" w:eastAsia="Times New Roman" w:hAnsi="Arial" w:cs="Times New Roman"/>
      <w:sz w:val="20"/>
      <w:szCs w:val="20"/>
      <w:lang w:eastAsia="cs-CZ"/>
    </w:rPr>
  </w:style>
  <w:style w:type="character" w:styleId="Odkaznakoment">
    <w:name w:val="annotation reference"/>
    <w:uiPriority w:val="99"/>
    <w:semiHidden/>
    <w:unhideWhenUsed/>
    <w:rsid w:val="0011650B"/>
    <w:rPr>
      <w:sz w:val="16"/>
      <w:szCs w:val="16"/>
    </w:rPr>
  </w:style>
  <w:style w:type="paragraph" w:styleId="Textkomente">
    <w:name w:val="annotation text"/>
    <w:basedOn w:val="Normln"/>
    <w:link w:val="TextkomenteChar"/>
    <w:uiPriority w:val="99"/>
    <w:semiHidden/>
    <w:unhideWhenUsed/>
    <w:rsid w:val="0011650B"/>
    <w:rPr>
      <w:sz w:val="20"/>
      <w:szCs w:val="20"/>
      <w:lang w:val="x-none"/>
    </w:rPr>
  </w:style>
  <w:style w:type="character" w:customStyle="1" w:styleId="TextkomenteChar">
    <w:name w:val="Text komentáře Char"/>
    <w:link w:val="Textkomente"/>
    <w:uiPriority w:val="99"/>
    <w:semiHidden/>
    <w:rsid w:val="0011650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11650B"/>
    <w:rPr>
      <w:rFonts w:ascii="Tahoma" w:hAnsi="Tahoma"/>
      <w:sz w:val="16"/>
      <w:szCs w:val="16"/>
      <w:lang w:val="x-none"/>
    </w:rPr>
  </w:style>
  <w:style w:type="character" w:customStyle="1" w:styleId="TextbublinyChar">
    <w:name w:val="Text bubliny Char"/>
    <w:link w:val="Textbubliny"/>
    <w:uiPriority w:val="99"/>
    <w:semiHidden/>
    <w:rsid w:val="0011650B"/>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42420A"/>
    <w:pPr>
      <w:tabs>
        <w:tab w:val="center" w:pos="4536"/>
        <w:tab w:val="right" w:pos="9072"/>
      </w:tabs>
    </w:pPr>
    <w:rPr>
      <w:lang w:val="x-none"/>
    </w:rPr>
  </w:style>
  <w:style w:type="character" w:customStyle="1" w:styleId="ZhlavChar">
    <w:name w:val="Záhlaví Char"/>
    <w:link w:val="Zhlav"/>
    <w:uiPriority w:val="99"/>
    <w:semiHidden/>
    <w:rsid w:val="0042420A"/>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42420A"/>
    <w:pPr>
      <w:tabs>
        <w:tab w:val="center" w:pos="4536"/>
        <w:tab w:val="right" w:pos="9072"/>
      </w:tabs>
    </w:pPr>
    <w:rPr>
      <w:lang w:val="x-none"/>
    </w:rPr>
  </w:style>
  <w:style w:type="character" w:customStyle="1" w:styleId="ZpatChar">
    <w:name w:val="Zápatí Char"/>
    <w:link w:val="Zpat"/>
    <w:uiPriority w:val="99"/>
    <w:semiHidden/>
    <w:rsid w:val="0042420A"/>
    <w:rPr>
      <w:rFonts w:ascii="Times New Roman" w:eastAsia="Times New Roman" w:hAnsi="Times New Roman" w:cs="Times New Roman"/>
      <w:sz w:val="24"/>
      <w:szCs w:val="24"/>
      <w:lang w:eastAsia="cs-CZ"/>
    </w:rPr>
  </w:style>
  <w:style w:type="paragraph" w:customStyle="1" w:styleId="Default">
    <w:name w:val="Default"/>
    <w:rsid w:val="000B3E65"/>
    <w:pPr>
      <w:autoSpaceDE w:val="0"/>
      <w:autoSpaceDN w:val="0"/>
      <w:adjustRightInd w:val="0"/>
    </w:pPr>
    <w:rPr>
      <w:rFonts w:ascii="Times New Roman" w:hAnsi="Times New Roman"/>
      <w:color w:val="000000"/>
      <w:sz w:val="24"/>
      <w:szCs w:val="24"/>
      <w:lang w:eastAsia="en-US"/>
    </w:rPr>
  </w:style>
  <w:style w:type="paragraph" w:customStyle="1" w:styleId="c01pointnumerotealtn">
    <w:name w:val="c01pointnumerotealtn"/>
    <w:basedOn w:val="Normln"/>
    <w:rsid w:val="00B23377"/>
    <w:pPr>
      <w:spacing w:before="100" w:beforeAutospacing="1" w:after="240"/>
      <w:ind w:left="567" w:hanging="53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7010">
      <w:bodyDiv w:val="1"/>
      <w:marLeft w:val="0"/>
      <w:marRight w:val="0"/>
      <w:marTop w:val="0"/>
      <w:marBottom w:val="0"/>
      <w:divBdr>
        <w:top w:val="none" w:sz="0" w:space="0" w:color="auto"/>
        <w:left w:val="none" w:sz="0" w:space="0" w:color="auto"/>
        <w:bottom w:val="none" w:sz="0" w:space="0" w:color="auto"/>
        <w:right w:val="none" w:sz="0" w:space="0" w:color="auto"/>
      </w:divBdr>
    </w:div>
    <w:div w:id="833565534">
      <w:bodyDiv w:val="1"/>
      <w:marLeft w:val="0"/>
      <w:marRight w:val="0"/>
      <w:marTop w:val="0"/>
      <w:marBottom w:val="0"/>
      <w:divBdr>
        <w:top w:val="none" w:sz="0" w:space="0" w:color="auto"/>
        <w:left w:val="none" w:sz="0" w:space="0" w:color="auto"/>
        <w:bottom w:val="none" w:sz="0" w:space="0" w:color="auto"/>
        <w:right w:val="none" w:sz="0" w:space="0" w:color="auto"/>
      </w:divBdr>
    </w:div>
    <w:div w:id="1148518556">
      <w:bodyDiv w:val="1"/>
      <w:marLeft w:val="0"/>
      <w:marRight w:val="0"/>
      <w:marTop w:val="0"/>
      <w:marBottom w:val="0"/>
      <w:divBdr>
        <w:top w:val="none" w:sz="0" w:space="0" w:color="auto"/>
        <w:left w:val="none" w:sz="0" w:space="0" w:color="auto"/>
        <w:bottom w:val="none" w:sz="0" w:space="0" w:color="auto"/>
        <w:right w:val="none" w:sz="0" w:space="0" w:color="auto"/>
      </w:divBdr>
    </w:div>
    <w:div w:id="1148671784">
      <w:bodyDiv w:val="1"/>
      <w:marLeft w:val="0"/>
      <w:marRight w:val="0"/>
      <w:marTop w:val="0"/>
      <w:marBottom w:val="0"/>
      <w:divBdr>
        <w:top w:val="none" w:sz="0" w:space="0" w:color="auto"/>
        <w:left w:val="none" w:sz="0" w:space="0" w:color="auto"/>
        <w:bottom w:val="none" w:sz="0" w:space="0" w:color="auto"/>
        <w:right w:val="none" w:sz="0" w:space="0" w:color="auto"/>
      </w:divBdr>
      <w:divsChild>
        <w:div w:id="1534154833">
          <w:marLeft w:val="0"/>
          <w:marRight w:val="0"/>
          <w:marTop w:val="0"/>
          <w:marBottom w:val="0"/>
          <w:divBdr>
            <w:top w:val="none" w:sz="0" w:space="0" w:color="auto"/>
            <w:left w:val="none" w:sz="0" w:space="0" w:color="auto"/>
            <w:bottom w:val="none" w:sz="0" w:space="0" w:color="auto"/>
            <w:right w:val="none" w:sz="0" w:space="0" w:color="auto"/>
          </w:divBdr>
          <w:divsChild>
            <w:div w:id="1814368803">
              <w:marLeft w:val="0"/>
              <w:marRight w:val="0"/>
              <w:marTop w:val="0"/>
              <w:marBottom w:val="0"/>
              <w:divBdr>
                <w:top w:val="none" w:sz="0" w:space="0" w:color="auto"/>
                <w:left w:val="none" w:sz="0" w:space="0" w:color="auto"/>
                <w:bottom w:val="none" w:sz="0" w:space="0" w:color="auto"/>
                <w:right w:val="none" w:sz="0" w:space="0" w:color="auto"/>
              </w:divBdr>
              <w:divsChild>
                <w:div w:id="313609024">
                  <w:marLeft w:val="0"/>
                  <w:marRight w:val="0"/>
                  <w:marTop w:val="0"/>
                  <w:marBottom w:val="0"/>
                  <w:divBdr>
                    <w:top w:val="none" w:sz="0" w:space="0" w:color="auto"/>
                    <w:left w:val="none" w:sz="0" w:space="0" w:color="auto"/>
                    <w:bottom w:val="none" w:sz="0" w:space="0" w:color="auto"/>
                    <w:right w:val="none" w:sz="0" w:space="0" w:color="auto"/>
                  </w:divBdr>
                  <w:divsChild>
                    <w:div w:id="10007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70068">
      <w:bodyDiv w:val="1"/>
      <w:marLeft w:val="0"/>
      <w:marRight w:val="0"/>
      <w:marTop w:val="0"/>
      <w:marBottom w:val="0"/>
      <w:divBdr>
        <w:top w:val="none" w:sz="0" w:space="0" w:color="auto"/>
        <w:left w:val="none" w:sz="0" w:space="0" w:color="auto"/>
        <w:bottom w:val="none" w:sz="0" w:space="0" w:color="auto"/>
        <w:right w:val="none" w:sz="0" w:space="0" w:color="auto"/>
      </w:divBdr>
    </w:div>
    <w:div w:id="185233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1F8C0F0C83DA1478C44E23F0D6EE144" ma:contentTypeVersion="0" ma:contentTypeDescription="Vytvoří nový dokument" ma:contentTypeScope="" ma:versionID="e222d645c099977c420fa8f0b3f847bd">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9BC73-B766-45CC-B9B1-7722E1C52F4D}">
  <ds:schemaRefs>
    <ds:schemaRef ds:uri="http://schemas.microsoft.com/sharepoint/v3/contenttype/forms"/>
  </ds:schemaRefs>
</ds:datastoreItem>
</file>

<file path=customXml/itemProps2.xml><?xml version="1.0" encoding="utf-8"?>
<ds:datastoreItem xmlns:ds="http://schemas.openxmlformats.org/officeDocument/2006/customXml" ds:itemID="{0A0EDB04-56E2-4113-8CB5-2F3C35BCD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DC8736-E99F-45B8-85DD-D275B35CBD6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6380</Words>
  <Characters>37642</Characters>
  <Application>Microsoft Office Word</Application>
  <DocSecurity>4</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Anna Mgr.</dc:creator>
  <cp:keywords/>
  <cp:lastModifiedBy>Matušková Anna Mgr.</cp:lastModifiedBy>
  <cp:revision>2</cp:revision>
  <cp:lastPrinted>2020-08-13T11:47:00Z</cp:lastPrinted>
  <dcterms:created xsi:type="dcterms:W3CDTF">2022-02-17T10:01:00Z</dcterms:created>
  <dcterms:modified xsi:type="dcterms:W3CDTF">2022-02-17T10:01:00Z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0x01010011F8C0F0C83DA1478C44E23F0D6EE144</vt:lpwstr>
  </property>
</Properties>
</file>