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23C" w:rsidRPr="00EE08C7" w:rsidRDefault="0021723C">
      <w:pPr>
        <w:spacing w:after="0" w:line="276" w:lineRule="auto"/>
        <w:jc w:val="right"/>
        <w:rPr>
          <w:rFonts w:ascii="Times New Roman" w:eastAsia="Times New Roman" w:hAnsi="Times New Roman" w:cs="Times New Roman"/>
          <w:sz w:val="24"/>
          <w:szCs w:val="24"/>
          <w:lang w:val="en-GB"/>
        </w:rPr>
      </w:pPr>
      <w:bookmarkStart w:id="0" w:name="_GoBack"/>
      <w:bookmarkEnd w:id="0"/>
    </w:p>
    <w:p w:rsidR="0021723C" w:rsidRPr="00EE08C7" w:rsidRDefault="0021723C">
      <w:pPr>
        <w:spacing w:after="0" w:line="276" w:lineRule="auto"/>
        <w:jc w:val="right"/>
        <w:rPr>
          <w:rFonts w:ascii="Times New Roman" w:eastAsia="Times New Roman" w:hAnsi="Times New Roman" w:cs="Times New Roman"/>
          <w:sz w:val="24"/>
          <w:szCs w:val="24"/>
          <w:lang w:val="en-GB"/>
        </w:rPr>
      </w:pPr>
    </w:p>
    <w:p w:rsidR="0021723C" w:rsidRPr="00EE08C7" w:rsidRDefault="0021723C">
      <w:pPr>
        <w:keepNext/>
        <w:spacing w:after="0" w:line="240" w:lineRule="auto"/>
        <w:jc w:val="center"/>
        <w:rPr>
          <w:rFonts w:ascii="Times New Roman" w:eastAsia="Times New Roman" w:hAnsi="Times New Roman" w:cs="Times New Roman"/>
          <w:b/>
          <w:sz w:val="28"/>
          <w:szCs w:val="28"/>
          <w:lang w:val="en-GB"/>
        </w:rPr>
      </w:pPr>
    </w:p>
    <w:p w:rsidR="0021723C" w:rsidRPr="00EE08C7" w:rsidRDefault="0021723C">
      <w:pPr>
        <w:keepNext/>
        <w:spacing w:after="0" w:line="240" w:lineRule="auto"/>
        <w:jc w:val="center"/>
        <w:rPr>
          <w:rFonts w:ascii="Times New Roman" w:eastAsia="Times New Roman" w:hAnsi="Times New Roman" w:cs="Times New Roman"/>
          <w:b/>
          <w:sz w:val="28"/>
          <w:szCs w:val="28"/>
          <w:lang w:val="en-GB"/>
        </w:rPr>
      </w:pPr>
    </w:p>
    <w:p w:rsidR="0021723C" w:rsidRPr="00EE08C7" w:rsidRDefault="0021723C">
      <w:pPr>
        <w:keepNext/>
        <w:spacing w:after="0" w:line="240" w:lineRule="auto"/>
        <w:jc w:val="center"/>
        <w:rPr>
          <w:lang w:val="en-GB"/>
        </w:rPr>
      </w:pPr>
      <w:r w:rsidRPr="00EE08C7">
        <w:rPr>
          <w:rFonts w:ascii="Times New Roman" w:eastAsia="Times New Roman" w:hAnsi="Times New Roman" w:cs="Times New Roman"/>
          <w:b/>
          <w:sz w:val="28"/>
          <w:szCs w:val="28"/>
          <w:lang w:val="en-GB"/>
        </w:rPr>
        <w:t xml:space="preserve">Decision </w:t>
      </w:r>
      <w:r w:rsidR="00A565F6">
        <w:rPr>
          <w:rFonts w:ascii="Times New Roman" w:eastAsia="Times New Roman" w:hAnsi="Times New Roman" w:cs="Times New Roman"/>
          <w:b/>
          <w:sz w:val="28"/>
          <w:szCs w:val="28"/>
          <w:lang w:val="en-GB"/>
        </w:rPr>
        <w:t>no.</w:t>
      </w:r>
      <w:r w:rsidRPr="00EE08C7">
        <w:rPr>
          <w:rFonts w:ascii="Times New Roman" w:eastAsia="Times New Roman" w:hAnsi="Times New Roman" w:cs="Times New Roman"/>
          <w:b/>
          <w:sz w:val="28"/>
          <w:szCs w:val="28"/>
          <w:lang w:val="en-GB"/>
        </w:rPr>
        <w:t xml:space="preserve"> 137</w:t>
      </w:r>
    </w:p>
    <w:p w:rsidR="0021723C" w:rsidRPr="00EE08C7" w:rsidRDefault="0021723C">
      <w:pPr>
        <w:keepNext/>
        <w:spacing w:after="0" w:line="240" w:lineRule="auto"/>
        <w:jc w:val="center"/>
        <w:rPr>
          <w:lang w:val="en-GB"/>
        </w:rPr>
      </w:pPr>
      <w:r w:rsidRPr="00EE08C7">
        <w:rPr>
          <w:rFonts w:ascii="Times New Roman" w:eastAsia="Times New Roman" w:hAnsi="Times New Roman" w:cs="Times New Roman"/>
          <w:b/>
          <w:sz w:val="28"/>
          <w:szCs w:val="28"/>
          <w:lang w:val="en-GB"/>
        </w:rPr>
        <w:t>of 13 March 2019</w:t>
      </w:r>
    </w:p>
    <w:p w:rsidR="0021723C" w:rsidRPr="00EE08C7" w:rsidRDefault="0021723C">
      <w:pPr>
        <w:keepNext/>
        <w:spacing w:after="0" w:line="240" w:lineRule="auto"/>
        <w:jc w:val="center"/>
        <w:rPr>
          <w:rFonts w:ascii="Times New Roman" w:eastAsia="Times New Roman" w:hAnsi="Times New Roman" w:cs="Times New Roman"/>
          <w:b/>
          <w:sz w:val="28"/>
          <w:szCs w:val="28"/>
          <w:lang w:val="en-GB"/>
        </w:rPr>
      </w:pPr>
    </w:p>
    <w:p w:rsidR="0021723C" w:rsidRPr="00EE08C7" w:rsidRDefault="00C657C9">
      <w:pPr>
        <w:keepNext/>
        <w:spacing w:after="0" w:line="240" w:lineRule="auto"/>
        <w:jc w:val="center"/>
        <w:rPr>
          <w:lang w:val="en-GB"/>
        </w:rPr>
      </w:pPr>
      <w:r w:rsidRPr="00EE08C7">
        <w:rPr>
          <w:rFonts w:ascii="Times New Roman" w:eastAsia="Times New Roman" w:hAnsi="Times New Roman" w:cs="Times New Roman"/>
          <w:b/>
          <w:bCs/>
          <w:sz w:val="28"/>
          <w:szCs w:val="28"/>
          <w:lang w:val="en-GB"/>
        </w:rPr>
        <w:t>o</w:t>
      </w:r>
      <w:r w:rsidR="0021723C" w:rsidRPr="00EE08C7">
        <w:rPr>
          <w:rFonts w:ascii="Times New Roman" w:eastAsia="Times New Roman" w:hAnsi="Times New Roman" w:cs="Times New Roman"/>
          <w:b/>
          <w:bCs/>
          <w:sz w:val="28"/>
          <w:szCs w:val="28"/>
          <w:lang w:val="en-GB"/>
        </w:rPr>
        <w:t xml:space="preserve">n the </w:t>
      </w:r>
      <w:r w:rsidR="0021723C" w:rsidRPr="00EE08C7">
        <w:rPr>
          <w:rFonts w:ascii="Times New Roman" w:eastAsia="Times New Roman" w:hAnsi="Times New Roman" w:cs="Times New Roman"/>
          <w:b/>
          <w:bCs/>
          <w:sz w:val="28"/>
          <w:szCs w:val="24"/>
          <w:lang w:val="en-GB"/>
        </w:rPr>
        <w:t xml:space="preserve">objection of unconstitutionality </w:t>
      </w:r>
      <w:r w:rsidR="0021723C" w:rsidRPr="00EE08C7">
        <w:rPr>
          <w:rFonts w:ascii="Times New Roman" w:eastAsia="Times New Roman" w:hAnsi="Times New Roman" w:cs="Times New Roman"/>
          <w:b/>
          <w:bCs/>
          <w:sz w:val="28"/>
          <w:szCs w:val="28"/>
          <w:lang w:val="en-GB"/>
        </w:rPr>
        <w:t>of the provisions of</w:t>
      </w:r>
      <w:r w:rsidRPr="00EE08C7">
        <w:rPr>
          <w:rFonts w:ascii="Times New Roman" w:eastAsia="Times New Roman" w:hAnsi="Times New Roman" w:cs="Times New Roman"/>
          <w:b/>
          <w:bCs/>
          <w:sz w:val="28"/>
          <w:szCs w:val="28"/>
          <w:lang w:val="en-GB"/>
        </w:rPr>
        <w:t xml:space="preserve"> the </w:t>
      </w:r>
      <w:bookmarkStart w:id="1" w:name="_Hlk3560264"/>
      <w:r w:rsidR="0021723C" w:rsidRPr="00EE08C7">
        <w:rPr>
          <w:rFonts w:ascii="Times New Roman" w:eastAsia="Times New Roman" w:hAnsi="Times New Roman" w:cs="Times New Roman"/>
          <w:b/>
          <w:bCs/>
          <w:sz w:val="28"/>
          <w:szCs w:val="28"/>
          <w:lang w:val="en-GB"/>
        </w:rPr>
        <w:t xml:space="preserve">Law approving </w:t>
      </w:r>
      <w:r w:rsidRPr="00EE08C7">
        <w:rPr>
          <w:rFonts w:ascii="Times New Roman" w:eastAsia="Times New Roman" w:hAnsi="Times New Roman" w:cs="Times New Roman"/>
          <w:b/>
          <w:bCs/>
          <w:sz w:val="28"/>
          <w:szCs w:val="28"/>
          <w:lang w:val="en-GB"/>
        </w:rPr>
        <w:t xml:space="preserve">the </w:t>
      </w:r>
      <w:r w:rsidR="0021723C" w:rsidRPr="00EE08C7">
        <w:rPr>
          <w:rFonts w:ascii="Times New Roman" w:eastAsia="Times New Roman" w:hAnsi="Times New Roman" w:cs="Times New Roman"/>
          <w:b/>
          <w:bCs/>
          <w:sz w:val="28"/>
          <w:szCs w:val="28"/>
          <w:lang w:val="en-GB"/>
        </w:rPr>
        <w:t xml:space="preserve">Government Emergency Ordinance </w:t>
      </w:r>
      <w:r w:rsidR="00A565F6">
        <w:rPr>
          <w:rFonts w:ascii="Times New Roman" w:eastAsia="Times New Roman" w:hAnsi="Times New Roman" w:cs="Times New Roman"/>
          <w:b/>
          <w:bCs/>
          <w:sz w:val="28"/>
          <w:szCs w:val="28"/>
          <w:lang w:val="en-GB"/>
        </w:rPr>
        <w:t>no.</w:t>
      </w:r>
      <w:r w:rsidR="0021723C" w:rsidRPr="00EE08C7">
        <w:rPr>
          <w:rFonts w:ascii="Times New Roman" w:eastAsia="Times New Roman" w:hAnsi="Times New Roman" w:cs="Times New Roman"/>
          <w:b/>
          <w:bCs/>
          <w:sz w:val="28"/>
          <w:szCs w:val="28"/>
          <w:lang w:val="en-GB"/>
        </w:rPr>
        <w:t xml:space="preserve"> 90/2018 </w:t>
      </w:r>
      <w:r w:rsidRPr="00EE08C7">
        <w:rPr>
          <w:rFonts w:ascii="Times New Roman" w:eastAsia="Times New Roman" w:hAnsi="Times New Roman" w:cs="Times New Roman"/>
          <w:b/>
          <w:bCs/>
          <w:sz w:val="28"/>
          <w:szCs w:val="28"/>
          <w:lang w:val="en-GB"/>
        </w:rPr>
        <w:t xml:space="preserve">concerning </w:t>
      </w:r>
      <w:r w:rsidR="0021723C" w:rsidRPr="00EE08C7">
        <w:rPr>
          <w:rFonts w:ascii="Times New Roman" w:eastAsia="Times New Roman" w:hAnsi="Times New Roman" w:cs="Times New Roman"/>
          <w:b/>
          <w:bCs/>
          <w:sz w:val="28"/>
          <w:szCs w:val="28"/>
          <w:lang w:val="en-GB"/>
        </w:rPr>
        <w:t xml:space="preserve">certain measures </w:t>
      </w:r>
      <w:r w:rsidRPr="00EE08C7">
        <w:rPr>
          <w:rFonts w:ascii="Times New Roman" w:eastAsia="Times New Roman" w:hAnsi="Times New Roman" w:cs="Times New Roman"/>
          <w:b/>
          <w:bCs/>
          <w:sz w:val="28"/>
          <w:szCs w:val="28"/>
          <w:lang w:val="en-GB"/>
        </w:rPr>
        <w:t xml:space="preserve">aimed at making </w:t>
      </w:r>
      <w:r w:rsidR="0021723C" w:rsidRPr="00EE08C7">
        <w:rPr>
          <w:rFonts w:ascii="Times New Roman" w:eastAsia="Times New Roman" w:hAnsi="Times New Roman" w:cs="Times New Roman"/>
          <w:b/>
          <w:bCs/>
          <w:sz w:val="28"/>
          <w:szCs w:val="28"/>
          <w:lang w:val="en-GB"/>
        </w:rPr>
        <w:t xml:space="preserve">the Section for </w:t>
      </w:r>
      <w:r w:rsidR="000518BB" w:rsidRPr="00EE08C7">
        <w:rPr>
          <w:rFonts w:ascii="Times New Roman" w:eastAsia="Times New Roman" w:hAnsi="Times New Roman" w:cs="Times New Roman"/>
          <w:b/>
          <w:bCs/>
          <w:sz w:val="28"/>
          <w:szCs w:val="28"/>
          <w:lang w:val="en-GB"/>
        </w:rPr>
        <w:t xml:space="preserve">the </w:t>
      </w:r>
      <w:r w:rsidRPr="00EE08C7">
        <w:rPr>
          <w:rFonts w:ascii="Times New Roman" w:eastAsia="Times New Roman" w:hAnsi="Times New Roman" w:cs="Times New Roman"/>
          <w:b/>
          <w:bCs/>
          <w:sz w:val="28"/>
          <w:szCs w:val="28"/>
          <w:lang w:val="en-GB"/>
        </w:rPr>
        <w:t>investigat</w:t>
      </w:r>
      <w:r w:rsidR="000518BB" w:rsidRPr="00EE08C7">
        <w:rPr>
          <w:rFonts w:ascii="Times New Roman" w:eastAsia="Times New Roman" w:hAnsi="Times New Roman" w:cs="Times New Roman"/>
          <w:b/>
          <w:bCs/>
          <w:sz w:val="28"/>
          <w:szCs w:val="28"/>
          <w:lang w:val="en-GB"/>
        </w:rPr>
        <w:t>ion</w:t>
      </w:r>
      <w:r w:rsidRPr="00EE08C7">
        <w:rPr>
          <w:rFonts w:ascii="Times New Roman" w:eastAsia="Times New Roman" w:hAnsi="Times New Roman" w:cs="Times New Roman"/>
          <w:b/>
          <w:bCs/>
          <w:sz w:val="28"/>
          <w:szCs w:val="28"/>
          <w:lang w:val="en-GB"/>
        </w:rPr>
        <w:t xml:space="preserve"> </w:t>
      </w:r>
      <w:r w:rsidR="0021723C" w:rsidRPr="00EE08C7">
        <w:rPr>
          <w:rFonts w:ascii="Times New Roman" w:eastAsia="Times New Roman" w:hAnsi="Times New Roman" w:cs="Times New Roman"/>
          <w:b/>
          <w:bCs/>
          <w:sz w:val="28"/>
          <w:szCs w:val="28"/>
          <w:lang w:val="en-GB"/>
        </w:rPr>
        <w:t xml:space="preserve">of </w:t>
      </w:r>
      <w:r w:rsidR="000518BB" w:rsidRPr="00EE08C7">
        <w:rPr>
          <w:rFonts w:ascii="Times New Roman" w:eastAsia="Times New Roman" w:hAnsi="Times New Roman" w:cs="Times New Roman"/>
          <w:b/>
          <w:bCs/>
          <w:sz w:val="28"/>
          <w:szCs w:val="28"/>
          <w:lang w:val="en-GB"/>
        </w:rPr>
        <w:t xml:space="preserve">justice-related criminal </w:t>
      </w:r>
      <w:r w:rsidRPr="00EE08C7">
        <w:rPr>
          <w:rFonts w:ascii="Times New Roman" w:eastAsia="Times New Roman" w:hAnsi="Times New Roman" w:cs="Times New Roman"/>
          <w:b/>
          <w:bCs/>
          <w:sz w:val="28"/>
          <w:szCs w:val="28"/>
          <w:lang w:val="en-GB"/>
        </w:rPr>
        <w:t>offences</w:t>
      </w:r>
      <w:bookmarkEnd w:id="1"/>
      <w:r w:rsidRPr="00EE08C7">
        <w:rPr>
          <w:rFonts w:ascii="Times New Roman" w:eastAsia="Times New Roman" w:hAnsi="Times New Roman" w:cs="Times New Roman"/>
          <w:b/>
          <w:bCs/>
          <w:sz w:val="28"/>
          <w:szCs w:val="28"/>
          <w:lang w:val="en-GB"/>
        </w:rPr>
        <w:t xml:space="preserve"> operational</w:t>
      </w:r>
    </w:p>
    <w:p w:rsidR="0021723C" w:rsidRPr="00EE08C7" w:rsidRDefault="0021723C">
      <w:pPr>
        <w:spacing w:after="0" w:line="240" w:lineRule="auto"/>
        <w:jc w:val="center"/>
        <w:rPr>
          <w:rFonts w:ascii="Times New Roman" w:eastAsia="Times New Roman" w:hAnsi="Times New Roman" w:cs="Times New Roman"/>
          <w:b/>
          <w:bCs/>
          <w:sz w:val="28"/>
          <w:szCs w:val="28"/>
          <w:lang w:val="en-GB"/>
        </w:rPr>
      </w:pPr>
    </w:p>
    <w:p w:rsidR="0021723C" w:rsidRPr="00EE08C7" w:rsidRDefault="0021723C">
      <w:pPr>
        <w:spacing w:after="0" w:line="240" w:lineRule="auto"/>
        <w:ind w:left="2520" w:right="-483"/>
        <w:rPr>
          <w:lang w:val="en-GB"/>
        </w:rPr>
      </w:pPr>
      <w:r w:rsidRPr="00EE08C7">
        <w:rPr>
          <w:rFonts w:ascii="Times New Roman" w:eastAsia="Times New Roman" w:hAnsi="Times New Roman" w:cs="Times New Roman"/>
          <w:b/>
          <w:bCs/>
          <w:sz w:val="28"/>
          <w:szCs w:val="28"/>
          <w:lang w:val="en-GB"/>
        </w:rPr>
        <w:t xml:space="preserve">Valer </w:t>
      </w:r>
      <w:r w:rsidR="0001274C" w:rsidRPr="00EE08C7">
        <w:rPr>
          <w:rFonts w:ascii="Times New Roman" w:eastAsia="Times New Roman" w:hAnsi="Times New Roman" w:cs="Times New Roman"/>
          <w:b/>
          <w:bCs/>
          <w:sz w:val="28"/>
          <w:szCs w:val="28"/>
          <w:lang w:val="en-GB"/>
        </w:rPr>
        <w:t>Dorneanu</w:t>
      </w:r>
      <w:r w:rsidR="0001274C" w:rsidRPr="00EE08C7">
        <w:rPr>
          <w:rFonts w:ascii="Times New Roman" w:eastAsia="Times New Roman" w:hAnsi="Times New Roman" w:cs="Times New Roman"/>
          <w:b/>
          <w:bCs/>
          <w:sz w:val="28"/>
          <w:szCs w:val="28"/>
          <w:lang w:val="en-GB"/>
        </w:rPr>
        <w:tab/>
      </w:r>
      <w:r w:rsidR="00AF2D48" w:rsidRPr="00EE08C7">
        <w:rPr>
          <w:rFonts w:ascii="Times New Roman" w:eastAsia="Times New Roman" w:hAnsi="Times New Roman" w:cs="Times New Roman"/>
          <w:b/>
          <w:bCs/>
          <w:sz w:val="28"/>
          <w:szCs w:val="28"/>
          <w:lang w:val="en-GB"/>
        </w:rPr>
        <w:tab/>
      </w:r>
      <w:r w:rsidR="0001274C" w:rsidRPr="00EE08C7">
        <w:rPr>
          <w:rFonts w:ascii="Times New Roman" w:eastAsia="Times New Roman" w:hAnsi="Times New Roman" w:cs="Times New Roman"/>
          <w:b/>
          <w:bCs/>
          <w:sz w:val="28"/>
          <w:szCs w:val="28"/>
          <w:lang w:val="en-GB"/>
        </w:rPr>
        <w:t>-</w:t>
      </w:r>
      <w:r w:rsidRPr="00EE08C7">
        <w:rPr>
          <w:rFonts w:ascii="Times New Roman" w:eastAsia="Times New Roman" w:hAnsi="Times New Roman" w:cs="Times New Roman"/>
          <w:b/>
          <w:bCs/>
          <w:sz w:val="28"/>
          <w:szCs w:val="28"/>
          <w:lang w:val="en-GB"/>
        </w:rPr>
        <w:t xml:space="preserve"> </w:t>
      </w:r>
      <w:r w:rsidR="0001274C" w:rsidRPr="00EE08C7">
        <w:rPr>
          <w:rFonts w:ascii="Times New Roman" w:eastAsia="Times New Roman" w:hAnsi="Times New Roman" w:cs="Times New Roman"/>
          <w:b/>
          <w:bCs/>
          <w:sz w:val="28"/>
          <w:szCs w:val="28"/>
          <w:lang w:val="en-GB"/>
        </w:rPr>
        <w:t>President</w:t>
      </w:r>
    </w:p>
    <w:p w:rsidR="0021723C" w:rsidRPr="00EE08C7" w:rsidRDefault="0021723C">
      <w:pPr>
        <w:spacing w:after="0" w:line="240" w:lineRule="auto"/>
        <w:ind w:left="2520" w:right="-483"/>
        <w:rPr>
          <w:lang w:val="en-GB"/>
        </w:rPr>
      </w:pPr>
      <w:r w:rsidRPr="00EE08C7">
        <w:rPr>
          <w:rFonts w:ascii="Times New Roman" w:eastAsia="Times New Roman" w:hAnsi="Times New Roman" w:cs="Times New Roman"/>
          <w:b/>
          <w:bCs/>
          <w:sz w:val="28"/>
          <w:szCs w:val="28"/>
          <w:lang w:val="en-GB"/>
        </w:rPr>
        <w:t>Marian Enache</w:t>
      </w:r>
      <w:r w:rsidR="0001274C" w:rsidRPr="00EE08C7">
        <w:rPr>
          <w:rFonts w:ascii="Times New Roman" w:eastAsia="Times New Roman" w:hAnsi="Times New Roman" w:cs="Times New Roman"/>
          <w:b/>
          <w:bCs/>
          <w:sz w:val="28"/>
          <w:szCs w:val="28"/>
          <w:lang w:val="en-GB"/>
        </w:rPr>
        <w:tab/>
      </w:r>
      <w:r w:rsidR="00AF2D48" w:rsidRPr="00EE08C7">
        <w:rPr>
          <w:rFonts w:ascii="Times New Roman" w:eastAsia="Times New Roman" w:hAnsi="Times New Roman" w:cs="Times New Roman"/>
          <w:b/>
          <w:bCs/>
          <w:sz w:val="28"/>
          <w:szCs w:val="28"/>
          <w:lang w:val="en-GB"/>
        </w:rPr>
        <w:tab/>
      </w:r>
      <w:r w:rsidR="0001274C" w:rsidRPr="00EE08C7">
        <w:rPr>
          <w:rFonts w:ascii="Times New Roman" w:eastAsia="Times New Roman" w:hAnsi="Times New Roman" w:cs="Times New Roman"/>
          <w:b/>
          <w:bCs/>
          <w:sz w:val="28"/>
          <w:szCs w:val="28"/>
          <w:lang w:val="en-GB"/>
        </w:rPr>
        <w:t xml:space="preserve">- </w:t>
      </w:r>
      <w:r w:rsidRPr="00EE08C7">
        <w:rPr>
          <w:rFonts w:ascii="Times New Roman" w:eastAsia="Times New Roman" w:hAnsi="Times New Roman" w:cs="Times New Roman"/>
          <w:b/>
          <w:bCs/>
          <w:sz w:val="28"/>
          <w:szCs w:val="28"/>
          <w:lang w:val="en-GB"/>
        </w:rPr>
        <w:t>Judge</w:t>
      </w:r>
    </w:p>
    <w:p w:rsidR="0021723C" w:rsidRPr="00EE08C7" w:rsidRDefault="00A565F6">
      <w:pPr>
        <w:spacing w:after="0" w:line="240" w:lineRule="auto"/>
        <w:ind w:left="2520" w:right="-483"/>
        <w:rPr>
          <w:lang w:val="en-GB"/>
        </w:rPr>
      </w:pPr>
      <w:r>
        <w:rPr>
          <w:rFonts w:ascii="Times New Roman" w:eastAsia="Times New Roman" w:hAnsi="Times New Roman" w:cs="Times New Roman"/>
          <w:b/>
          <w:sz w:val="28"/>
          <w:szCs w:val="28"/>
          <w:lang w:val="en-GB"/>
        </w:rPr>
        <w:t>Petre Lăză</w:t>
      </w:r>
      <w:r w:rsidR="0021723C" w:rsidRPr="00EE08C7">
        <w:rPr>
          <w:rFonts w:ascii="Times New Roman" w:eastAsia="Times New Roman" w:hAnsi="Times New Roman" w:cs="Times New Roman"/>
          <w:b/>
          <w:sz w:val="28"/>
          <w:szCs w:val="28"/>
          <w:lang w:val="en-GB"/>
        </w:rPr>
        <w:t>roiu</w:t>
      </w:r>
      <w:r w:rsidR="0001274C"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ab/>
      </w:r>
      <w:r w:rsidR="00AF2D48"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 xml:space="preserve">- </w:t>
      </w:r>
      <w:r w:rsidR="0021723C" w:rsidRPr="00EE08C7">
        <w:rPr>
          <w:rFonts w:ascii="Times New Roman" w:eastAsia="Times New Roman" w:hAnsi="Times New Roman" w:cs="Times New Roman"/>
          <w:b/>
          <w:sz w:val="28"/>
          <w:szCs w:val="28"/>
          <w:lang w:val="en-GB"/>
        </w:rPr>
        <w:t>Judge</w:t>
      </w:r>
    </w:p>
    <w:p w:rsidR="0021723C" w:rsidRPr="00EE08C7" w:rsidRDefault="00A565F6">
      <w:pPr>
        <w:spacing w:after="0" w:line="240" w:lineRule="auto"/>
        <w:ind w:left="2520" w:right="-483"/>
        <w:rPr>
          <w:lang w:val="en-GB"/>
        </w:rPr>
      </w:pPr>
      <w:bookmarkStart w:id="2" w:name="_Hlk3902099"/>
      <w:r>
        <w:rPr>
          <w:rFonts w:ascii="Times New Roman" w:eastAsia="Times New Roman" w:hAnsi="Times New Roman" w:cs="Times New Roman"/>
          <w:b/>
          <w:sz w:val="28"/>
          <w:szCs w:val="28"/>
          <w:lang w:val="en-GB"/>
        </w:rPr>
        <w:t>Mircea Ș</w:t>
      </w:r>
      <w:r w:rsidR="0021723C" w:rsidRPr="00EE08C7">
        <w:rPr>
          <w:rFonts w:ascii="Times New Roman" w:eastAsia="Times New Roman" w:hAnsi="Times New Roman" w:cs="Times New Roman"/>
          <w:b/>
          <w:sz w:val="28"/>
          <w:szCs w:val="28"/>
          <w:lang w:val="en-GB"/>
        </w:rPr>
        <w:t>tefan Minea</w:t>
      </w:r>
      <w:bookmarkEnd w:id="2"/>
      <w:r w:rsidR="00AF2D48"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ab/>
        <w:t xml:space="preserve">- </w:t>
      </w:r>
      <w:r w:rsidR="0021723C" w:rsidRPr="00EE08C7">
        <w:rPr>
          <w:rFonts w:ascii="Times New Roman" w:eastAsia="Times New Roman" w:hAnsi="Times New Roman" w:cs="Times New Roman"/>
          <w:b/>
          <w:sz w:val="28"/>
          <w:szCs w:val="28"/>
          <w:lang w:val="en-GB"/>
        </w:rPr>
        <w:t>Judge</w:t>
      </w:r>
    </w:p>
    <w:p w:rsidR="0021723C" w:rsidRPr="00EE08C7" w:rsidRDefault="0021723C">
      <w:pPr>
        <w:spacing w:after="0" w:line="240" w:lineRule="auto"/>
        <w:ind w:left="2520" w:right="-483"/>
        <w:rPr>
          <w:lang w:val="en-GB"/>
        </w:rPr>
      </w:pPr>
      <w:r w:rsidRPr="00EE08C7">
        <w:rPr>
          <w:rFonts w:ascii="Times New Roman" w:eastAsia="Times New Roman" w:hAnsi="Times New Roman" w:cs="Times New Roman"/>
          <w:b/>
          <w:sz w:val="28"/>
          <w:szCs w:val="28"/>
          <w:lang w:val="en-GB"/>
        </w:rPr>
        <w:t>Daniel Marius Morar</w:t>
      </w:r>
      <w:r w:rsidR="00AF2D48"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 xml:space="preserve">- </w:t>
      </w:r>
      <w:r w:rsidRPr="00EE08C7">
        <w:rPr>
          <w:rFonts w:ascii="Times New Roman" w:eastAsia="Times New Roman" w:hAnsi="Times New Roman" w:cs="Times New Roman"/>
          <w:b/>
          <w:sz w:val="28"/>
          <w:szCs w:val="28"/>
          <w:lang w:val="en-GB"/>
        </w:rPr>
        <w:t>Judge</w:t>
      </w:r>
    </w:p>
    <w:p w:rsidR="0021723C" w:rsidRPr="00EE08C7" w:rsidRDefault="00AF2D48">
      <w:pPr>
        <w:spacing w:after="0" w:line="240" w:lineRule="auto"/>
        <w:ind w:left="2520" w:right="-483"/>
        <w:rPr>
          <w:lang w:val="en-GB"/>
        </w:rPr>
      </w:pPr>
      <w:r w:rsidRPr="00EE08C7">
        <w:rPr>
          <w:rFonts w:ascii="Times New Roman" w:eastAsia="Times New Roman" w:hAnsi="Times New Roman" w:cs="Times New Roman"/>
          <w:b/>
          <w:sz w:val="28"/>
          <w:szCs w:val="28"/>
          <w:lang w:val="en-GB"/>
        </w:rPr>
        <w:t>Mona-Maria Pivniceru</w:t>
      </w:r>
      <w:r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 xml:space="preserve">- </w:t>
      </w:r>
      <w:r w:rsidR="0021723C" w:rsidRPr="00EE08C7">
        <w:rPr>
          <w:rFonts w:ascii="Times New Roman" w:eastAsia="Times New Roman" w:hAnsi="Times New Roman" w:cs="Times New Roman"/>
          <w:b/>
          <w:sz w:val="28"/>
          <w:szCs w:val="28"/>
          <w:lang w:val="en-GB"/>
        </w:rPr>
        <w:t>Judge</w:t>
      </w:r>
    </w:p>
    <w:p w:rsidR="0021723C" w:rsidRPr="00EE08C7" w:rsidRDefault="00AF2D48">
      <w:pPr>
        <w:spacing w:after="0" w:line="240" w:lineRule="auto"/>
        <w:ind w:left="2520" w:right="-483"/>
        <w:rPr>
          <w:lang w:val="en-GB"/>
        </w:rPr>
      </w:pPr>
      <w:r w:rsidRPr="00EE08C7">
        <w:rPr>
          <w:rFonts w:ascii="Times New Roman" w:eastAsia="Times New Roman" w:hAnsi="Times New Roman" w:cs="Times New Roman"/>
          <w:b/>
          <w:sz w:val="28"/>
          <w:szCs w:val="28"/>
          <w:lang w:val="en-GB"/>
        </w:rPr>
        <w:t>Livia Doina Stanciu</w:t>
      </w:r>
      <w:r w:rsidRPr="00EE08C7">
        <w:rPr>
          <w:rFonts w:ascii="Times New Roman" w:eastAsia="Times New Roman" w:hAnsi="Times New Roman" w:cs="Times New Roman"/>
          <w:b/>
          <w:sz w:val="28"/>
          <w:szCs w:val="28"/>
          <w:lang w:val="en-GB"/>
        </w:rPr>
        <w:tab/>
      </w:r>
      <w:r w:rsidRPr="00EE08C7">
        <w:rPr>
          <w:rFonts w:ascii="Times New Roman" w:eastAsia="Times New Roman" w:hAnsi="Times New Roman" w:cs="Times New Roman"/>
          <w:b/>
          <w:sz w:val="28"/>
          <w:szCs w:val="28"/>
          <w:lang w:val="en-GB"/>
        </w:rPr>
        <w:tab/>
      </w:r>
      <w:r w:rsidR="0001274C" w:rsidRPr="00EE08C7">
        <w:rPr>
          <w:rFonts w:ascii="Times New Roman" w:eastAsia="Times New Roman" w:hAnsi="Times New Roman" w:cs="Times New Roman"/>
          <w:b/>
          <w:sz w:val="28"/>
          <w:szCs w:val="28"/>
          <w:lang w:val="en-GB"/>
        </w:rPr>
        <w:t xml:space="preserve">- </w:t>
      </w:r>
      <w:r w:rsidR="0021723C" w:rsidRPr="00EE08C7">
        <w:rPr>
          <w:rFonts w:ascii="Times New Roman" w:eastAsia="Times New Roman" w:hAnsi="Times New Roman" w:cs="Times New Roman"/>
          <w:b/>
          <w:sz w:val="28"/>
          <w:szCs w:val="28"/>
          <w:lang w:val="en-GB"/>
        </w:rPr>
        <w:t>Judge</w:t>
      </w:r>
    </w:p>
    <w:p w:rsidR="0021723C" w:rsidRPr="00EE08C7" w:rsidRDefault="00AF2D48">
      <w:pPr>
        <w:spacing w:after="0" w:line="240" w:lineRule="auto"/>
        <w:ind w:left="2520" w:right="-483"/>
        <w:rPr>
          <w:lang w:val="en-GB"/>
        </w:rPr>
      </w:pPr>
      <w:r w:rsidRPr="00EE08C7">
        <w:rPr>
          <w:rFonts w:ascii="Times New Roman" w:eastAsia="Times New Roman" w:hAnsi="Times New Roman" w:cs="Times New Roman"/>
          <w:b/>
          <w:bCs/>
          <w:sz w:val="28"/>
          <w:szCs w:val="28"/>
          <w:lang w:val="en-GB"/>
        </w:rPr>
        <w:t>Simona-Maya Teodoroiu</w:t>
      </w:r>
      <w:r w:rsidRPr="00EE08C7">
        <w:rPr>
          <w:rFonts w:ascii="Times New Roman" w:eastAsia="Times New Roman" w:hAnsi="Times New Roman" w:cs="Times New Roman"/>
          <w:b/>
          <w:bCs/>
          <w:sz w:val="28"/>
          <w:szCs w:val="28"/>
          <w:lang w:val="en-GB"/>
        </w:rPr>
        <w:tab/>
      </w:r>
      <w:r w:rsidR="0001274C" w:rsidRPr="00EE08C7">
        <w:rPr>
          <w:rFonts w:ascii="Times New Roman" w:eastAsia="Times New Roman" w:hAnsi="Times New Roman" w:cs="Times New Roman"/>
          <w:b/>
          <w:bCs/>
          <w:sz w:val="28"/>
          <w:szCs w:val="28"/>
          <w:lang w:val="en-GB"/>
        </w:rPr>
        <w:t xml:space="preserve">- </w:t>
      </w:r>
      <w:r w:rsidR="0021723C" w:rsidRPr="00EE08C7">
        <w:rPr>
          <w:rFonts w:ascii="Times New Roman" w:eastAsia="Times New Roman" w:hAnsi="Times New Roman" w:cs="Times New Roman"/>
          <w:b/>
          <w:bCs/>
          <w:sz w:val="28"/>
          <w:szCs w:val="28"/>
          <w:lang w:val="en-GB"/>
        </w:rPr>
        <w:t>Judge</w:t>
      </w:r>
    </w:p>
    <w:p w:rsidR="0021723C" w:rsidRPr="00EE08C7" w:rsidRDefault="00AF2D48">
      <w:pPr>
        <w:spacing w:after="0" w:line="240" w:lineRule="auto"/>
        <w:ind w:left="2520" w:right="-483"/>
        <w:rPr>
          <w:lang w:val="en-GB"/>
        </w:rPr>
      </w:pPr>
      <w:r w:rsidRPr="00EE08C7">
        <w:rPr>
          <w:rFonts w:ascii="Times New Roman" w:eastAsia="Times New Roman" w:hAnsi="Times New Roman" w:cs="Times New Roman"/>
          <w:b/>
          <w:bCs/>
          <w:sz w:val="28"/>
          <w:szCs w:val="28"/>
          <w:lang w:val="en-GB"/>
        </w:rPr>
        <w:t>Varga Attila</w:t>
      </w:r>
      <w:r w:rsidRPr="00EE08C7">
        <w:rPr>
          <w:rFonts w:ascii="Times New Roman" w:eastAsia="Times New Roman" w:hAnsi="Times New Roman" w:cs="Times New Roman"/>
          <w:b/>
          <w:bCs/>
          <w:sz w:val="28"/>
          <w:szCs w:val="28"/>
          <w:lang w:val="en-GB"/>
        </w:rPr>
        <w:tab/>
      </w:r>
      <w:r w:rsidRPr="00EE08C7">
        <w:rPr>
          <w:rFonts w:ascii="Times New Roman" w:eastAsia="Times New Roman" w:hAnsi="Times New Roman" w:cs="Times New Roman"/>
          <w:b/>
          <w:bCs/>
          <w:sz w:val="28"/>
          <w:szCs w:val="28"/>
          <w:lang w:val="en-GB"/>
        </w:rPr>
        <w:tab/>
      </w:r>
      <w:r w:rsidRPr="00EE08C7">
        <w:rPr>
          <w:rFonts w:ascii="Times New Roman" w:eastAsia="Times New Roman" w:hAnsi="Times New Roman" w:cs="Times New Roman"/>
          <w:b/>
          <w:bCs/>
          <w:sz w:val="28"/>
          <w:szCs w:val="28"/>
          <w:lang w:val="en-GB"/>
        </w:rPr>
        <w:tab/>
      </w:r>
      <w:r w:rsidR="0001274C" w:rsidRPr="00EE08C7">
        <w:rPr>
          <w:rFonts w:ascii="Times New Roman" w:eastAsia="Times New Roman" w:hAnsi="Times New Roman" w:cs="Times New Roman"/>
          <w:b/>
          <w:bCs/>
          <w:sz w:val="28"/>
          <w:szCs w:val="28"/>
          <w:lang w:val="en-GB"/>
        </w:rPr>
        <w:t xml:space="preserve">- </w:t>
      </w:r>
      <w:r w:rsidR="0021723C" w:rsidRPr="00EE08C7">
        <w:rPr>
          <w:rFonts w:ascii="Times New Roman" w:eastAsia="Times New Roman" w:hAnsi="Times New Roman" w:cs="Times New Roman"/>
          <w:b/>
          <w:bCs/>
          <w:sz w:val="28"/>
          <w:szCs w:val="28"/>
          <w:lang w:val="en-GB"/>
        </w:rPr>
        <w:t>Judge</w:t>
      </w:r>
    </w:p>
    <w:p w:rsidR="0021723C" w:rsidRPr="00EE08C7" w:rsidRDefault="00AF2D48">
      <w:pPr>
        <w:spacing w:after="0" w:line="240" w:lineRule="auto"/>
        <w:ind w:left="1800" w:firstLine="720"/>
        <w:rPr>
          <w:lang w:val="en-GB"/>
        </w:rPr>
      </w:pPr>
      <w:r w:rsidRPr="00EE08C7">
        <w:rPr>
          <w:rFonts w:ascii="Times New Roman" w:eastAsia="Times New Roman" w:hAnsi="Times New Roman" w:cs="Times New Roman"/>
          <w:b/>
          <w:sz w:val="28"/>
          <w:szCs w:val="28"/>
          <w:lang w:val="en-GB"/>
        </w:rPr>
        <w:t>Mihaela Senia Costinescu</w:t>
      </w:r>
      <w:r w:rsidRPr="00EE08C7">
        <w:rPr>
          <w:rFonts w:ascii="Times New Roman" w:eastAsia="Times New Roman" w:hAnsi="Times New Roman" w:cs="Times New Roman"/>
          <w:b/>
          <w:sz w:val="28"/>
          <w:szCs w:val="28"/>
          <w:lang w:val="en-GB"/>
        </w:rPr>
        <w:tab/>
        <w:t>-</w:t>
      </w:r>
      <w:r w:rsidR="0021723C" w:rsidRPr="00EE08C7">
        <w:rPr>
          <w:rFonts w:ascii="Times New Roman" w:eastAsia="Times New Roman" w:hAnsi="Times New Roman" w:cs="Times New Roman"/>
          <w:b/>
          <w:sz w:val="28"/>
          <w:szCs w:val="28"/>
          <w:lang w:val="en-GB"/>
        </w:rPr>
        <w:t xml:space="preserve"> </w:t>
      </w:r>
      <w:r w:rsidR="0001274C" w:rsidRPr="00EE08C7">
        <w:rPr>
          <w:rFonts w:ascii="Times New Roman" w:eastAsia="Times New Roman" w:hAnsi="Times New Roman" w:cs="Times New Roman"/>
          <w:b/>
          <w:sz w:val="28"/>
          <w:szCs w:val="28"/>
          <w:lang w:val="en-GB"/>
        </w:rPr>
        <w:t>A</w:t>
      </w:r>
      <w:r w:rsidR="0021723C" w:rsidRPr="00EE08C7">
        <w:rPr>
          <w:rFonts w:ascii="Times New Roman" w:eastAsia="Times New Roman" w:hAnsi="Times New Roman" w:cs="Times New Roman"/>
          <w:b/>
          <w:sz w:val="28"/>
          <w:szCs w:val="28"/>
          <w:lang w:val="en-GB"/>
        </w:rPr>
        <w:t>ssistant</w:t>
      </w:r>
      <w:r w:rsidR="0001274C" w:rsidRPr="00EE08C7">
        <w:rPr>
          <w:rFonts w:ascii="Times New Roman" w:eastAsia="Times New Roman" w:hAnsi="Times New Roman" w:cs="Times New Roman"/>
          <w:b/>
          <w:sz w:val="28"/>
          <w:szCs w:val="28"/>
          <w:lang w:val="en-GB"/>
        </w:rPr>
        <w:t>-M</w:t>
      </w:r>
      <w:r w:rsidR="0021723C" w:rsidRPr="00EE08C7">
        <w:rPr>
          <w:rFonts w:ascii="Times New Roman" w:eastAsia="Times New Roman" w:hAnsi="Times New Roman" w:cs="Times New Roman"/>
          <w:b/>
          <w:sz w:val="28"/>
          <w:szCs w:val="28"/>
          <w:lang w:val="en-GB"/>
        </w:rPr>
        <w:t>agistrate</w:t>
      </w:r>
      <w:r w:rsidR="0001274C" w:rsidRPr="00EE08C7">
        <w:rPr>
          <w:rFonts w:ascii="Times New Roman" w:eastAsia="Times New Roman" w:hAnsi="Times New Roman" w:cs="Times New Roman"/>
          <w:b/>
          <w:sz w:val="28"/>
          <w:szCs w:val="28"/>
          <w:lang w:val="en-GB"/>
        </w:rPr>
        <w:t>-in-chief</w:t>
      </w:r>
    </w:p>
    <w:p w:rsidR="0021723C" w:rsidRPr="00EE08C7" w:rsidRDefault="0021723C">
      <w:pPr>
        <w:spacing w:after="0" w:line="240" w:lineRule="auto"/>
        <w:ind w:left="1800" w:firstLine="720"/>
        <w:rPr>
          <w:rFonts w:ascii="Times New Roman" w:eastAsia="Times New Roman" w:hAnsi="Times New Roman" w:cs="Times New Roman"/>
          <w:b/>
          <w:bCs/>
          <w:sz w:val="28"/>
          <w:szCs w:val="28"/>
          <w:lang w:val="en-GB"/>
        </w:rPr>
      </w:pPr>
    </w:p>
    <w:p w:rsidR="00AF2D48" w:rsidRPr="00EE08C7" w:rsidRDefault="00AF2D48">
      <w:pPr>
        <w:spacing w:after="0" w:line="240" w:lineRule="auto"/>
        <w:ind w:left="1800" w:firstLine="720"/>
        <w:rPr>
          <w:rFonts w:ascii="Times New Roman" w:eastAsia="Times New Roman" w:hAnsi="Times New Roman" w:cs="Times New Roman"/>
          <w:b/>
          <w:bCs/>
          <w:sz w:val="28"/>
          <w:szCs w:val="28"/>
          <w:lang w:val="en-GB"/>
        </w:rPr>
      </w:pPr>
    </w:p>
    <w:p w:rsidR="0021723C" w:rsidRPr="00EE08C7" w:rsidRDefault="0021723C">
      <w:pPr>
        <w:numPr>
          <w:ilvl w:val="0"/>
          <w:numId w:val="2"/>
        </w:numPr>
        <w:spacing w:after="0" w:line="360" w:lineRule="auto"/>
        <w:ind w:left="0" w:firstLine="708"/>
        <w:contextualSpacing/>
        <w:jc w:val="both"/>
        <w:rPr>
          <w:rFonts w:ascii="Times New Roman" w:hAnsi="Times New Roman" w:cs="Times New Roman"/>
          <w:sz w:val="28"/>
          <w:szCs w:val="28"/>
          <w:lang w:val="en-GB"/>
        </w:rPr>
      </w:pPr>
      <w:r w:rsidRPr="00EE08C7">
        <w:rPr>
          <w:rFonts w:ascii="Times New Roman" w:eastAsia="Times New Roman" w:hAnsi="Times New Roman" w:cs="Times New Roman"/>
          <w:bCs/>
          <w:sz w:val="28"/>
          <w:szCs w:val="28"/>
          <w:lang w:val="en-GB"/>
        </w:rPr>
        <w:t xml:space="preserve">Pending </w:t>
      </w:r>
      <w:r w:rsidR="00AF2D48" w:rsidRPr="00EE08C7">
        <w:rPr>
          <w:rFonts w:ascii="Times New Roman" w:eastAsia="Times New Roman" w:hAnsi="Times New Roman" w:cs="Times New Roman"/>
          <w:bCs/>
          <w:sz w:val="28"/>
          <w:szCs w:val="28"/>
          <w:lang w:val="en-GB"/>
        </w:rPr>
        <w:t xml:space="preserve">is the settlement of the </w:t>
      </w:r>
      <w:r w:rsidRPr="00EE08C7">
        <w:rPr>
          <w:rFonts w:ascii="Times New Roman" w:eastAsia="Times New Roman" w:hAnsi="Times New Roman" w:cs="Times New Roman"/>
          <w:bCs/>
          <w:sz w:val="28"/>
          <w:szCs w:val="28"/>
          <w:lang w:val="en-GB"/>
        </w:rPr>
        <w:t xml:space="preserve">objection </w:t>
      </w:r>
      <w:r w:rsidR="00AF2D48" w:rsidRPr="00EE08C7">
        <w:rPr>
          <w:rFonts w:ascii="Times New Roman" w:eastAsia="Times New Roman" w:hAnsi="Times New Roman" w:cs="Times New Roman"/>
          <w:bCs/>
          <w:sz w:val="28"/>
          <w:szCs w:val="28"/>
          <w:lang w:val="en-GB"/>
        </w:rPr>
        <w:t xml:space="preserve">of unconstitutionality </w:t>
      </w:r>
      <w:r w:rsidRPr="00EE08C7">
        <w:rPr>
          <w:rFonts w:ascii="Times New Roman" w:eastAsia="Times New Roman" w:hAnsi="Times New Roman" w:cs="Times New Roman"/>
          <w:bCs/>
          <w:sz w:val="28"/>
          <w:szCs w:val="28"/>
          <w:lang w:val="en-GB"/>
        </w:rPr>
        <w:t xml:space="preserve">of the provisions of </w:t>
      </w:r>
      <w:r w:rsidR="001D7749" w:rsidRPr="00EE08C7">
        <w:rPr>
          <w:rFonts w:ascii="Times New Roman" w:eastAsia="Times New Roman" w:hAnsi="Times New Roman" w:cs="Times New Roman"/>
          <w:bCs/>
          <w:sz w:val="28"/>
          <w:szCs w:val="28"/>
          <w:lang w:val="en-GB"/>
        </w:rPr>
        <w:t xml:space="preserve">the </w:t>
      </w:r>
      <w:bookmarkStart w:id="3" w:name="_Hlk482191405"/>
      <w:bookmarkStart w:id="4" w:name="_Hlk3561575"/>
      <w:r w:rsidRPr="00EE08C7">
        <w:rPr>
          <w:rFonts w:ascii="Times New Roman" w:eastAsia="Times New Roman" w:hAnsi="Times New Roman" w:cs="Times New Roman"/>
          <w:bCs/>
          <w:sz w:val="28"/>
          <w:szCs w:val="28"/>
          <w:lang w:val="en-GB"/>
        </w:rPr>
        <w:t xml:space="preserve">Law approving </w:t>
      </w:r>
      <w:r w:rsidR="001D7749" w:rsidRPr="00EE08C7">
        <w:rPr>
          <w:rFonts w:ascii="Times New Roman" w:eastAsia="Times New Roman" w:hAnsi="Times New Roman" w:cs="Times New Roman"/>
          <w:bCs/>
          <w:sz w:val="28"/>
          <w:szCs w:val="28"/>
          <w:lang w:val="en-GB"/>
        </w:rPr>
        <w:t xml:space="preserve">the </w:t>
      </w:r>
      <w:r w:rsidRPr="00EE08C7">
        <w:rPr>
          <w:rFonts w:ascii="Times New Roman" w:eastAsia="Times New Roman" w:hAnsi="Times New Roman" w:cs="Times New Roman"/>
          <w:bCs/>
          <w:sz w:val="28"/>
          <w:szCs w:val="28"/>
          <w:lang w:val="en-GB"/>
        </w:rPr>
        <w:t xml:space="preserve">Government Emergency </w:t>
      </w:r>
      <w:r w:rsidR="00A565F6">
        <w:rPr>
          <w:rFonts w:ascii="Times New Roman" w:eastAsia="Times New Roman" w:hAnsi="Times New Roman" w:cs="Times New Roman"/>
          <w:bCs/>
          <w:sz w:val="28"/>
          <w:szCs w:val="28"/>
          <w:lang w:val="en-GB"/>
        </w:rPr>
        <w:t>Ordinance no.</w:t>
      </w:r>
      <w:r w:rsidRPr="00EE08C7">
        <w:rPr>
          <w:rFonts w:ascii="Times New Roman" w:eastAsia="Times New Roman" w:hAnsi="Times New Roman" w:cs="Times New Roman"/>
          <w:bCs/>
          <w:sz w:val="28"/>
          <w:szCs w:val="28"/>
          <w:lang w:val="en-GB"/>
        </w:rPr>
        <w:t xml:space="preserve"> 90/2018 </w:t>
      </w:r>
      <w:r w:rsidR="001D7749" w:rsidRPr="00EE08C7">
        <w:rPr>
          <w:rFonts w:ascii="Times New Roman" w:eastAsia="Times New Roman" w:hAnsi="Times New Roman" w:cs="Times New Roman"/>
          <w:bCs/>
          <w:sz w:val="28"/>
          <w:szCs w:val="28"/>
          <w:lang w:val="en-GB"/>
        </w:rPr>
        <w:t>c</w:t>
      </w:r>
      <w:r w:rsidRPr="00EE08C7">
        <w:rPr>
          <w:rFonts w:ascii="Times New Roman" w:eastAsia="Times New Roman" w:hAnsi="Times New Roman" w:cs="Times New Roman"/>
          <w:bCs/>
          <w:sz w:val="28"/>
          <w:szCs w:val="28"/>
          <w:lang w:val="en-GB"/>
        </w:rPr>
        <w:t>on</w:t>
      </w:r>
      <w:r w:rsidR="001D7749" w:rsidRPr="00EE08C7">
        <w:rPr>
          <w:rFonts w:ascii="Times New Roman" w:eastAsia="Times New Roman" w:hAnsi="Times New Roman" w:cs="Times New Roman"/>
          <w:bCs/>
          <w:sz w:val="28"/>
          <w:szCs w:val="28"/>
          <w:lang w:val="en-GB"/>
        </w:rPr>
        <w:t>cerning</w:t>
      </w:r>
      <w:r w:rsidRPr="00EE08C7">
        <w:rPr>
          <w:rFonts w:ascii="Times New Roman" w:eastAsia="Times New Roman" w:hAnsi="Times New Roman" w:cs="Times New Roman"/>
          <w:bCs/>
          <w:sz w:val="28"/>
          <w:szCs w:val="28"/>
          <w:lang w:val="en-GB"/>
        </w:rPr>
        <w:t xml:space="preserve"> certain measures </w:t>
      </w:r>
      <w:bookmarkEnd w:id="4"/>
      <w:r w:rsidR="001D7749" w:rsidRPr="00EE08C7">
        <w:rPr>
          <w:rFonts w:ascii="Times New Roman" w:eastAsia="Times New Roman" w:hAnsi="Times New Roman" w:cs="Times New Roman"/>
          <w:bCs/>
          <w:sz w:val="28"/>
          <w:szCs w:val="28"/>
          <w:lang w:val="en-GB"/>
        </w:rPr>
        <w:t xml:space="preserve">aimed at making the </w:t>
      </w:r>
      <w:r w:rsidR="000518BB" w:rsidRPr="00EE08C7">
        <w:rPr>
          <w:rFonts w:ascii="Times New Roman" w:eastAsia="Times New Roman" w:hAnsi="Times New Roman" w:cs="Times New Roman"/>
          <w:bCs/>
          <w:sz w:val="28"/>
          <w:szCs w:val="28"/>
          <w:lang w:val="en-GB"/>
        </w:rPr>
        <w:t>Section for the investigation of justice-related criminal offences</w:t>
      </w:r>
      <w:r w:rsidR="001D7749" w:rsidRPr="00EE08C7">
        <w:rPr>
          <w:rFonts w:ascii="Times New Roman" w:eastAsia="Times New Roman" w:hAnsi="Times New Roman" w:cs="Times New Roman"/>
          <w:bCs/>
          <w:sz w:val="28"/>
          <w:szCs w:val="28"/>
          <w:lang w:val="en-GB"/>
        </w:rPr>
        <w:t xml:space="preserve"> operational</w:t>
      </w:r>
      <w:r w:rsidRPr="00EE08C7">
        <w:rPr>
          <w:rFonts w:ascii="Times New Roman" w:eastAsia="Times New Roman" w:hAnsi="Times New Roman" w:cs="Times New Roman"/>
          <w:bCs/>
          <w:sz w:val="28"/>
          <w:szCs w:val="28"/>
          <w:lang w:val="en-GB"/>
        </w:rPr>
        <w:t xml:space="preserve">, objection </w:t>
      </w:r>
      <w:bookmarkStart w:id="5" w:name="_Hlk505095436"/>
      <w:r w:rsidR="001D7749" w:rsidRPr="00EE08C7">
        <w:rPr>
          <w:rFonts w:ascii="Times New Roman" w:eastAsia="Times New Roman" w:hAnsi="Times New Roman" w:cs="Times New Roman"/>
          <w:bCs/>
          <w:sz w:val="28"/>
          <w:szCs w:val="28"/>
          <w:lang w:val="en-GB"/>
        </w:rPr>
        <w:t xml:space="preserve">formulated </w:t>
      </w:r>
      <w:r w:rsidRPr="00EE08C7">
        <w:rPr>
          <w:rFonts w:ascii="Times New Roman" w:eastAsia="Times New Roman" w:hAnsi="Times New Roman" w:cs="Times New Roman"/>
          <w:bCs/>
          <w:sz w:val="28"/>
          <w:szCs w:val="28"/>
          <w:lang w:val="en-GB"/>
        </w:rPr>
        <w:t xml:space="preserve">by a </w:t>
      </w:r>
      <w:bookmarkEnd w:id="3"/>
      <w:bookmarkEnd w:id="5"/>
      <w:r w:rsidRPr="00EE08C7">
        <w:rPr>
          <w:rFonts w:ascii="Times New Roman" w:eastAsia="Times New Roman" w:hAnsi="Times New Roman" w:cs="Times New Roman"/>
          <w:sz w:val="28"/>
          <w:szCs w:val="28"/>
          <w:lang w:val="en-GB"/>
        </w:rPr>
        <w:t xml:space="preserve">number of </w:t>
      </w:r>
      <w:r w:rsidRPr="00EE08C7">
        <w:rPr>
          <w:rFonts w:ascii="Times New Roman" w:hAnsi="Times New Roman" w:cs="Times New Roman"/>
          <w:sz w:val="28"/>
          <w:szCs w:val="28"/>
          <w:lang w:val="en-GB"/>
        </w:rPr>
        <w:t xml:space="preserve">92 </w:t>
      </w:r>
      <w:r w:rsidR="00CB7ED6" w:rsidRPr="00EE08C7">
        <w:rPr>
          <w:rFonts w:ascii="Times New Roman" w:hAnsi="Times New Roman" w:cs="Times New Roman"/>
          <w:sz w:val="28"/>
          <w:szCs w:val="28"/>
          <w:lang w:val="en-GB"/>
        </w:rPr>
        <w:t xml:space="preserve">Deputies </w:t>
      </w:r>
      <w:r w:rsidRPr="00EE08C7">
        <w:rPr>
          <w:rFonts w:ascii="Times New Roman" w:hAnsi="Times New Roman" w:cs="Times New Roman"/>
          <w:sz w:val="28"/>
          <w:szCs w:val="28"/>
          <w:lang w:val="en-GB"/>
        </w:rPr>
        <w:t>belonging to the Parliamentary Group of the National Liberal Party and to the Parliamentary Group of Save Romania</w:t>
      </w:r>
      <w:r w:rsidR="00CB7ED6" w:rsidRPr="00EE08C7">
        <w:rPr>
          <w:rFonts w:ascii="Times New Roman" w:hAnsi="Times New Roman" w:cs="Times New Roman"/>
          <w:sz w:val="28"/>
          <w:szCs w:val="28"/>
          <w:lang w:val="en-GB"/>
        </w:rPr>
        <w:t xml:space="preserve"> Union</w:t>
      </w:r>
      <w:r w:rsidRPr="00EE08C7">
        <w:rPr>
          <w:rFonts w:ascii="Times New Roman" w:hAnsi="Times New Roman" w:cs="Times New Roman"/>
          <w:sz w:val="28"/>
          <w:szCs w:val="28"/>
          <w:lang w:val="en-GB"/>
        </w:rPr>
        <w:t>,</w:t>
      </w:r>
      <w:r w:rsidRPr="00EE08C7">
        <w:rPr>
          <w:rFonts w:ascii="Times New Roman" w:eastAsia="SimSun" w:hAnsi="Times New Roman" w:cs="Times New Roman"/>
          <w:sz w:val="28"/>
          <w:szCs w:val="28"/>
          <w:lang w:val="en-GB"/>
        </w:rPr>
        <w:t xml:space="preserve"> pursuant to the provisions of</w:t>
      </w:r>
      <w:r w:rsidRPr="00EE08C7">
        <w:rPr>
          <w:rFonts w:ascii="Times New Roman" w:hAnsi="Times New Roman" w:cs="Times New Roman"/>
          <w:sz w:val="28"/>
          <w:szCs w:val="28"/>
          <w:lang w:val="en-GB"/>
        </w:rPr>
        <w:t xml:space="preserve"> Article 146 </w:t>
      </w:r>
      <w:r w:rsidR="00A565F6">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a) of the Constitution and </w:t>
      </w:r>
      <w:r w:rsidR="00CB7ED6" w:rsidRPr="00EE08C7">
        <w:rPr>
          <w:rFonts w:ascii="Times New Roman" w:hAnsi="Times New Roman" w:cs="Times New Roman"/>
          <w:sz w:val="28"/>
          <w:szCs w:val="28"/>
          <w:lang w:val="en-GB"/>
        </w:rPr>
        <w:t xml:space="preserve">of </w:t>
      </w:r>
      <w:r w:rsidRPr="00EE08C7">
        <w:rPr>
          <w:rFonts w:ascii="Times New Roman" w:hAnsi="Times New Roman" w:cs="Times New Roman"/>
          <w:sz w:val="28"/>
          <w:szCs w:val="28"/>
          <w:lang w:val="en-GB"/>
        </w:rPr>
        <w:t xml:space="preserve">Article 15 of Law </w:t>
      </w:r>
      <w:r w:rsidR="00A565F6">
        <w:rPr>
          <w:rFonts w:ascii="Times New Roman" w:hAnsi="Times New Roman" w:cs="Times New Roman"/>
          <w:sz w:val="28"/>
          <w:szCs w:val="28"/>
          <w:lang w:val="en-GB"/>
        </w:rPr>
        <w:t>no.</w:t>
      </w:r>
      <w:r w:rsidR="00CB7ED6" w:rsidRPr="00EE08C7">
        <w:rPr>
          <w:rFonts w:ascii="Times New Roman" w:hAnsi="Times New Roman" w:cs="Times New Roman"/>
          <w:sz w:val="28"/>
          <w:szCs w:val="28"/>
          <w:lang w:val="en-GB"/>
        </w:rPr>
        <w:t xml:space="preserve"> </w:t>
      </w:r>
      <w:r w:rsidRPr="00EE08C7">
        <w:rPr>
          <w:rFonts w:ascii="Times New Roman" w:hAnsi="Times New Roman" w:cs="Times New Roman"/>
          <w:sz w:val="28"/>
          <w:szCs w:val="28"/>
          <w:lang w:val="en-GB"/>
        </w:rPr>
        <w:t xml:space="preserve">47/1992 on the organisation and </w:t>
      </w:r>
      <w:r w:rsidR="00CB7ED6" w:rsidRPr="00EE08C7">
        <w:rPr>
          <w:rFonts w:ascii="Times New Roman" w:hAnsi="Times New Roman" w:cs="Times New Roman"/>
          <w:sz w:val="28"/>
          <w:szCs w:val="28"/>
          <w:lang w:val="en-GB"/>
        </w:rPr>
        <w:t xml:space="preserve">operation </w:t>
      </w:r>
      <w:r w:rsidRPr="00EE08C7">
        <w:rPr>
          <w:rFonts w:ascii="Times New Roman" w:hAnsi="Times New Roman" w:cs="Times New Roman"/>
          <w:sz w:val="28"/>
          <w:szCs w:val="28"/>
          <w:lang w:val="en-GB"/>
        </w:rPr>
        <w:t xml:space="preserve">of the Constitutional </w:t>
      </w:r>
      <w:bookmarkStart w:id="6" w:name="_Hlk502932431"/>
      <w:r w:rsidR="00CB7ED6" w:rsidRPr="00EE08C7">
        <w:rPr>
          <w:rFonts w:ascii="Times New Roman" w:hAnsi="Times New Roman" w:cs="Times New Roman"/>
          <w:sz w:val="28"/>
          <w:szCs w:val="28"/>
          <w:lang w:val="en-GB"/>
        </w:rPr>
        <w:t>Court</w:t>
      </w:r>
      <w:r w:rsidRPr="00EE08C7">
        <w:rPr>
          <w:rFonts w:ascii="Times New Roman" w:eastAsia="SimSun" w:hAnsi="Times New Roman" w:cs="Times New Roman"/>
          <w:sz w:val="28"/>
          <w:szCs w:val="28"/>
          <w:lang w:val="en-GB"/>
        </w:rPr>
        <w:t>.</w:t>
      </w:r>
      <w:bookmarkEnd w:id="6"/>
    </w:p>
    <w:p w:rsidR="0021723C" w:rsidRPr="00EE08C7" w:rsidRDefault="00CB7ED6">
      <w:pPr>
        <w:numPr>
          <w:ilvl w:val="0"/>
          <w:numId w:val="2"/>
        </w:numPr>
        <w:spacing w:after="0" w:line="360" w:lineRule="auto"/>
        <w:ind w:left="0" w:firstLine="708"/>
        <w:contextualSpacing/>
        <w:jc w:val="both"/>
        <w:rPr>
          <w:lang w:val="en-GB"/>
        </w:rPr>
      </w:pPr>
      <w:bookmarkStart w:id="7" w:name="_Hlk502933854"/>
      <w:r w:rsidRPr="00EE08C7">
        <w:rPr>
          <w:rFonts w:ascii="Times New Roman" w:eastAsia="Times New Roman" w:hAnsi="Times New Roman" w:cs="Times New Roman"/>
          <w:sz w:val="28"/>
          <w:szCs w:val="28"/>
          <w:lang w:val="en-GB"/>
        </w:rPr>
        <w:t xml:space="preserve">By </w:t>
      </w:r>
      <w:r w:rsidR="0021723C" w:rsidRPr="00EE08C7">
        <w:rPr>
          <w:rFonts w:ascii="Times New Roman" w:eastAsia="Times New Roman" w:hAnsi="Times New Roman" w:cs="Times New Roman"/>
          <w:sz w:val="28"/>
          <w:szCs w:val="28"/>
          <w:lang w:val="en-GB"/>
        </w:rPr>
        <w:t xml:space="preserve">Letter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0021723C" w:rsidRPr="00EE08C7">
        <w:rPr>
          <w:rFonts w:ascii="Times New Roman" w:eastAsia="Times New Roman" w:hAnsi="Times New Roman" w:cs="Times New Roman"/>
          <w:sz w:val="28"/>
          <w:szCs w:val="28"/>
          <w:lang w:val="en-GB"/>
        </w:rPr>
        <w:t xml:space="preserve">2/11469 of 18 December 2018, the Secretary-General of the Chamber of Deputies sent </w:t>
      </w:r>
      <w:r w:rsidRPr="00EE08C7">
        <w:rPr>
          <w:rFonts w:ascii="Times New Roman" w:eastAsia="Times New Roman" w:hAnsi="Times New Roman" w:cs="Times New Roman"/>
          <w:sz w:val="28"/>
          <w:szCs w:val="28"/>
          <w:lang w:val="en-GB"/>
        </w:rPr>
        <w:t xml:space="preserve">to </w:t>
      </w:r>
      <w:r w:rsidR="0021723C" w:rsidRPr="00EE08C7">
        <w:rPr>
          <w:rFonts w:ascii="Times New Roman" w:eastAsia="Times New Roman" w:hAnsi="Times New Roman" w:cs="Times New Roman"/>
          <w:sz w:val="28"/>
          <w:szCs w:val="28"/>
          <w:lang w:val="en-GB"/>
        </w:rPr>
        <w:t xml:space="preserve">the Constitutional Court </w:t>
      </w:r>
      <w:r w:rsidR="007C45DC" w:rsidRPr="00EE08C7">
        <w:rPr>
          <w:rFonts w:ascii="Times New Roman" w:eastAsia="Times New Roman" w:hAnsi="Times New Roman" w:cs="Times New Roman"/>
          <w:sz w:val="28"/>
          <w:szCs w:val="28"/>
          <w:lang w:val="en-GB"/>
        </w:rPr>
        <w:t xml:space="preserve">the formulated referral of unconstitutionality, </w:t>
      </w:r>
      <w:r w:rsidR="0021723C" w:rsidRPr="00EE08C7">
        <w:rPr>
          <w:rFonts w:ascii="Times New Roman" w:eastAsia="Times New Roman" w:hAnsi="Times New Roman" w:cs="Times New Roman"/>
          <w:sz w:val="28"/>
          <w:szCs w:val="28"/>
          <w:lang w:val="en-GB"/>
        </w:rPr>
        <w:t xml:space="preserve">which was registered at the Constitutional Court under </w:t>
      </w:r>
      <w:r w:rsidR="00A565F6">
        <w:rPr>
          <w:rFonts w:ascii="Times New Roman" w:eastAsia="Times New Roman" w:hAnsi="Times New Roman" w:cs="Times New Roman"/>
          <w:sz w:val="28"/>
          <w:szCs w:val="28"/>
          <w:lang w:val="en-GB"/>
        </w:rPr>
        <w:t xml:space="preserve">no. </w:t>
      </w:r>
      <w:r w:rsidR="0021723C" w:rsidRPr="00EE08C7">
        <w:rPr>
          <w:rFonts w:ascii="Times New Roman" w:eastAsia="Times New Roman" w:hAnsi="Times New Roman" w:cs="Times New Roman"/>
          <w:sz w:val="28"/>
          <w:szCs w:val="28"/>
          <w:lang w:val="en-GB"/>
        </w:rPr>
        <w:t>10621 of 18 Decem</w:t>
      </w:r>
      <w:r w:rsidR="007C45DC" w:rsidRPr="00EE08C7">
        <w:rPr>
          <w:rFonts w:ascii="Times New Roman" w:eastAsia="Times New Roman" w:hAnsi="Times New Roman" w:cs="Times New Roman"/>
          <w:sz w:val="28"/>
          <w:szCs w:val="28"/>
          <w:lang w:val="en-GB"/>
        </w:rPr>
        <w:t xml:space="preserve">ber 2018 and is </w:t>
      </w:r>
      <w:r w:rsidR="0021723C" w:rsidRPr="00EE08C7">
        <w:rPr>
          <w:rFonts w:ascii="Times New Roman" w:eastAsia="Times New Roman" w:hAnsi="Times New Roman" w:cs="Times New Roman"/>
          <w:sz w:val="28"/>
          <w:szCs w:val="28"/>
          <w:lang w:val="en-GB"/>
        </w:rPr>
        <w:t xml:space="preserve">the </w:t>
      </w:r>
      <w:r w:rsidR="007C45DC" w:rsidRPr="00EE08C7">
        <w:rPr>
          <w:rFonts w:ascii="Times New Roman" w:eastAsia="Times New Roman" w:hAnsi="Times New Roman" w:cs="Times New Roman"/>
          <w:sz w:val="28"/>
          <w:szCs w:val="28"/>
          <w:lang w:val="en-GB"/>
        </w:rPr>
        <w:t xml:space="preserve">object </w:t>
      </w:r>
      <w:r w:rsidR="0021723C" w:rsidRPr="00EE08C7">
        <w:rPr>
          <w:rFonts w:ascii="Times New Roman" w:eastAsia="Times New Roman" w:hAnsi="Times New Roman" w:cs="Times New Roman"/>
          <w:sz w:val="28"/>
          <w:szCs w:val="28"/>
          <w:lang w:val="en-GB"/>
        </w:rPr>
        <w:t xml:space="preserve">of Case </w:t>
      </w:r>
      <w:r w:rsidR="00A565F6">
        <w:rPr>
          <w:rFonts w:ascii="Times New Roman" w:eastAsia="Times New Roman" w:hAnsi="Times New Roman" w:cs="Times New Roman"/>
          <w:sz w:val="28"/>
          <w:szCs w:val="28"/>
          <w:lang w:val="en-GB"/>
        </w:rPr>
        <w:t>no.</w:t>
      </w:r>
      <w:r w:rsidR="0021723C" w:rsidRPr="00EE08C7">
        <w:rPr>
          <w:rFonts w:ascii="Times New Roman" w:eastAsia="Times New Roman" w:hAnsi="Times New Roman" w:cs="Times New Roman"/>
          <w:sz w:val="28"/>
          <w:szCs w:val="28"/>
          <w:lang w:val="en-GB"/>
        </w:rPr>
        <w:t xml:space="preserve"> 2277A/2018.</w:t>
      </w:r>
      <w:bookmarkEnd w:id="7"/>
    </w:p>
    <w:p w:rsidR="0021723C" w:rsidRPr="00EE08C7" w:rsidRDefault="0021723C">
      <w:pPr>
        <w:numPr>
          <w:ilvl w:val="0"/>
          <w:numId w:val="2"/>
        </w:numPr>
        <w:spacing w:after="0" w:line="360" w:lineRule="auto"/>
        <w:ind w:left="0" w:firstLine="708"/>
        <w:contextualSpacing/>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lastRenderedPageBreak/>
        <w:t xml:space="preserve"> </w:t>
      </w:r>
      <w:r w:rsidR="007C45DC" w:rsidRPr="00EE08C7">
        <w:rPr>
          <w:rFonts w:ascii="Times New Roman" w:eastAsia="Times New Roman" w:hAnsi="Times New Roman" w:cs="Times New Roman"/>
          <w:sz w:val="28"/>
          <w:szCs w:val="28"/>
          <w:lang w:val="en-GB"/>
        </w:rPr>
        <w:t>B</w:t>
      </w:r>
      <w:r w:rsidRPr="00EE08C7">
        <w:rPr>
          <w:rFonts w:ascii="Times New Roman" w:eastAsia="Times New Roman" w:hAnsi="Times New Roman" w:cs="Times New Roman"/>
          <w:sz w:val="28"/>
          <w:szCs w:val="28"/>
          <w:lang w:val="en-GB"/>
        </w:rPr>
        <w:t xml:space="preserve">y </w:t>
      </w:r>
      <w:r w:rsidR="007C45DC" w:rsidRPr="00EE08C7">
        <w:rPr>
          <w:rFonts w:ascii="Times New Roman" w:eastAsia="Times New Roman" w:hAnsi="Times New Roman" w:cs="Times New Roman"/>
          <w:sz w:val="28"/>
          <w:szCs w:val="28"/>
          <w:lang w:val="en-GB"/>
        </w:rPr>
        <w:t xml:space="preserve">the referral </w:t>
      </w:r>
      <w:r w:rsidR="001023D7" w:rsidRPr="00EE08C7">
        <w:rPr>
          <w:rFonts w:ascii="Times New Roman" w:eastAsia="Times New Roman" w:hAnsi="Times New Roman" w:cs="Times New Roman"/>
          <w:sz w:val="28"/>
          <w:szCs w:val="28"/>
          <w:lang w:val="en-GB"/>
        </w:rPr>
        <w:t xml:space="preserve">brought before </w:t>
      </w:r>
      <w:r w:rsidRPr="00EE08C7">
        <w:rPr>
          <w:rFonts w:ascii="Times New Roman" w:eastAsia="Times New Roman" w:hAnsi="Times New Roman" w:cs="Times New Roman"/>
          <w:sz w:val="28"/>
          <w:szCs w:val="28"/>
          <w:lang w:val="en-GB"/>
        </w:rPr>
        <w:t xml:space="preserve">the Constitutional Court, the authors of </w:t>
      </w:r>
      <w:r w:rsidR="001023D7"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objection of unconstitutionality </w:t>
      </w:r>
      <w:r w:rsidR="001023D7" w:rsidRPr="00EE08C7">
        <w:rPr>
          <w:rFonts w:ascii="Times New Roman" w:eastAsia="Times New Roman" w:hAnsi="Times New Roman" w:cs="Times New Roman"/>
          <w:sz w:val="28"/>
          <w:szCs w:val="28"/>
          <w:lang w:val="en-GB"/>
        </w:rPr>
        <w:t>formulate</w:t>
      </w:r>
      <w:r w:rsidRPr="00EE08C7">
        <w:rPr>
          <w:rFonts w:ascii="Times New Roman" w:eastAsia="Times New Roman" w:hAnsi="Times New Roman" w:cs="Times New Roman"/>
          <w:sz w:val="28"/>
          <w:szCs w:val="28"/>
          <w:lang w:val="en-GB"/>
        </w:rPr>
        <w:t xml:space="preserve">, </w:t>
      </w:r>
      <w:r w:rsidR="001023D7" w:rsidRPr="00EE08C7">
        <w:rPr>
          <w:rFonts w:ascii="Times New Roman" w:eastAsia="Times New Roman" w:hAnsi="Times New Roman" w:cs="Times New Roman"/>
          <w:sz w:val="28"/>
          <w:szCs w:val="28"/>
          <w:lang w:val="en-GB"/>
        </w:rPr>
        <w:t>in advance</w:t>
      </w:r>
      <w:r w:rsidRPr="00EE08C7">
        <w:rPr>
          <w:rFonts w:ascii="Times New Roman" w:eastAsia="Times New Roman" w:hAnsi="Times New Roman" w:cs="Times New Roman"/>
          <w:sz w:val="28"/>
          <w:szCs w:val="28"/>
          <w:lang w:val="en-GB"/>
        </w:rPr>
        <w:t>, under the provisions of Article 267 of the Treaty on the Func</w:t>
      </w:r>
      <w:r w:rsidR="00A565F6">
        <w:rPr>
          <w:rFonts w:ascii="Times New Roman" w:eastAsia="Times New Roman" w:hAnsi="Times New Roman" w:cs="Times New Roman"/>
          <w:sz w:val="28"/>
          <w:szCs w:val="28"/>
          <w:lang w:val="en-GB"/>
        </w:rPr>
        <w:t>tioning of the European Union (</w:t>
      </w:r>
      <w:r w:rsidRPr="00EE08C7">
        <w:rPr>
          <w:rFonts w:ascii="Times New Roman" w:eastAsia="Times New Roman" w:hAnsi="Times New Roman" w:cs="Times New Roman"/>
          <w:sz w:val="28"/>
          <w:szCs w:val="28"/>
          <w:lang w:val="en-GB"/>
        </w:rPr>
        <w:t>TFEU</w:t>
      </w:r>
      <w:r w:rsidR="00A565F6">
        <w:rPr>
          <w:rFonts w:ascii="Times New Roman" w:eastAsia="Times New Roman" w:hAnsi="Times New Roman" w:cs="Times New Roman"/>
          <w:sz w:val="28"/>
          <w:szCs w:val="28"/>
          <w:lang w:val="en-GB"/>
        </w:rPr>
        <w:t xml:space="preserve"> or </w:t>
      </w:r>
      <w:r w:rsidRPr="00EE08C7">
        <w:rPr>
          <w:rFonts w:ascii="Times New Roman" w:eastAsia="Times New Roman" w:hAnsi="Times New Roman" w:cs="Times New Roman"/>
          <w:sz w:val="28"/>
          <w:szCs w:val="28"/>
          <w:lang w:val="en-GB"/>
        </w:rPr>
        <w:t>Treaty),</w:t>
      </w:r>
      <w:bookmarkStart w:id="8" w:name="_Hlk3560668"/>
      <w:r w:rsidRPr="00EE08C7">
        <w:rPr>
          <w:rFonts w:ascii="Times New Roman" w:eastAsia="Times New Roman" w:hAnsi="Times New Roman" w:cs="Times New Roman"/>
          <w:b/>
          <w:sz w:val="28"/>
          <w:szCs w:val="28"/>
          <w:lang w:val="en-GB"/>
        </w:rPr>
        <w:t xml:space="preserve"> a request for preliminary questions</w:t>
      </w:r>
      <w:r w:rsidRPr="00EE08C7">
        <w:rPr>
          <w:rFonts w:ascii="Times New Roman" w:eastAsia="Times New Roman" w:hAnsi="Times New Roman" w:cs="Times New Roman"/>
          <w:sz w:val="28"/>
          <w:szCs w:val="28"/>
          <w:lang w:val="en-GB"/>
        </w:rPr>
        <w:t xml:space="preserve"> </w:t>
      </w:r>
      <w:bookmarkEnd w:id="8"/>
      <w:r w:rsidRPr="00EE08C7">
        <w:rPr>
          <w:rFonts w:ascii="Times New Roman" w:eastAsia="Times New Roman" w:hAnsi="Times New Roman" w:cs="Times New Roman"/>
          <w:b/>
          <w:sz w:val="28"/>
          <w:szCs w:val="28"/>
          <w:lang w:val="en-GB"/>
        </w:rPr>
        <w:t>to the Court of Justice of the European Union</w:t>
      </w:r>
      <w:r w:rsidRPr="00EE08C7">
        <w:rPr>
          <w:rFonts w:ascii="Times New Roman" w:eastAsia="Times New Roman" w:hAnsi="Times New Roman" w:cs="Times New Roman"/>
          <w:b/>
          <w:i/>
          <w:sz w:val="28"/>
          <w:szCs w:val="28"/>
          <w:lang w:val="en-GB"/>
        </w:rPr>
        <w:t xml:space="preserve"> (CJEU)</w:t>
      </w:r>
      <w:r w:rsidRPr="00EE08C7">
        <w:rPr>
          <w:rFonts w:ascii="Times New Roman" w:eastAsia="Times New Roman" w:hAnsi="Times New Roman" w:cs="Times New Roman"/>
          <w:sz w:val="28"/>
          <w:szCs w:val="28"/>
          <w:lang w:val="en-GB"/>
        </w:rPr>
        <w:t xml:space="preserve">, as well as </w:t>
      </w:r>
      <w:r w:rsidRPr="00EE08C7">
        <w:rPr>
          <w:rFonts w:ascii="Times New Roman" w:eastAsia="Times New Roman" w:hAnsi="Times New Roman" w:cs="Times New Roman"/>
          <w:b/>
          <w:sz w:val="28"/>
          <w:szCs w:val="28"/>
          <w:lang w:val="en-GB"/>
        </w:rPr>
        <w:t xml:space="preserve">a request for a suspension of the settlement of the </w:t>
      </w:r>
      <w:r w:rsidR="001023D7" w:rsidRPr="00EE08C7">
        <w:rPr>
          <w:rFonts w:ascii="Times New Roman" w:eastAsia="Times New Roman" w:hAnsi="Times New Roman" w:cs="Times New Roman"/>
          <w:b/>
          <w:sz w:val="28"/>
          <w:szCs w:val="28"/>
          <w:lang w:val="en-GB"/>
        </w:rPr>
        <w:t xml:space="preserve">case </w:t>
      </w:r>
      <w:r w:rsidRPr="00EE08C7">
        <w:rPr>
          <w:rFonts w:ascii="Times New Roman" w:eastAsia="Times New Roman" w:hAnsi="Times New Roman" w:cs="Times New Roman"/>
          <w:b/>
          <w:sz w:val="28"/>
          <w:szCs w:val="28"/>
          <w:lang w:val="en-GB"/>
        </w:rPr>
        <w:t xml:space="preserve">subject to constitutional review </w:t>
      </w:r>
      <w:r w:rsidR="00DB180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pending </w:t>
      </w:r>
      <w:r w:rsidR="00DB1806" w:rsidRPr="00EE08C7">
        <w:rPr>
          <w:rFonts w:ascii="Times New Roman" w:eastAsia="Times New Roman" w:hAnsi="Times New Roman" w:cs="Times New Roman"/>
          <w:sz w:val="28"/>
          <w:szCs w:val="28"/>
          <w:lang w:val="en-GB"/>
        </w:rPr>
        <w:t xml:space="preserve">delivery of </w:t>
      </w:r>
      <w:r w:rsidRPr="00EE08C7">
        <w:rPr>
          <w:rFonts w:ascii="Times New Roman" w:eastAsia="Times New Roman" w:hAnsi="Times New Roman" w:cs="Times New Roman"/>
          <w:sz w:val="28"/>
          <w:szCs w:val="28"/>
          <w:lang w:val="en-GB"/>
        </w:rPr>
        <w:t>a preliminary ruling by the CJEU on the questions raised</w:t>
      </w:r>
      <w:r w:rsidR="00DB180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DB1806" w:rsidRPr="00EE08C7">
        <w:rPr>
          <w:rFonts w:ascii="Times New Roman" w:eastAsia="Times New Roman" w:hAnsi="Times New Roman" w:cs="Times New Roman"/>
          <w:sz w:val="28"/>
          <w:szCs w:val="28"/>
          <w:lang w:val="en-GB"/>
        </w:rPr>
        <w:t>It e</w:t>
      </w:r>
      <w:r w:rsidRPr="00EE08C7">
        <w:rPr>
          <w:rFonts w:ascii="Times New Roman" w:eastAsia="Times New Roman" w:hAnsi="Times New Roman" w:cs="Times New Roman"/>
          <w:sz w:val="28"/>
          <w:szCs w:val="28"/>
          <w:lang w:val="en-GB"/>
        </w:rPr>
        <w:t>xplain</w:t>
      </w:r>
      <w:r w:rsidR="00DB1806"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that, </w:t>
      </w:r>
      <w:r w:rsidR="00DB180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in the context in which the Parliament </w:t>
      </w:r>
      <w:r w:rsidR="00DB1806" w:rsidRPr="00EE08C7">
        <w:rPr>
          <w:rFonts w:ascii="Times New Roman" w:eastAsia="Times New Roman" w:hAnsi="Times New Roman" w:cs="Times New Roman"/>
          <w:sz w:val="28"/>
          <w:szCs w:val="28"/>
          <w:lang w:val="en-GB"/>
        </w:rPr>
        <w:t xml:space="preserve">of Romania </w:t>
      </w:r>
      <w:r w:rsidRPr="00EE08C7">
        <w:rPr>
          <w:rFonts w:ascii="Times New Roman" w:eastAsia="Times New Roman" w:hAnsi="Times New Roman" w:cs="Times New Roman"/>
          <w:sz w:val="28"/>
          <w:szCs w:val="28"/>
          <w:lang w:val="en-GB"/>
        </w:rPr>
        <w:t xml:space="preserve">adopted the legislative proposal amending </w:t>
      </w:r>
      <w:r w:rsidR="00DB1806" w:rsidRPr="00EE08C7">
        <w:rPr>
          <w:rFonts w:ascii="Times New Roman" w:eastAsia="Times New Roman" w:hAnsi="Times New Roman" w:cs="Times New Roman"/>
          <w:sz w:val="28"/>
          <w:szCs w:val="28"/>
          <w:lang w:val="en-GB"/>
        </w:rPr>
        <w:t xml:space="preserve">and completing </w:t>
      </w:r>
      <w:r w:rsidRPr="00EE08C7">
        <w:rPr>
          <w:rFonts w:ascii="Times New Roman" w:eastAsia="Times New Roman" w:hAnsi="Times New Roman" w:cs="Times New Roman"/>
          <w:sz w:val="28"/>
          <w:szCs w:val="28"/>
          <w:lang w:val="en-GB"/>
        </w:rPr>
        <w:t xml:space="preserve">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303/2004 on the status of judges and prosecutors, (now </w:t>
      </w:r>
      <w:r w:rsidR="00625E6E" w:rsidRPr="00EE08C7">
        <w:rPr>
          <w:rFonts w:ascii="Times New Roman" w:eastAsia="Times New Roman" w:hAnsi="Times New Roman" w:cs="Times New Roman"/>
          <w:sz w:val="28"/>
          <w:szCs w:val="28"/>
          <w:lang w:val="en-GB"/>
        </w:rPr>
        <w:t>a</w:t>
      </w:r>
      <w:r w:rsidRPr="00EE08C7">
        <w:rPr>
          <w:rFonts w:ascii="Times New Roman" w:eastAsia="Times New Roman" w:hAnsi="Times New Roman" w:cs="Times New Roman"/>
          <w:sz w:val="28"/>
          <w:szCs w:val="28"/>
          <w:lang w:val="en-GB"/>
        </w:rPr>
        <w:t xml:space="preserve"> law to be transmitted for promulgation)</w:t>
      </w:r>
      <w:r w:rsidR="00625E6E"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the Report of the European Commission under the Cooperation </w:t>
      </w:r>
      <w:r w:rsidR="00A565F6" w:rsidRPr="00EE08C7">
        <w:rPr>
          <w:rFonts w:ascii="Times New Roman" w:eastAsia="Times New Roman" w:hAnsi="Times New Roman" w:cs="Times New Roman"/>
          <w:sz w:val="28"/>
          <w:szCs w:val="28"/>
          <w:lang w:val="en-GB"/>
        </w:rPr>
        <w:t xml:space="preserve">and Verification Mechanism </w:t>
      </w:r>
      <w:r w:rsidRPr="00EE08C7">
        <w:rPr>
          <w:rFonts w:ascii="Times New Roman" w:eastAsia="Times New Roman" w:hAnsi="Times New Roman" w:cs="Times New Roman"/>
          <w:i/>
          <w:sz w:val="28"/>
          <w:szCs w:val="28"/>
          <w:lang w:val="en-GB"/>
        </w:rPr>
        <w:t>(</w:t>
      </w:r>
      <w:r w:rsidR="00A565F6">
        <w:rPr>
          <w:rFonts w:ascii="Times New Roman" w:eastAsia="Times New Roman" w:hAnsi="Times New Roman" w:cs="Times New Roman"/>
          <w:i/>
          <w:sz w:val="28"/>
          <w:szCs w:val="28"/>
          <w:lang w:val="en-GB"/>
        </w:rPr>
        <w:t>CVM</w:t>
      </w:r>
      <w:r w:rsidRPr="00EE08C7">
        <w:rPr>
          <w:rFonts w:ascii="Times New Roman" w:eastAsia="Times New Roman" w:hAnsi="Times New Roman" w:cs="Times New Roman"/>
          <w:i/>
          <w:sz w:val="28"/>
          <w:szCs w:val="28"/>
          <w:lang w:val="en-GB"/>
        </w:rPr>
        <w:t>)</w:t>
      </w:r>
      <w:r w:rsidRPr="00EE08C7">
        <w:rPr>
          <w:rFonts w:ascii="Times New Roman" w:eastAsia="Times New Roman" w:hAnsi="Times New Roman" w:cs="Times New Roman"/>
          <w:sz w:val="28"/>
          <w:szCs w:val="28"/>
          <w:lang w:val="en-GB"/>
        </w:rPr>
        <w:t xml:space="preserve"> of 13 November 2018 required </w:t>
      </w:r>
      <w:r w:rsidR="00625E6E" w:rsidRPr="00EE08C7">
        <w:rPr>
          <w:rFonts w:ascii="Times New Roman" w:eastAsia="Times New Roman" w:hAnsi="Times New Roman" w:cs="Times New Roman"/>
          <w:sz w:val="28"/>
          <w:szCs w:val="28"/>
          <w:lang w:val="en-GB"/>
        </w:rPr>
        <w:t xml:space="preserve">from </w:t>
      </w:r>
      <w:r w:rsidRPr="00EE08C7">
        <w:rPr>
          <w:rFonts w:ascii="Times New Roman" w:eastAsia="Times New Roman" w:hAnsi="Times New Roman" w:cs="Times New Roman"/>
          <w:sz w:val="28"/>
          <w:szCs w:val="28"/>
          <w:lang w:val="en-GB"/>
        </w:rPr>
        <w:t xml:space="preserve">Romania 8 new recommendations, including on the </w:t>
      </w:r>
      <w:r w:rsidR="00625E6E" w:rsidRPr="00EE08C7">
        <w:rPr>
          <w:rFonts w:ascii="Times New Roman" w:eastAsia="Times New Roman" w:hAnsi="Times New Roman" w:cs="Times New Roman"/>
          <w:sz w:val="28"/>
          <w:szCs w:val="28"/>
          <w:lang w:val="en-GB"/>
        </w:rPr>
        <w:t xml:space="preserve">Laws </w:t>
      </w:r>
      <w:r w:rsidRPr="00EE08C7">
        <w:rPr>
          <w:rFonts w:ascii="Times New Roman" w:eastAsia="Times New Roman" w:hAnsi="Times New Roman" w:cs="Times New Roman"/>
          <w:sz w:val="28"/>
          <w:szCs w:val="28"/>
          <w:lang w:val="en-GB"/>
        </w:rPr>
        <w:t xml:space="preserve">of justice, the immediate suspension of their implementation and </w:t>
      </w:r>
      <w:r w:rsidR="00E65258"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 xml:space="preserve">subsequent emergency ordinances, as well as their revision, taking full account of the recommendations </w:t>
      </w:r>
      <w:r w:rsidR="00E65258" w:rsidRPr="00EE08C7">
        <w:rPr>
          <w:rFonts w:ascii="Times New Roman" w:eastAsia="Times New Roman" w:hAnsi="Times New Roman" w:cs="Times New Roman"/>
          <w:sz w:val="28"/>
          <w:szCs w:val="28"/>
          <w:lang w:val="en-GB"/>
        </w:rPr>
        <w:t xml:space="preserve">formulated within the </w:t>
      </w:r>
      <w:r w:rsidR="00BF7E59">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xml:space="preserve">, the recommendations of the Venice Commission and </w:t>
      </w:r>
      <w:r w:rsidR="00E65258"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GRE</w:t>
      </w:r>
      <w:r w:rsidR="00BF7E59">
        <w:rPr>
          <w:rFonts w:ascii="Times New Roman" w:eastAsia="Times New Roman" w:hAnsi="Times New Roman" w:cs="Times New Roman"/>
          <w:sz w:val="28"/>
          <w:szCs w:val="28"/>
          <w:lang w:val="en-GB"/>
        </w:rPr>
        <w:t>C</w:t>
      </w:r>
      <w:r w:rsidRPr="00EE08C7">
        <w:rPr>
          <w:rFonts w:ascii="Times New Roman" w:eastAsia="Times New Roman" w:hAnsi="Times New Roman" w:cs="Times New Roman"/>
          <w:sz w:val="28"/>
          <w:szCs w:val="28"/>
          <w:lang w:val="en-GB"/>
        </w:rPr>
        <w:t>O.</w:t>
      </w:r>
      <w:bookmarkStart w:id="9" w:name="_Hlk536007477"/>
      <w:r w:rsidRPr="00EE08C7">
        <w:rPr>
          <w:rFonts w:ascii="Times New Roman" w:eastAsia="Times New Roman" w:hAnsi="Times New Roman" w:cs="Times New Roman"/>
          <w:sz w:val="28"/>
          <w:szCs w:val="28"/>
          <w:lang w:val="en-GB"/>
        </w:rPr>
        <w:t xml:space="preserve"> As a result of the failure </w:t>
      </w:r>
      <w:r w:rsidR="00E064D6" w:rsidRPr="00EE08C7">
        <w:rPr>
          <w:rFonts w:ascii="Times New Roman" w:eastAsia="Times New Roman" w:hAnsi="Times New Roman" w:cs="Times New Roman"/>
          <w:sz w:val="28"/>
          <w:szCs w:val="28"/>
          <w:lang w:val="en-GB"/>
        </w:rPr>
        <w:t>by</w:t>
      </w:r>
      <w:r w:rsidRPr="00EE08C7">
        <w:rPr>
          <w:lang w:val="en-GB"/>
        </w:rPr>
        <w:t xml:space="preserve"> </w:t>
      </w:r>
      <w:r w:rsidRPr="00EE08C7">
        <w:rPr>
          <w:rFonts w:ascii="Times New Roman" w:hAnsi="Times New Roman" w:cs="Times New Roman"/>
          <w:sz w:val="28"/>
          <w:szCs w:val="28"/>
          <w:lang w:val="en-GB"/>
        </w:rPr>
        <w:t xml:space="preserve">the Romanian State to comply with these provisions, the authors of the request claim that </w:t>
      </w:r>
      <w:r w:rsidR="00E064D6"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the referral </w:t>
      </w:r>
      <w:r w:rsidR="00E064D6" w:rsidRPr="00EE08C7">
        <w:rPr>
          <w:rFonts w:ascii="Times New Roman" w:hAnsi="Times New Roman" w:cs="Times New Roman"/>
          <w:sz w:val="28"/>
          <w:szCs w:val="28"/>
          <w:lang w:val="en-GB"/>
        </w:rPr>
        <w:t>by</w:t>
      </w:r>
      <w:r w:rsidRPr="00EE08C7">
        <w:rPr>
          <w:rFonts w:ascii="Times New Roman" w:hAnsi="Times New Roman" w:cs="Times New Roman"/>
          <w:sz w:val="28"/>
          <w:szCs w:val="28"/>
          <w:lang w:val="en-GB"/>
        </w:rPr>
        <w:t xml:space="preserve"> the national court of the Court of Justice of the European Union becomes the main legal instrument of constraint for the non-violation of </w:t>
      </w:r>
      <w:r w:rsidR="00070787" w:rsidRPr="00EE08C7">
        <w:rPr>
          <w:rFonts w:ascii="Times New Roman" w:hAnsi="Times New Roman" w:cs="Times New Roman"/>
          <w:sz w:val="28"/>
          <w:szCs w:val="28"/>
          <w:lang w:val="en-GB"/>
        </w:rPr>
        <w:t xml:space="preserve">EU </w:t>
      </w:r>
      <w:r w:rsidRPr="00EE08C7">
        <w:rPr>
          <w:rFonts w:ascii="Times New Roman" w:hAnsi="Times New Roman" w:cs="Times New Roman"/>
          <w:sz w:val="28"/>
          <w:szCs w:val="28"/>
          <w:lang w:val="en-GB"/>
        </w:rPr>
        <w:t xml:space="preserve">obligations. </w:t>
      </w:r>
      <w:bookmarkEnd w:id="9"/>
      <w:r w:rsidR="00070787" w:rsidRPr="00EE08C7">
        <w:rPr>
          <w:rFonts w:ascii="Times New Roman" w:eastAsia="Times New Roman" w:hAnsi="Times New Roman" w:cs="Times New Roman"/>
          <w:sz w:val="28"/>
          <w:szCs w:val="28"/>
          <w:lang w:val="en-GB"/>
        </w:rPr>
        <w:t>A</w:t>
      </w:r>
      <w:r w:rsidRPr="00EE08C7">
        <w:rPr>
          <w:rFonts w:ascii="Times New Roman" w:eastAsia="Times New Roman" w:hAnsi="Times New Roman" w:cs="Times New Roman"/>
          <w:sz w:val="28"/>
          <w:szCs w:val="28"/>
          <w:lang w:val="en-GB"/>
        </w:rPr>
        <w:t xml:space="preserve">ccording to the case-law of the CJEU, a Member State is not exempted from liability if a breach of its EU obligations can be attributed, in whole or in part, to errors of interpretation or application of the relevant EU rules, including </w:t>
      </w:r>
      <w:r w:rsidR="00070787" w:rsidRPr="00EE08C7">
        <w:rPr>
          <w:rFonts w:ascii="Times New Roman" w:eastAsia="Times New Roman" w:hAnsi="Times New Roman" w:cs="Times New Roman"/>
          <w:sz w:val="28"/>
          <w:szCs w:val="28"/>
          <w:lang w:val="en-GB"/>
        </w:rPr>
        <w:t xml:space="preserve">by </w:t>
      </w:r>
      <w:r w:rsidRPr="00EE08C7">
        <w:rPr>
          <w:rFonts w:ascii="Times New Roman" w:eastAsia="Times New Roman" w:hAnsi="Times New Roman" w:cs="Times New Roman"/>
          <w:sz w:val="28"/>
          <w:szCs w:val="28"/>
          <w:lang w:val="en-GB"/>
        </w:rPr>
        <w:t>its national courts”. In this respect, Opinion 1/2009, Judgment of 12 November 2009, Commission v Spain (C-L 54/08), Judgment of 6 October 2011, Commission v Italy, C-302/09, Judgment of 22 December 2010, Commission v Italy, C-3 04/09, Judgement of 29 March 2012, Commission v Italy, C-243/10</w:t>
      </w:r>
      <w:r w:rsidR="00070787" w:rsidRPr="00EE08C7">
        <w:rPr>
          <w:rFonts w:ascii="Times New Roman" w:eastAsia="Times New Roman" w:hAnsi="Times New Roman" w:cs="Times New Roman"/>
          <w:sz w:val="28"/>
          <w:szCs w:val="28"/>
          <w:lang w:val="en-GB"/>
        </w:rPr>
        <w:t xml:space="preserve"> are invoked</w:t>
      </w:r>
      <w:r w:rsidRPr="00EE08C7">
        <w:rPr>
          <w:rFonts w:ascii="Times New Roman" w:eastAsia="Times New Roman" w:hAnsi="Times New Roman" w:cs="Times New Roman"/>
          <w:sz w:val="28"/>
          <w:szCs w:val="28"/>
          <w:lang w:val="en-GB"/>
        </w:rPr>
        <w:t>.</w:t>
      </w:r>
    </w:p>
    <w:p w:rsidR="0021723C" w:rsidRPr="00EE08C7" w:rsidRDefault="0021723C">
      <w:pPr>
        <w:numPr>
          <w:ilvl w:val="0"/>
          <w:numId w:val="2"/>
        </w:numPr>
        <w:spacing w:after="0" w:line="360" w:lineRule="auto"/>
        <w:ind w:left="0" w:firstLine="708"/>
        <w:contextualSpacing/>
        <w:jc w:val="both"/>
        <w:rPr>
          <w:lang w:val="en-GB"/>
        </w:rPr>
      </w:pPr>
      <w:r w:rsidRPr="00EE08C7">
        <w:rPr>
          <w:rFonts w:ascii="Times New Roman" w:eastAsia="Times New Roman" w:hAnsi="Times New Roman" w:cs="Times New Roman"/>
          <w:sz w:val="28"/>
          <w:szCs w:val="28"/>
          <w:lang w:val="en-GB"/>
        </w:rPr>
        <w:t>The four preliminary questions are the following:</w:t>
      </w:r>
    </w:p>
    <w:p w:rsidR="0021723C" w:rsidRPr="00EE08C7" w:rsidRDefault="0021723C">
      <w:pPr>
        <w:spacing w:after="0" w:line="360" w:lineRule="auto"/>
        <w:ind w:firstLine="708"/>
        <w:jc w:val="both"/>
        <w:rPr>
          <w:lang w:val="en-GB"/>
        </w:rPr>
      </w:pPr>
      <w:r w:rsidRPr="00EE08C7">
        <w:rPr>
          <w:rFonts w:ascii="Times New Roman" w:eastAsia="Times New Roman" w:hAnsi="Times New Roman" w:cs="Times New Roman"/>
          <w:sz w:val="28"/>
          <w:szCs w:val="28"/>
          <w:lang w:val="en-GB"/>
        </w:rPr>
        <w:lastRenderedPageBreak/>
        <w:t xml:space="preserve"> (</w:t>
      </w:r>
      <w:r w:rsidR="00D96C1F"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Should the Cooperation and Verification Mechanism (</w:t>
      </w:r>
      <w:r w:rsidR="00BF7E59">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established by European Commission Decision 2006/928/EC of 13 December 2006</w:t>
      </w:r>
      <w:r w:rsidR="00D96C1F"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be regarded as an act adopted by an institution of the European Union</w:t>
      </w:r>
      <w:r w:rsidR="00D96C1F"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within the meaning of Article 267 TFEU, which act may be subject to the interpretation of the Court of Justice of the European Union?</w:t>
      </w:r>
    </w:p>
    <w:p w:rsidR="0021723C" w:rsidRPr="00EE08C7" w:rsidRDefault="00D96C1F">
      <w:pPr>
        <w:spacing w:after="0" w:line="360" w:lineRule="auto"/>
        <w:ind w:firstLine="708"/>
        <w:jc w:val="both"/>
        <w:rPr>
          <w:lang w:val="en-GB"/>
        </w:rPr>
      </w:pPr>
      <w:r w:rsidRPr="00EE08C7">
        <w:rPr>
          <w:rFonts w:ascii="Times New Roman" w:eastAsia="Times New Roman" w:hAnsi="Times New Roman" w:cs="Times New Roman"/>
          <w:sz w:val="28"/>
          <w:szCs w:val="28"/>
          <w:lang w:val="en-GB"/>
        </w:rPr>
        <w:t>(ii</w:t>
      </w:r>
      <w:r w:rsidR="0021723C" w:rsidRPr="00EE08C7">
        <w:rPr>
          <w:rFonts w:ascii="Times New Roman" w:eastAsia="Times New Roman" w:hAnsi="Times New Roman" w:cs="Times New Roman"/>
          <w:sz w:val="28"/>
          <w:szCs w:val="28"/>
          <w:lang w:val="en-GB"/>
        </w:rPr>
        <w:t xml:space="preserve">) Does the content, nature and timing of the </w:t>
      </w:r>
      <w:r w:rsidR="00BF7E59">
        <w:rPr>
          <w:rFonts w:ascii="Times New Roman" w:eastAsia="Times New Roman" w:hAnsi="Times New Roman" w:cs="Times New Roman"/>
          <w:sz w:val="28"/>
          <w:szCs w:val="28"/>
          <w:lang w:val="en-GB"/>
        </w:rPr>
        <w:t>CVM</w:t>
      </w:r>
      <w:r w:rsidR="0021723C" w:rsidRPr="00EE08C7">
        <w:rPr>
          <w:rFonts w:ascii="Times New Roman" w:eastAsia="Times New Roman" w:hAnsi="Times New Roman" w:cs="Times New Roman"/>
          <w:sz w:val="28"/>
          <w:szCs w:val="28"/>
          <w:lang w:val="en-GB"/>
        </w:rPr>
        <w:t xml:space="preserve">, established </w:t>
      </w:r>
      <w:r w:rsidR="00D05E93" w:rsidRPr="00EE08C7">
        <w:rPr>
          <w:rFonts w:ascii="Times New Roman" w:eastAsia="Times New Roman" w:hAnsi="Times New Roman" w:cs="Times New Roman"/>
          <w:sz w:val="28"/>
          <w:szCs w:val="28"/>
          <w:lang w:val="en-GB"/>
        </w:rPr>
        <w:t>according to</w:t>
      </w:r>
      <w:r w:rsidR="0021723C" w:rsidRPr="00EE08C7">
        <w:rPr>
          <w:rFonts w:ascii="Times New Roman" w:eastAsia="Times New Roman" w:hAnsi="Times New Roman" w:cs="Times New Roman"/>
          <w:sz w:val="28"/>
          <w:szCs w:val="28"/>
          <w:lang w:val="en-GB"/>
        </w:rPr>
        <w:t xml:space="preserve"> European Commission Decision 2006/928/EC of 13 December 2006, fall within the Treaty concerning the </w:t>
      </w:r>
      <w:r w:rsidR="005F7818" w:rsidRPr="00EE08C7">
        <w:rPr>
          <w:rFonts w:ascii="Times New Roman" w:eastAsia="Times New Roman" w:hAnsi="Times New Roman" w:cs="Times New Roman"/>
          <w:sz w:val="28"/>
          <w:szCs w:val="28"/>
          <w:lang w:val="en-GB"/>
        </w:rPr>
        <w:t>accession</w:t>
      </w:r>
      <w:r w:rsidR="00D05E93" w:rsidRPr="00EE08C7">
        <w:rPr>
          <w:rFonts w:ascii="Times New Roman" w:eastAsia="Times New Roman" w:hAnsi="Times New Roman" w:cs="Times New Roman"/>
          <w:sz w:val="28"/>
          <w:szCs w:val="28"/>
          <w:lang w:val="en-GB"/>
        </w:rPr>
        <w:t xml:space="preserve"> </w:t>
      </w:r>
      <w:r w:rsidR="0021723C" w:rsidRPr="00EE08C7">
        <w:rPr>
          <w:rFonts w:ascii="Times New Roman" w:eastAsia="Times New Roman" w:hAnsi="Times New Roman" w:cs="Times New Roman"/>
          <w:sz w:val="28"/>
          <w:szCs w:val="28"/>
          <w:lang w:val="en-GB"/>
        </w:rPr>
        <w:t xml:space="preserve">of the Republic of Bulgaria and </w:t>
      </w:r>
      <w:r w:rsidR="00D05E93" w:rsidRPr="00EE08C7">
        <w:rPr>
          <w:rFonts w:ascii="Times New Roman" w:eastAsia="Times New Roman" w:hAnsi="Times New Roman" w:cs="Times New Roman"/>
          <w:sz w:val="28"/>
          <w:szCs w:val="28"/>
          <w:lang w:val="en-GB"/>
        </w:rPr>
        <w:t xml:space="preserve">of </w:t>
      </w:r>
      <w:r w:rsidR="0021723C" w:rsidRPr="00EE08C7">
        <w:rPr>
          <w:rFonts w:ascii="Times New Roman" w:eastAsia="Times New Roman" w:hAnsi="Times New Roman" w:cs="Times New Roman"/>
          <w:sz w:val="28"/>
          <w:szCs w:val="28"/>
          <w:lang w:val="en-GB"/>
        </w:rPr>
        <w:t xml:space="preserve">Romania to the European Union, signed by Romania in Luxembourg on 25 April 2005? Do the requirements in the reports drawn up </w:t>
      </w:r>
      <w:r w:rsidR="00D05E93" w:rsidRPr="00EE08C7">
        <w:rPr>
          <w:rFonts w:ascii="Times New Roman" w:eastAsia="Times New Roman" w:hAnsi="Times New Roman" w:cs="Times New Roman"/>
          <w:sz w:val="28"/>
          <w:szCs w:val="28"/>
          <w:lang w:val="en-GB"/>
        </w:rPr>
        <w:t xml:space="preserve">within </w:t>
      </w:r>
      <w:r w:rsidR="0021723C" w:rsidRPr="00EE08C7">
        <w:rPr>
          <w:rFonts w:ascii="Times New Roman" w:eastAsia="Times New Roman" w:hAnsi="Times New Roman" w:cs="Times New Roman"/>
          <w:sz w:val="28"/>
          <w:szCs w:val="28"/>
          <w:lang w:val="en-GB"/>
        </w:rPr>
        <w:t>this Mechanism are binding on the Romanian State?</w:t>
      </w:r>
    </w:p>
    <w:p w:rsidR="0021723C" w:rsidRPr="00EE08C7" w:rsidRDefault="0021723C">
      <w:pPr>
        <w:spacing w:after="0" w:line="360" w:lineRule="auto"/>
        <w:ind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w:t>
      </w:r>
      <w:r w:rsidR="00D05E93" w:rsidRPr="00EE08C7">
        <w:rPr>
          <w:rFonts w:ascii="Times New Roman" w:eastAsia="Times New Roman" w:hAnsi="Times New Roman" w:cs="Times New Roman"/>
          <w:sz w:val="28"/>
          <w:szCs w:val="28"/>
          <w:lang w:val="en-GB"/>
        </w:rPr>
        <w:t>iii</w:t>
      </w:r>
      <w:r w:rsidRPr="00EE08C7">
        <w:rPr>
          <w:rFonts w:ascii="Times New Roman" w:eastAsia="Times New Roman" w:hAnsi="Times New Roman" w:cs="Times New Roman"/>
          <w:sz w:val="28"/>
          <w:szCs w:val="28"/>
          <w:lang w:val="en-GB"/>
        </w:rPr>
        <w:t xml:space="preserve">) </w:t>
      </w:r>
      <w:r w:rsidR="00D05E93" w:rsidRPr="00EE08C7">
        <w:rPr>
          <w:rFonts w:ascii="Times New Roman" w:eastAsia="Times New Roman" w:hAnsi="Times New Roman" w:cs="Times New Roman"/>
          <w:sz w:val="28"/>
          <w:szCs w:val="28"/>
          <w:lang w:val="en-GB"/>
        </w:rPr>
        <w:t xml:space="preserve">Does </w:t>
      </w:r>
      <w:r w:rsidRPr="00EE08C7">
        <w:rPr>
          <w:rFonts w:ascii="Times New Roman" w:eastAsia="Times New Roman" w:hAnsi="Times New Roman" w:cs="Times New Roman"/>
          <w:sz w:val="28"/>
          <w:szCs w:val="28"/>
          <w:lang w:val="en-GB"/>
        </w:rPr>
        <w:t xml:space="preserve">Article 2 of the Treaty on European Union </w:t>
      </w:r>
      <w:r w:rsidR="00D05E93" w:rsidRPr="00EE08C7">
        <w:rPr>
          <w:rFonts w:ascii="Times New Roman" w:eastAsia="Times New Roman" w:hAnsi="Times New Roman" w:cs="Times New Roman"/>
          <w:sz w:val="28"/>
          <w:szCs w:val="28"/>
          <w:lang w:val="en-GB"/>
        </w:rPr>
        <w:t xml:space="preserve">have to </w:t>
      </w:r>
      <w:r w:rsidRPr="00EE08C7">
        <w:rPr>
          <w:rFonts w:ascii="Times New Roman" w:eastAsia="Times New Roman" w:hAnsi="Times New Roman" w:cs="Times New Roman"/>
          <w:sz w:val="28"/>
          <w:szCs w:val="28"/>
          <w:lang w:val="en-GB"/>
        </w:rPr>
        <w:t xml:space="preserve">be interpreted in the light of the obligation of the Member States to comply with the criteria of the rule of law, which are also required in </w:t>
      </w:r>
      <w:bookmarkStart w:id="10" w:name="_Hlk536007512"/>
      <w:r w:rsidRPr="00EE08C7">
        <w:rPr>
          <w:rFonts w:ascii="Times New Roman" w:hAnsi="Times New Roman" w:cs="Times New Roman"/>
          <w:sz w:val="28"/>
          <w:szCs w:val="28"/>
          <w:lang w:val="en-GB"/>
        </w:rPr>
        <w:t xml:space="preserve">the </w:t>
      </w:r>
      <w:r w:rsidR="00BF7E59">
        <w:rPr>
          <w:rFonts w:ascii="Times New Roman" w:hAnsi="Times New Roman" w:cs="Times New Roman"/>
          <w:sz w:val="28"/>
          <w:szCs w:val="28"/>
          <w:lang w:val="en-GB"/>
        </w:rPr>
        <w:t>CVM</w:t>
      </w:r>
      <w:r w:rsidR="00335A9A" w:rsidRPr="00EE08C7">
        <w:rPr>
          <w:rFonts w:ascii="Times New Roman" w:hAnsi="Times New Roman" w:cs="Times New Roman"/>
          <w:sz w:val="28"/>
          <w:szCs w:val="28"/>
          <w:lang w:val="en-GB"/>
        </w:rPr>
        <w:t xml:space="preserve"> reports,</w:t>
      </w:r>
      <w:r w:rsidRPr="00EE08C7">
        <w:rPr>
          <w:rFonts w:ascii="Times New Roman" w:hAnsi="Times New Roman" w:cs="Times New Roman"/>
          <w:sz w:val="28"/>
          <w:szCs w:val="28"/>
          <w:lang w:val="en-GB"/>
        </w:rPr>
        <w:t xml:space="preserve"> pursuant to the European Commission Decision 2006/928/EC of 13 December</w:t>
      </w:r>
      <w:bookmarkEnd w:id="10"/>
      <w:r w:rsidRPr="00EE08C7">
        <w:rPr>
          <w:rFonts w:ascii="Times New Roman" w:hAnsi="Times New Roman" w:cs="Times New Roman"/>
          <w:sz w:val="28"/>
          <w:szCs w:val="28"/>
          <w:lang w:val="en-GB"/>
        </w:rPr>
        <w:t xml:space="preserve"> 2006, in case of the urgent establishment of a section of the Public Prosecutor’s Office exclusively to investigate crimes committed by magistrates, which gives rise to </w:t>
      </w:r>
      <w:r w:rsidR="00335A9A" w:rsidRPr="00EE08C7">
        <w:rPr>
          <w:rFonts w:ascii="Times New Roman" w:hAnsi="Times New Roman" w:cs="Times New Roman"/>
          <w:sz w:val="28"/>
          <w:szCs w:val="28"/>
          <w:lang w:val="en-GB"/>
        </w:rPr>
        <w:t xml:space="preserve">a </w:t>
      </w:r>
      <w:r w:rsidRPr="00EE08C7">
        <w:rPr>
          <w:rFonts w:ascii="Times New Roman" w:hAnsi="Times New Roman" w:cs="Times New Roman"/>
          <w:sz w:val="28"/>
          <w:szCs w:val="28"/>
          <w:lang w:val="en-GB"/>
        </w:rPr>
        <w:t>particular concer</w:t>
      </w:r>
      <w:r w:rsidR="00335A9A" w:rsidRPr="00EE08C7">
        <w:rPr>
          <w:rFonts w:ascii="Times New Roman" w:hAnsi="Times New Roman" w:cs="Times New Roman"/>
          <w:sz w:val="28"/>
          <w:szCs w:val="28"/>
          <w:lang w:val="en-GB"/>
        </w:rPr>
        <w:t>n</w:t>
      </w:r>
      <w:r w:rsidRPr="00EE08C7">
        <w:rPr>
          <w:rFonts w:ascii="Times New Roman" w:hAnsi="Times New Roman" w:cs="Times New Roman"/>
          <w:sz w:val="28"/>
          <w:szCs w:val="28"/>
          <w:lang w:val="en-GB"/>
        </w:rPr>
        <w:t xml:space="preserve"> as regards the fight against corruption and can be used as an additional tool to intimidate the magistrates and put pressure on them?</w:t>
      </w:r>
    </w:p>
    <w:p w:rsidR="0021723C" w:rsidRPr="00EE08C7" w:rsidRDefault="0021723C">
      <w:pPr>
        <w:spacing w:after="0" w:line="360" w:lineRule="auto"/>
        <w:ind w:firstLine="708"/>
        <w:jc w:val="both"/>
        <w:rPr>
          <w:lang w:val="en-GB"/>
        </w:rPr>
      </w:pPr>
      <w:r w:rsidRPr="00EE08C7">
        <w:rPr>
          <w:rFonts w:ascii="Times New Roman" w:eastAsia="Times New Roman" w:hAnsi="Times New Roman" w:cs="Times New Roman"/>
          <w:sz w:val="28"/>
          <w:szCs w:val="28"/>
          <w:lang w:val="en-GB"/>
        </w:rPr>
        <w:t>(</w:t>
      </w:r>
      <w:r w:rsidR="00335A9A" w:rsidRPr="00EE08C7">
        <w:rPr>
          <w:rFonts w:ascii="Times New Roman" w:eastAsia="Times New Roman" w:hAnsi="Times New Roman" w:cs="Times New Roman"/>
          <w:sz w:val="28"/>
          <w:szCs w:val="28"/>
          <w:lang w:val="en-GB"/>
        </w:rPr>
        <w:t>iv</w:t>
      </w:r>
      <w:r w:rsidRPr="00EE08C7">
        <w:rPr>
          <w:rFonts w:ascii="Times New Roman" w:eastAsia="Times New Roman" w:hAnsi="Times New Roman" w:cs="Times New Roman"/>
          <w:sz w:val="28"/>
          <w:szCs w:val="28"/>
          <w:lang w:val="en-GB"/>
        </w:rPr>
        <w:t xml:space="preserve">) </w:t>
      </w:r>
      <w:r w:rsidR="00335A9A" w:rsidRPr="00EE08C7">
        <w:rPr>
          <w:rFonts w:ascii="Times New Roman" w:eastAsia="Times New Roman" w:hAnsi="Times New Roman" w:cs="Times New Roman"/>
          <w:sz w:val="28"/>
          <w:szCs w:val="28"/>
          <w:lang w:val="en-GB"/>
        </w:rPr>
        <w:t xml:space="preserve">Does </w:t>
      </w:r>
      <w:r w:rsidRPr="00EE08C7">
        <w:rPr>
          <w:rFonts w:ascii="Times New Roman" w:eastAsia="Times New Roman" w:hAnsi="Times New Roman" w:cs="Times New Roman"/>
          <w:sz w:val="28"/>
          <w:szCs w:val="28"/>
          <w:lang w:val="en-GB"/>
        </w:rPr>
        <w:t>Article 19</w:t>
      </w:r>
      <w:r w:rsidR="00335A9A"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(1) </w:t>
      </w:r>
      <w:r w:rsidR="00335A9A" w:rsidRPr="00EE08C7">
        <w:rPr>
          <w:rFonts w:ascii="Times New Roman" w:eastAsia="Times New Roman" w:hAnsi="Times New Roman" w:cs="Times New Roman"/>
          <w:sz w:val="28"/>
          <w:szCs w:val="28"/>
          <w:lang w:val="en-GB"/>
        </w:rPr>
        <w:t xml:space="preserve">second paragraph </w:t>
      </w:r>
      <w:r w:rsidRPr="00EE08C7">
        <w:rPr>
          <w:rFonts w:ascii="Times New Roman" w:eastAsia="Times New Roman" w:hAnsi="Times New Roman" w:cs="Times New Roman"/>
          <w:sz w:val="28"/>
          <w:szCs w:val="28"/>
          <w:lang w:val="en-GB"/>
        </w:rPr>
        <w:t xml:space="preserve">of the Treaty on European Union be interpreted in the light of the obligation of Member States to lay down the measures necessary for effective legal protection in the fields covered by Union law, namely by removing any risk of political influence on the criminal investigation of a number of judges, as is the case for the urgent establishment of a section of the </w:t>
      </w:r>
      <w:r w:rsidR="00252863" w:rsidRPr="00EE08C7">
        <w:rPr>
          <w:rFonts w:ascii="Times New Roman" w:eastAsia="Times New Roman" w:hAnsi="Times New Roman" w:cs="Times New Roman"/>
          <w:sz w:val="28"/>
          <w:szCs w:val="28"/>
          <w:lang w:val="en-GB"/>
        </w:rPr>
        <w:t xml:space="preserve">Public Prosecutor’s Office </w:t>
      </w:r>
      <w:r w:rsidRPr="00EE08C7">
        <w:rPr>
          <w:rFonts w:ascii="Times New Roman" w:eastAsia="Times New Roman" w:hAnsi="Times New Roman" w:cs="Times New Roman"/>
          <w:sz w:val="28"/>
          <w:szCs w:val="28"/>
          <w:lang w:val="en-GB"/>
        </w:rPr>
        <w:t>exclusively for the investigation of offences committed by magistrates, which gives rise to particular concerns as regards the fight against corruption and can be used as an additional tool to intimidate the magistrates and put pressure on them?</w:t>
      </w:r>
    </w:p>
    <w:p w:rsidR="0021723C" w:rsidRPr="00EE08C7" w:rsidRDefault="00673D46">
      <w:pPr>
        <w:pStyle w:val="ListParagraph"/>
        <w:numPr>
          <w:ilvl w:val="0"/>
          <w:numId w:val="2"/>
        </w:numPr>
        <w:spacing w:after="0" w:line="360" w:lineRule="auto"/>
        <w:ind w:left="0" w:firstLine="720"/>
        <w:jc w:val="both"/>
        <w:rPr>
          <w:lang w:val="en-GB"/>
        </w:rPr>
      </w:pPr>
      <w:r w:rsidRPr="00EE08C7">
        <w:rPr>
          <w:rFonts w:ascii="Times New Roman" w:eastAsia="Times New Roman" w:hAnsi="Times New Roman" w:cs="Times New Roman"/>
          <w:i/>
          <w:sz w:val="28"/>
          <w:szCs w:val="28"/>
          <w:lang w:val="en-GB"/>
        </w:rPr>
        <w:lastRenderedPageBreak/>
        <w:t>I</w:t>
      </w:r>
      <w:r w:rsidR="0021723C" w:rsidRPr="00EE08C7">
        <w:rPr>
          <w:rFonts w:ascii="Times New Roman" w:eastAsia="Times New Roman" w:hAnsi="Times New Roman" w:cs="Times New Roman"/>
          <w:i/>
          <w:sz w:val="28"/>
          <w:szCs w:val="28"/>
          <w:lang w:val="en-GB"/>
        </w:rPr>
        <w:t xml:space="preserve">n the </w:t>
      </w:r>
      <w:r w:rsidRPr="00EE08C7">
        <w:rPr>
          <w:rFonts w:ascii="Times New Roman" w:eastAsia="Times New Roman" w:hAnsi="Times New Roman" w:cs="Times New Roman"/>
          <w:i/>
          <w:sz w:val="28"/>
          <w:szCs w:val="28"/>
          <w:lang w:val="en-GB"/>
        </w:rPr>
        <w:t xml:space="preserve">grounds </w:t>
      </w:r>
      <w:r w:rsidR="000E1F33" w:rsidRPr="00EE08C7">
        <w:rPr>
          <w:rFonts w:ascii="Times New Roman" w:eastAsia="Times New Roman" w:hAnsi="Times New Roman" w:cs="Times New Roman"/>
          <w:i/>
          <w:sz w:val="28"/>
          <w:szCs w:val="28"/>
          <w:lang w:val="en-GB"/>
        </w:rPr>
        <w:t xml:space="preserve">of </w:t>
      </w:r>
      <w:r w:rsidR="0021723C" w:rsidRPr="00EE08C7">
        <w:rPr>
          <w:rFonts w:ascii="Times New Roman" w:eastAsia="Times New Roman" w:hAnsi="Times New Roman" w:cs="Times New Roman"/>
          <w:i/>
          <w:sz w:val="28"/>
          <w:szCs w:val="28"/>
          <w:lang w:val="en-GB"/>
        </w:rPr>
        <w:t>the request</w:t>
      </w:r>
      <w:r w:rsidR="000E1F33" w:rsidRPr="00EE08C7">
        <w:rPr>
          <w:rFonts w:ascii="Times New Roman" w:eastAsia="Times New Roman" w:hAnsi="Times New Roman" w:cs="Times New Roman"/>
          <w:i/>
          <w:sz w:val="28"/>
          <w:szCs w:val="28"/>
          <w:lang w:val="en-GB"/>
        </w:rPr>
        <w:t xml:space="preserve"> for </w:t>
      </w:r>
      <w:r w:rsidR="0021723C" w:rsidRPr="00EE08C7">
        <w:rPr>
          <w:rFonts w:ascii="Times New Roman" w:hAnsi="Times New Roman" w:cs="Times New Roman"/>
          <w:i/>
          <w:sz w:val="28"/>
          <w:szCs w:val="28"/>
          <w:lang w:val="en-GB"/>
        </w:rPr>
        <w:t>preliminary questions</w:t>
      </w:r>
      <w:r w:rsidR="0021723C" w:rsidRPr="00EE08C7">
        <w:rPr>
          <w:rFonts w:ascii="Times New Roman" w:eastAsia="Times New Roman" w:hAnsi="Times New Roman" w:cs="Times New Roman"/>
          <w:sz w:val="28"/>
          <w:szCs w:val="28"/>
          <w:lang w:val="en-GB"/>
        </w:rPr>
        <w:t xml:space="preserve">, the authors note that the </w:t>
      </w:r>
      <w:r w:rsidR="00BF7E59">
        <w:rPr>
          <w:rFonts w:ascii="Times New Roman" w:eastAsia="Times New Roman" w:hAnsi="Times New Roman" w:cs="Times New Roman"/>
          <w:sz w:val="28"/>
          <w:szCs w:val="28"/>
          <w:lang w:val="en-GB"/>
        </w:rPr>
        <w:t>CVM</w:t>
      </w:r>
      <w:r w:rsidR="0021723C" w:rsidRPr="00EE08C7">
        <w:rPr>
          <w:rFonts w:ascii="Times New Roman" w:eastAsia="Times New Roman" w:hAnsi="Times New Roman" w:cs="Times New Roman"/>
          <w:sz w:val="28"/>
          <w:szCs w:val="28"/>
          <w:lang w:val="en-GB"/>
        </w:rPr>
        <w:t xml:space="preserve"> was established </w:t>
      </w:r>
      <w:r w:rsidR="000E1F33" w:rsidRPr="00EE08C7">
        <w:rPr>
          <w:rFonts w:ascii="Times New Roman" w:eastAsia="Times New Roman" w:hAnsi="Times New Roman" w:cs="Times New Roman"/>
          <w:sz w:val="28"/>
          <w:szCs w:val="28"/>
          <w:lang w:val="en-GB"/>
        </w:rPr>
        <w:t xml:space="preserve">according to </w:t>
      </w:r>
      <w:r w:rsidR="0021723C" w:rsidRPr="00EE08C7">
        <w:rPr>
          <w:rFonts w:ascii="Times New Roman" w:eastAsia="Times New Roman" w:hAnsi="Times New Roman" w:cs="Times New Roman"/>
          <w:sz w:val="28"/>
          <w:szCs w:val="28"/>
          <w:lang w:val="en-GB"/>
        </w:rPr>
        <w:t xml:space="preserve">the European Commission Decision 2006/928/EC of 13 December 2006, at the time of Romania’s </w:t>
      </w:r>
      <w:r w:rsidR="005F7818" w:rsidRPr="00EE08C7">
        <w:rPr>
          <w:rFonts w:ascii="Times New Roman" w:eastAsia="Times New Roman" w:hAnsi="Times New Roman" w:cs="Times New Roman"/>
          <w:sz w:val="28"/>
          <w:szCs w:val="28"/>
          <w:lang w:val="en-GB"/>
        </w:rPr>
        <w:t>accession</w:t>
      </w:r>
      <w:r w:rsidR="0021723C" w:rsidRPr="00EE08C7">
        <w:rPr>
          <w:rFonts w:ascii="Times New Roman" w:eastAsia="Times New Roman" w:hAnsi="Times New Roman" w:cs="Times New Roman"/>
          <w:sz w:val="28"/>
          <w:szCs w:val="28"/>
          <w:lang w:val="en-GB"/>
        </w:rPr>
        <w:t xml:space="preserve"> to the European Union, in order to remedy the shortcomings in the reform of the judicia</w:t>
      </w:r>
      <w:r w:rsidR="000E1F33" w:rsidRPr="00EE08C7">
        <w:rPr>
          <w:rFonts w:ascii="Times New Roman" w:eastAsia="Times New Roman" w:hAnsi="Times New Roman" w:cs="Times New Roman"/>
          <w:sz w:val="28"/>
          <w:szCs w:val="28"/>
          <w:lang w:val="en-GB"/>
        </w:rPr>
        <w:t>ry</w:t>
      </w:r>
      <w:r w:rsidR="0021723C" w:rsidRPr="00EE08C7">
        <w:rPr>
          <w:rFonts w:ascii="Times New Roman" w:eastAsia="Times New Roman" w:hAnsi="Times New Roman" w:cs="Times New Roman"/>
          <w:sz w:val="28"/>
          <w:szCs w:val="28"/>
          <w:lang w:val="en-GB"/>
        </w:rPr>
        <w:t xml:space="preserve"> and to fight </w:t>
      </w:r>
      <w:r w:rsidR="000E1F33" w:rsidRPr="00EE08C7">
        <w:rPr>
          <w:rFonts w:ascii="Times New Roman" w:eastAsia="Times New Roman" w:hAnsi="Times New Roman" w:cs="Times New Roman"/>
          <w:sz w:val="28"/>
          <w:szCs w:val="28"/>
          <w:lang w:val="en-GB"/>
        </w:rPr>
        <w:t xml:space="preserve">against </w:t>
      </w:r>
      <w:r w:rsidR="0021723C" w:rsidRPr="00EE08C7">
        <w:rPr>
          <w:rFonts w:ascii="Times New Roman" w:eastAsia="Times New Roman" w:hAnsi="Times New Roman" w:cs="Times New Roman"/>
          <w:sz w:val="28"/>
          <w:szCs w:val="28"/>
          <w:lang w:val="en-GB"/>
        </w:rPr>
        <w:t xml:space="preserve">corruption. Since then, </w:t>
      </w:r>
      <w:r w:rsidR="000E1F33" w:rsidRPr="00EE08C7">
        <w:rPr>
          <w:rFonts w:ascii="Times New Roman" w:eastAsia="Times New Roman" w:hAnsi="Times New Roman" w:cs="Times New Roman"/>
          <w:sz w:val="28"/>
          <w:szCs w:val="28"/>
          <w:lang w:val="en-GB"/>
        </w:rPr>
        <w:t>“</w:t>
      </w:r>
      <w:r w:rsidR="0021723C" w:rsidRPr="00EE08C7">
        <w:rPr>
          <w:rFonts w:ascii="Times New Roman" w:eastAsia="Times New Roman" w:hAnsi="Times New Roman" w:cs="Times New Roman"/>
          <w:sz w:val="28"/>
          <w:szCs w:val="28"/>
          <w:lang w:val="en-GB"/>
        </w:rPr>
        <w:t xml:space="preserve">the </w:t>
      </w:r>
      <w:r w:rsidR="00BF7E59">
        <w:rPr>
          <w:rFonts w:ascii="Times New Roman" w:eastAsia="Times New Roman" w:hAnsi="Times New Roman" w:cs="Times New Roman"/>
          <w:sz w:val="28"/>
          <w:szCs w:val="28"/>
          <w:lang w:val="en-GB"/>
        </w:rPr>
        <w:t>CVM</w:t>
      </w:r>
      <w:r w:rsidR="0021723C" w:rsidRPr="00EE08C7">
        <w:rPr>
          <w:rFonts w:ascii="Times New Roman" w:eastAsia="Times New Roman" w:hAnsi="Times New Roman" w:cs="Times New Roman"/>
          <w:sz w:val="28"/>
          <w:szCs w:val="28"/>
          <w:lang w:val="en-GB"/>
        </w:rPr>
        <w:t xml:space="preserve"> reports try to </w:t>
      </w:r>
      <w:r w:rsidR="00136133" w:rsidRPr="00EE08C7">
        <w:rPr>
          <w:rFonts w:ascii="Times New Roman" w:eastAsia="Times New Roman" w:hAnsi="Times New Roman" w:cs="Times New Roman"/>
          <w:sz w:val="28"/>
          <w:szCs w:val="28"/>
          <w:lang w:val="en-GB"/>
        </w:rPr>
        <w:t>contribute</w:t>
      </w:r>
      <w:r w:rsidR="0021723C" w:rsidRPr="00EE08C7">
        <w:rPr>
          <w:rFonts w:ascii="Times New Roman" w:eastAsia="Times New Roman" w:hAnsi="Times New Roman" w:cs="Times New Roman"/>
          <w:sz w:val="28"/>
          <w:szCs w:val="28"/>
          <w:lang w:val="en-GB"/>
        </w:rPr>
        <w:t xml:space="preserve"> </w:t>
      </w:r>
      <w:r w:rsidR="00136133" w:rsidRPr="00EE08C7">
        <w:rPr>
          <w:rFonts w:ascii="Times New Roman" w:eastAsia="Times New Roman" w:hAnsi="Times New Roman" w:cs="Times New Roman"/>
          <w:sz w:val="28"/>
          <w:szCs w:val="28"/>
          <w:lang w:val="en-GB"/>
        </w:rPr>
        <w:t xml:space="preserve">at </w:t>
      </w:r>
      <w:r w:rsidR="0021723C" w:rsidRPr="00EE08C7">
        <w:rPr>
          <w:rFonts w:ascii="Times New Roman" w:eastAsia="Times New Roman" w:hAnsi="Times New Roman" w:cs="Times New Roman"/>
          <w:sz w:val="28"/>
          <w:szCs w:val="28"/>
          <w:lang w:val="en-GB"/>
        </w:rPr>
        <w:t>steer</w:t>
      </w:r>
      <w:r w:rsidR="00136133" w:rsidRPr="00EE08C7">
        <w:rPr>
          <w:rFonts w:ascii="Times New Roman" w:eastAsia="Times New Roman" w:hAnsi="Times New Roman" w:cs="Times New Roman"/>
          <w:sz w:val="28"/>
          <w:szCs w:val="28"/>
          <w:lang w:val="en-GB"/>
        </w:rPr>
        <w:t>ing</w:t>
      </w:r>
      <w:r w:rsidR="0021723C" w:rsidRPr="00EE08C7">
        <w:rPr>
          <w:rFonts w:ascii="Times New Roman" w:eastAsia="Times New Roman" w:hAnsi="Times New Roman" w:cs="Times New Roman"/>
          <w:sz w:val="28"/>
          <w:szCs w:val="28"/>
          <w:lang w:val="en-GB"/>
        </w:rPr>
        <w:t xml:space="preserve"> the efforts of the Romanian authorities through specific recommendations and assess the progress made. As the Council has repeatedly pointed out, the </w:t>
      </w:r>
      <w:r w:rsidR="00BF7E59">
        <w:rPr>
          <w:rFonts w:ascii="Times New Roman" w:eastAsia="Times New Roman" w:hAnsi="Times New Roman" w:cs="Times New Roman"/>
          <w:sz w:val="28"/>
          <w:szCs w:val="28"/>
          <w:lang w:val="en-GB"/>
        </w:rPr>
        <w:t>CVM</w:t>
      </w:r>
      <w:r w:rsidR="0021723C" w:rsidRPr="00EE08C7">
        <w:rPr>
          <w:rFonts w:ascii="Times New Roman" w:eastAsia="Times New Roman" w:hAnsi="Times New Roman" w:cs="Times New Roman"/>
          <w:sz w:val="28"/>
          <w:szCs w:val="28"/>
          <w:lang w:val="en-GB"/>
        </w:rPr>
        <w:t xml:space="preserve"> will be concluded when all four benchmarks that apply to Romania </w:t>
      </w:r>
      <w:r w:rsidR="00E2342B" w:rsidRPr="00EE08C7">
        <w:rPr>
          <w:rFonts w:ascii="Times New Roman" w:eastAsia="Times New Roman" w:hAnsi="Times New Roman" w:cs="Times New Roman"/>
          <w:sz w:val="28"/>
          <w:szCs w:val="28"/>
          <w:lang w:val="en-GB"/>
        </w:rPr>
        <w:t>are</w:t>
      </w:r>
      <w:r w:rsidR="0021723C" w:rsidRPr="00EE08C7">
        <w:rPr>
          <w:rFonts w:ascii="Times New Roman" w:eastAsia="Times New Roman" w:hAnsi="Times New Roman" w:cs="Times New Roman"/>
          <w:sz w:val="28"/>
          <w:szCs w:val="28"/>
          <w:lang w:val="en-GB"/>
        </w:rPr>
        <w:t xml:space="preserve"> met in a satisfactory manner. The benchmarks were defined at the time of </w:t>
      </w:r>
      <w:r w:rsidR="005F7818" w:rsidRPr="00EE08C7">
        <w:rPr>
          <w:rFonts w:ascii="Times New Roman" w:eastAsia="Times New Roman" w:hAnsi="Times New Roman" w:cs="Times New Roman"/>
          <w:sz w:val="28"/>
          <w:szCs w:val="28"/>
          <w:lang w:val="en-GB"/>
        </w:rPr>
        <w:t>accession</w:t>
      </w:r>
      <w:r w:rsidR="0021723C" w:rsidRPr="00EE08C7">
        <w:rPr>
          <w:rFonts w:ascii="Times New Roman" w:eastAsia="Times New Roman" w:hAnsi="Times New Roman" w:cs="Times New Roman"/>
          <w:sz w:val="28"/>
          <w:szCs w:val="28"/>
          <w:lang w:val="en-GB"/>
        </w:rPr>
        <w:t xml:space="preserve"> and cover key issues for the functioning of a Member State </w:t>
      </w:r>
      <w:r w:rsidR="00E2342B" w:rsidRPr="00EE08C7">
        <w:rPr>
          <w:rFonts w:ascii="Times New Roman" w:eastAsia="Times New Roman" w:hAnsi="Times New Roman" w:cs="Times New Roman"/>
          <w:sz w:val="28"/>
          <w:szCs w:val="28"/>
          <w:lang w:val="en-GB"/>
        </w:rPr>
        <w:t>-</w:t>
      </w:r>
      <w:r w:rsidR="0021723C" w:rsidRPr="00EE08C7">
        <w:rPr>
          <w:rFonts w:ascii="Times New Roman" w:eastAsia="Times New Roman" w:hAnsi="Times New Roman" w:cs="Times New Roman"/>
          <w:sz w:val="28"/>
          <w:szCs w:val="28"/>
          <w:lang w:val="en-GB"/>
        </w:rPr>
        <w:t xml:space="preserve"> the independence and efficiency of the judiciary, </w:t>
      </w:r>
      <w:r w:rsidR="00E2342B" w:rsidRPr="00EE08C7">
        <w:rPr>
          <w:rFonts w:ascii="Times New Roman" w:eastAsia="Times New Roman" w:hAnsi="Times New Roman" w:cs="Times New Roman"/>
          <w:sz w:val="28"/>
          <w:szCs w:val="28"/>
          <w:lang w:val="en-GB"/>
        </w:rPr>
        <w:t xml:space="preserve">the </w:t>
      </w:r>
      <w:r w:rsidR="0021723C" w:rsidRPr="00EE08C7">
        <w:rPr>
          <w:rFonts w:ascii="Times New Roman" w:eastAsia="Times New Roman" w:hAnsi="Times New Roman" w:cs="Times New Roman"/>
          <w:sz w:val="28"/>
          <w:szCs w:val="28"/>
          <w:lang w:val="en-GB"/>
        </w:rPr>
        <w:t>integrity and the fight against corruption”.</w:t>
      </w:r>
      <w:r w:rsidR="0021723C" w:rsidRPr="00EE08C7">
        <w:rPr>
          <w:lang w:val="en-GB"/>
        </w:rPr>
        <w:t xml:space="preserve"> </w:t>
      </w:r>
      <w:r w:rsidR="0021723C" w:rsidRPr="00EE08C7">
        <w:rPr>
          <w:rFonts w:ascii="Times New Roman" w:eastAsia="Times New Roman" w:hAnsi="Times New Roman" w:cs="Times New Roman"/>
          <w:sz w:val="28"/>
          <w:szCs w:val="28"/>
          <w:lang w:val="en-GB"/>
        </w:rPr>
        <w:t xml:space="preserve">The mechanism </w:t>
      </w:r>
      <w:r w:rsidR="00E2342B" w:rsidRPr="00EE08C7">
        <w:rPr>
          <w:rFonts w:ascii="Times New Roman" w:eastAsia="Times New Roman" w:hAnsi="Times New Roman" w:cs="Times New Roman"/>
          <w:sz w:val="28"/>
          <w:szCs w:val="28"/>
          <w:lang w:val="en-GB"/>
        </w:rPr>
        <w:t xml:space="preserve">was set up </w:t>
      </w:r>
      <w:r w:rsidR="0021723C" w:rsidRPr="00EE08C7">
        <w:rPr>
          <w:rFonts w:ascii="Times New Roman" w:eastAsia="Times New Roman" w:hAnsi="Times New Roman" w:cs="Times New Roman"/>
          <w:sz w:val="28"/>
          <w:szCs w:val="28"/>
          <w:lang w:val="en-GB"/>
        </w:rPr>
        <w:t>based on Articles 37 and 38 of the Treaty concerning the accession of the Republic of Bulgaria and Romania to the European Union, signed by Romania in Luxembourg on 25 April 2005.</w:t>
      </w:r>
    </w:p>
    <w:p w:rsidR="0021723C" w:rsidRPr="00EE08C7" w:rsidRDefault="0021723C">
      <w:pPr>
        <w:pStyle w:val="ListParagraph"/>
        <w:numPr>
          <w:ilvl w:val="0"/>
          <w:numId w:val="2"/>
        </w:numPr>
        <w:spacing w:after="0" w:line="360" w:lineRule="auto"/>
        <w:ind w:left="0" w:firstLine="720"/>
        <w:jc w:val="both"/>
        <w:rPr>
          <w:lang w:val="en-GB"/>
        </w:rPr>
      </w:pPr>
      <w:r w:rsidRPr="00EE08C7">
        <w:rPr>
          <w:rFonts w:ascii="Times New Roman" w:hAnsi="Times New Roman" w:cs="Times New Roman"/>
          <w:sz w:val="28"/>
          <w:szCs w:val="28"/>
          <w:lang w:val="en-GB"/>
        </w:rPr>
        <w:t>The</w:t>
      </w:r>
      <w:r w:rsidRPr="00EE08C7">
        <w:rPr>
          <w:rFonts w:ascii="Times New Roman" w:eastAsia="Times New Roman" w:hAnsi="Times New Roman" w:cs="Times New Roman"/>
          <w:sz w:val="28"/>
          <w:szCs w:val="28"/>
          <w:lang w:val="en-GB"/>
        </w:rPr>
        <w:t xml:space="preserve"> authors </w:t>
      </w:r>
      <w:r w:rsidR="00BB7B79" w:rsidRPr="00EE08C7">
        <w:rPr>
          <w:rFonts w:ascii="Times New Roman" w:eastAsia="Times New Roman" w:hAnsi="Times New Roman" w:cs="Times New Roman"/>
          <w:sz w:val="28"/>
          <w:szCs w:val="28"/>
          <w:lang w:val="en-GB"/>
        </w:rPr>
        <w:t>note</w:t>
      </w:r>
      <w:r w:rsidRPr="00EE08C7">
        <w:rPr>
          <w:rFonts w:ascii="Times New Roman" w:eastAsia="Times New Roman" w:hAnsi="Times New Roman" w:cs="Times New Roman"/>
          <w:sz w:val="28"/>
          <w:szCs w:val="28"/>
          <w:lang w:val="en-GB"/>
        </w:rPr>
        <w:t xml:space="preserve"> that, in its case</w:t>
      </w:r>
      <w:r w:rsidR="00BB7B79"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law, the Constitutional Court </w:t>
      </w:r>
      <w:r w:rsidR="00BB7B79" w:rsidRPr="00EE08C7">
        <w:rPr>
          <w:rFonts w:ascii="Times New Roman" w:eastAsia="Times New Roman" w:hAnsi="Times New Roman" w:cs="Times New Roman"/>
          <w:sz w:val="28"/>
          <w:szCs w:val="28"/>
          <w:lang w:val="en-GB"/>
        </w:rPr>
        <w:t xml:space="preserve">of Romania </w:t>
      </w:r>
      <w:r w:rsidRPr="00EE08C7">
        <w:rPr>
          <w:rFonts w:ascii="Times New Roman" w:eastAsia="Times New Roman" w:hAnsi="Times New Roman" w:cs="Times New Roman"/>
          <w:sz w:val="28"/>
          <w:szCs w:val="28"/>
          <w:lang w:val="en-GB"/>
        </w:rPr>
        <w:t xml:space="preserve">referred three times to the </w:t>
      </w:r>
      <w:r w:rsidR="00A565F6">
        <w:rPr>
          <w:rFonts w:ascii="Times New Roman" w:eastAsia="Times New Roman" w:hAnsi="Times New Roman" w:cs="Times New Roman"/>
          <w:sz w:val="28"/>
          <w:szCs w:val="28"/>
          <w:lang w:val="en-GB"/>
        </w:rPr>
        <w:t>CVM</w:t>
      </w:r>
      <w:r w:rsidR="00BB7B79" w:rsidRPr="00EE08C7">
        <w:rPr>
          <w:rFonts w:ascii="Times New Roman" w:eastAsia="Times New Roman" w:hAnsi="Times New Roman" w:cs="Times New Roman"/>
          <w:sz w:val="28"/>
          <w:szCs w:val="28"/>
          <w:lang w:val="en-GB"/>
        </w:rPr>
        <w:t>, respectively</w:t>
      </w:r>
      <w:r w:rsidRPr="00EE08C7">
        <w:rPr>
          <w:rFonts w:ascii="Times New Roman" w:eastAsia="Times New Roman" w:hAnsi="Times New Roman" w:cs="Times New Roman"/>
          <w:sz w:val="28"/>
          <w:szCs w:val="28"/>
          <w:lang w:val="en-GB"/>
        </w:rPr>
        <w:t xml:space="preserve"> </w:t>
      </w:r>
      <w:r w:rsidR="00D75C94" w:rsidRPr="00EE08C7">
        <w:rPr>
          <w:rFonts w:ascii="Times New Roman" w:eastAsia="Times New Roman" w:hAnsi="Times New Roman" w:cs="Times New Roman"/>
          <w:sz w:val="28"/>
          <w:szCs w:val="28"/>
          <w:lang w:val="en-GB"/>
        </w:rPr>
        <w:t xml:space="preserve">by </w:t>
      </w:r>
      <w:r w:rsidRPr="00EE08C7">
        <w:rPr>
          <w:rFonts w:ascii="Times New Roman" w:eastAsia="Times New Roman" w:hAnsi="Times New Roman" w:cs="Times New Roman"/>
          <w:sz w:val="28"/>
          <w:szCs w:val="28"/>
          <w:lang w:val="en-GB"/>
        </w:rPr>
        <w:t xml:space="preserve">Decision </w:t>
      </w:r>
      <w:r w:rsidR="00A565F6">
        <w:rPr>
          <w:rFonts w:ascii="Times New Roman" w:eastAsia="Times New Roman" w:hAnsi="Times New Roman" w:cs="Times New Roman"/>
          <w:sz w:val="28"/>
          <w:szCs w:val="28"/>
          <w:lang w:val="en-GB"/>
        </w:rPr>
        <w:t xml:space="preserve">no. </w:t>
      </w:r>
      <w:r w:rsidRPr="00EE08C7">
        <w:rPr>
          <w:rFonts w:ascii="Times New Roman" w:eastAsia="Times New Roman" w:hAnsi="Times New Roman" w:cs="Times New Roman"/>
          <w:sz w:val="28"/>
          <w:szCs w:val="28"/>
          <w:lang w:val="en-GB"/>
        </w:rPr>
        <w:t xml:space="preserve">1519 of 15 November 2011, Decision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2 of 11 January 2012 and Decision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104 of 6 March 2018, in the latter decision stating that: </w:t>
      </w:r>
      <w:r w:rsidR="00D75C94" w:rsidRPr="00EE08C7">
        <w:rPr>
          <w:rFonts w:ascii="Times New Roman" w:eastAsia="Times New Roman" w:hAnsi="Times New Roman" w:cs="Times New Roman"/>
          <w:sz w:val="28"/>
          <w:szCs w:val="28"/>
          <w:lang w:val="en-GB"/>
        </w:rPr>
        <w:t>“the m</w:t>
      </w:r>
      <w:r w:rsidRPr="00EE08C7">
        <w:rPr>
          <w:rFonts w:ascii="Times New Roman" w:eastAsia="Times New Roman" w:hAnsi="Times New Roman" w:cs="Times New Roman"/>
          <w:sz w:val="28"/>
          <w:szCs w:val="28"/>
          <w:lang w:val="en-GB"/>
        </w:rPr>
        <w:t xml:space="preserve">embership of the European Union requires the Romanian State to apply this mechanism and to act upon the recommendations set out in that framework, in accordance with </w:t>
      </w:r>
      <w:r w:rsidR="00FB6DED" w:rsidRPr="00EE08C7">
        <w:rPr>
          <w:rFonts w:ascii="Times New Roman" w:eastAsia="Times New Roman" w:hAnsi="Times New Roman" w:cs="Times New Roman"/>
          <w:sz w:val="28"/>
          <w:szCs w:val="28"/>
          <w:lang w:val="en-GB"/>
        </w:rPr>
        <w:t xml:space="preserve">the provisions of </w:t>
      </w:r>
      <w:r w:rsidRPr="00EE08C7">
        <w:rPr>
          <w:rFonts w:ascii="Times New Roman" w:eastAsia="Times New Roman" w:hAnsi="Times New Roman" w:cs="Times New Roman"/>
          <w:sz w:val="28"/>
          <w:szCs w:val="28"/>
          <w:lang w:val="en-GB"/>
        </w:rPr>
        <w:t>Article 148 (4) of the Constitution</w:t>
      </w:r>
      <w:r w:rsidR="00FB6DED"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20"/>
        <w:jc w:val="both"/>
        <w:rPr>
          <w:lang w:val="en-GB"/>
        </w:rPr>
      </w:pPr>
      <w:r w:rsidRPr="00EE08C7">
        <w:rPr>
          <w:rFonts w:ascii="Times New Roman" w:hAnsi="Times New Roman" w:cs="Times New Roman"/>
          <w:sz w:val="28"/>
          <w:szCs w:val="28"/>
          <w:lang w:val="en-GB"/>
        </w:rPr>
        <w:t>Although</w:t>
      </w:r>
      <w:r w:rsidRPr="00EE08C7">
        <w:rPr>
          <w:rFonts w:ascii="Times New Roman" w:eastAsia="Times New Roman" w:hAnsi="Times New Roman" w:cs="Times New Roman"/>
          <w:sz w:val="28"/>
          <w:szCs w:val="28"/>
          <w:lang w:val="en-GB"/>
        </w:rPr>
        <w:t xml:space="preserve"> </w:t>
      </w:r>
      <w:r w:rsidR="00FB6DED" w:rsidRPr="00EE08C7">
        <w:rPr>
          <w:rFonts w:ascii="Times New Roman" w:eastAsia="Times New Roman" w:hAnsi="Times New Roman" w:cs="Times New Roman"/>
          <w:sz w:val="28"/>
          <w:szCs w:val="28"/>
          <w:lang w:val="en-GB"/>
        </w:rPr>
        <w:t xml:space="preserve">by </w:t>
      </w:r>
      <w:r w:rsidRPr="00EE08C7">
        <w:rPr>
          <w:rFonts w:ascii="Times New Roman" w:eastAsia="Times New Roman" w:hAnsi="Times New Roman" w:cs="Times New Roman"/>
          <w:sz w:val="28"/>
          <w:szCs w:val="28"/>
          <w:lang w:val="en-GB"/>
        </w:rPr>
        <w:t xml:space="preserve">Decision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33 of 23 January 2018, </w:t>
      </w:r>
      <w:r w:rsidR="00EB0DC9"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the Constitutional Court </w:t>
      </w:r>
      <w:r w:rsidR="00EB0DC9" w:rsidRPr="00EE08C7">
        <w:rPr>
          <w:rFonts w:ascii="Times New Roman" w:eastAsia="Times New Roman" w:hAnsi="Times New Roman" w:cs="Times New Roman"/>
          <w:sz w:val="28"/>
          <w:szCs w:val="28"/>
          <w:lang w:val="en-GB"/>
        </w:rPr>
        <w:t xml:space="preserve">of Romania </w:t>
      </w:r>
      <w:r w:rsidRPr="00EE08C7">
        <w:rPr>
          <w:rFonts w:ascii="Times New Roman" w:eastAsia="Times New Roman" w:hAnsi="Times New Roman" w:cs="Times New Roman"/>
          <w:sz w:val="28"/>
          <w:szCs w:val="28"/>
          <w:lang w:val="en-GB"/>
        </w:rPr>
        <w:t xml:space="preserve">rejected </w:t>
      </w:r>
      <w:r w:rsidR="00EB0DC9" w:rsidRPr="00EE08C7">
        <w:rPr>
          <w:rFonts w:ascii="Times New Roman" w:eastAsia="Times New Roman" w:hAnsi="Times New Roman" w:cs="Times New Roman"/>
          <w:sz w:val="28"/>
          <w:szCs w:val="28"/>
          <w:lang w:val="en-GB"/>
        </w:rPr>
        <w:t xml:space="preserve">as </w:t>
      </w:r>
      <w:r w:rsidRPr="00EE08C7">
        <w:rPr>
          <w:rFonts w:ascii="Times New Roman" w:eastAsia="Times New Roman" w:hAnsi="Times New Roman" w:cs="Times New Roman"/>
          <w:sz w:val="28"/>
          <w:szCs w:val="28"/>
          <w:lang w:val="en-GB"/>
        </w:rPr>
        <w:t>un</w:t>
      </w:r>
      <w:r w:rsidR="00EB0DC9" w:rsidRPr="00EE08C7">
        <w:rPr>
          <w:rFonts w:ascii="Times New Roman" w:eastAsia="Times New Roman" w:hAnsi="Times New Roman" w:cs="Times New Roman"/>
          <w:sz w:val="28"/>
          <w:szCs w:val="28"/>
          <w:lang w:val="en-GB"/>
        </w:rPr>
        <w:t xml:space="preserve">grounded the challenges of unconstitutionality </w:t>
      </w:r>
      <w:r w:rsidRPr="00EE08C7">
        <w:rPr>
          <w:rFonts w:ascii="Times New Roman" w:eastAsia="Times New Roman" w:hAnsi="Times New Roman" w:cs="Times New Roman"/>
          <w:sz w:val="28"/>
          <w:szCs w:val="28"/>
          <w:lang w:val="en-GB"/>
        </w:rPr>
        <w:t xml:space="preserve">concerning the effects </w:t>
      </w:r>
      <w:r w:rsidR="00EB0DC9" w:rsidRPr="00EE08C7">
        <w:rPr>
          <w:rFonts w:ascii="Times New Roman" w:eastAsia="Times New Roman" w:hAnsi="Times New Roman" w:cs="Times New Roman"/>
          <w:sz w:val="28"/>
          <w:szCs w:val="28"/>
          <w:lang w:val="en-GB"/>
        </w:rPr>
        <w:t>that</w:t>
      </w:r>
      <w:r w:rsidRPr="00EE08C7">
        <w:rPr>
          <w:rFonts w:ascii="Times New Roman" w:eastAsia="Times New Roman" w:hAnsi="Times New Roman" w:cs="Times New Roman"/>
          <w:sz w:val="28"/>
          <w:szCs w:val="28"/>
          <w:lang w:val="en-GB"/>
        </w:rPr>
        <w:t xml:space="preserve"> the </w:t>
      </w:r>
      <w:r w:rsidR="00EB0DC9" w:rsidRPr="00EE08C7">
        <w:rPr>
          <w:rFonts w:ascii="Times New Roman" w:eastAsia="Times New Roman" w:hAnsi="Times New Roman" w:cs="Times New Roman"/>
          <w:sz w:val="28"/>
          <w:szCs w:val="28"/>
          <w:lang w:val="en-GB"/>
        </w:rPr>
        <w:t>setting up</w:t>
      </w:r>
      <w:r w:rsidRPr="00EE08C7">
        <w:rPr>
          <w:rFonts w:ascii="Times New Roman" w:eastAsia="Times New Roman" w:hAnsi="Times New Roman" w:cs="Times New Roman"/>
          <w:sz w:val="28"/>
          <w:szCs w:val="28"/>
          <w:lang w:val="en-GB"/>
        </w:rPr>
        <w:t xml:space="preserve"> of this new </w:t>
      </w:r>
      <w:r w:rsidR="00EB0DC9" w:rsidRPr="00EE08C7">
        <w:rPr>
          <w:rFonts w:ascii="Times New Roman" w:eastAsia="Times New Roman" w:hAnsi="Times New Roman" w:cs="Times New Roman"/>
          <w:sz w:val="28"/>
          <w:szCs w:val="28"/>
          <w:lang w:val="en-GB"/>
        </w:rPr>
        <w:t xml:space="preserve">structure of the </w:t>
      </w:r>
      <w:r w:rsidRPr="00EE08C7">
        <w:rPr>
          <w:rFonts w:ascii="Times New Roman" w:eastAsia="Times New Roman" w:hAnsi="Times New Roman" w:cs="Times New Roman"/>
          <w:sz w:val="28"/>
          <w:szCs w:val="28"/>
          <w:lang w:val="en-GB"/>
        </w:rPr>
        <w:t xml:space="preserve">prosecutor’s office </w:t>
      </w:r>
      <w:r w:rsidR="00EB0DC9" w:rsidRPr="00EE08C7">
        <w:rPr>
          <w:rFonts w:ascii="Times New Roman" w:eastAsia="Times New Roman" w:hAnsi="Times New Roman" w:cs="Times New Roman"/>
          <w:sz w:val="28"/>
          <w:szCs w:val="28"/>
          <w:lang w:val="en-GB"/>
        </w:rPr>
        <w:t xml:space="preserve">generates </w:t>
      </w:r>
      <w:r w:rsidRPr="00EE08C7">
        <w:rPr>
          <w:rFonts w:ascii="Times New Roman" w:eastAsia="Times New Roman" w:hAnsi="Times New Roman" w:cs="Times New Roman"/>
          <w:sz w:val="28"/>
          <w:szCs w:val="28"/>
          <w:lang w:val="en-GB"/>
        </w:rPr>
        <w:t>on the powers of other existing structures, the regulation of rules relating to the stat</w:t>
      </w:r>
      <w:r w:rsidR="00EB0DC9" w:rsidRPr="00EE08C7">
        <w:rPr>
          <w:rFonts w:ascii="Times New Roman" w:eastAsia="Times New Roman" w:hAnsi="Times New Roman" w:cs="Times New Roman"/>
          <w:sz w:val="28"/>
          <w:szCs w:val="28"/>
          <w:lang w:val="en-GB"/>
        </w:rPr>
        <w:t>us</w:t>
      </w:r>
      <w:r w:rsidRPr="00EE08C7">
        <w:rPr>
          <w:rFonts w:ascii="Times New Roman" w:eastAsia="Times New Roman" w:hAnsi="Times New Roman" w:cs="Times New Roman"/>
          <w:sz w:val="28"/>
          <w:szCs w:val="28"/>
          <w:lang w:val="en-GB"/>
        </w:rPr>
        <w:t xml:space="preserve"> of the prosecutor, the creation of a discriminatory regime, unfounded on objective and rational criteria, the way in which the institution of the </w:t>
      </w:r>
      <w:r w:rsidR="00EB0DC9" w:rsidRPr="00EE08C7">
        <w:rPr>
          <w:rFonts w:ascii="Times New Roman" w:eastAsia="Times New Roman" w:hAnsi="Times New Roman" w:cs="Times New Roman"/>
          <w:sz w:val="28"/>
          <w:szCs w:val="28"/>
          <w:lang w:val="en-GB"/>
        </w:rPr>
        <w:t xml:space="preserve">chief prosecutor </w:t>
      </w:r>
      <w:r w:rsidR="00C15219" w:rsidRPr="00EE08C7">
        <w:rPr>
          <w:rFonts w:ascii="Times New Roman" w:eastAsia="Times New Roman" w:hAnsi="Times New Roman" w:cs="Times New Roman"/>
          <w:sz w:val="28"/>
          <w:szCs w:val="28"/>
          <w:lang w:val="en-GB"/>
        </w:rPr>
        <w:t xml:space="preserve">of this division </w:t>
      </w:r>
      <w:r w:rsidRPr="00EE08C7">
        <w:rPr>
          <w:rFonts w:ascii="Times New Roman" w:eastAsia="Times New Roman" w:hAnsi="Times New Roman" w:cs="Times New Roman"/>
          <w:sz w:val="28"/>
          <w:szCs w:val="28"/>
          <w:lang w:val="en-GB"/>
        </w:rPr>
        <w:t>is regulated</w:t>
      </w:r>
      <w:r w:rsidR="00C15219" w:rsidRPr="00EE08C7">
        <w:rPr>
          <w:rFonts w:ascii="Times New Roman" w:eastAsia="Times New Roman" w:hAnsi="Times New Roman" w:cs="Times New Roman"/>
          <w:sz w:val="28"/>
          <w:szCs w:val="28"/>
          <w:lang w:val="en-GB"/>
        </w:rPr>
        <w:t xml:space="preserve"> or </w:t>
      </w:r>
      <w:r w:rsidRPr="00EE08C7">
        <w:rPr>
          <w:rFonts w:ascii="Times New Roman" w:eastAsia="Times New Roman" w:hAnsi="Times New Roman" w:cs="Times New Roman"/>
          <w:sz w:val="28"/>
          <w:szCs w:val="28"/>
          <w:lang w:val="en-GB"/>
        </w:rPr>
        <w:t xml:space="preserve">the </w:t>
      </w:r>
      <w:r w:rsidR="00C15219" w:rsidRPr="00EE08C7">
        <w:rPr>
          <w:rFonts w:ascii="Times New Roman" w:eastAsia="Times New Roman" w:hAnsi="Times New Roman" w:cs="Times New Roman"/>
          <w:sz w:val="28"/>
          <w:szCs w:val="28"/>
          <w:lang w:val="en-GB"/>
        </w:rPr>
        <w:t xml:space="preserve">competence </w:t>
      </w:r>
      <w:r w:rsidRPr="00EE08C7">
        <w:rPr>
          <w:rFonts w:ascii="Times New Roman" w:eastAsia="Times New Roman" w:hAnsi="Times New Roman" w:cs="Times New Roman"/>
          <w:sz w:val="28"/>
          <w:szCs w:val="28"/>
          <w:lang w:val="en-GB"/>
        </w:rPr>
        <w:t xml:space="preserve">of the </w:t>
      </w:r>
      <w:r w:rsidR="00C15219" w:rsidRPr="00EE08C7">
        <w:rPr>
          <w:rFonts w:ascii="Times New Roman" w:eastAsia="Times New Roman" w:hAnsi="Times New Roman" w:cs="Times New Roman"/>
          <w:sz w:val="28"/>
          <w:szCs w:val="28"/>
          <w:lang w:val="en-GB"/>
        </w:rPr>
        <w:t xml:space="preserve">prosecutor </w:t>
      </w:r>
      <w:r w:rsidR="00C15219" w:rsidRPr="00EE08C7">
        <w:rPr>
          <w:rFonts w:ascii="Times New Roman" w:eastAsia="Times New Roman" w:hAnsi="Times New Roman" w:cs="Times New Roman"/>
          <w:sz w:val="28"/>
          <w:szCs w:val="28"/>
          <w:lang w:val="en-GB"/>
        </w:rPr>
        <w:lastRenderedPageBreak/>
        <w:t xml:space="preserve">general </w:t>
      </w:r>
      <w:r w:rsidRPr="00EE08C7">
        <w:rPr>
          <w:rFonts w:ascii="Times New Roman" w:eastAsia="Times New Roman" w:hAnsi="Times New Roman" w:cs="Times New Roman"/>
          <w:sz w:val="28"/>
          <w:szCs w:val="28"/>
          <w:lang w:val="en-GB"/>
        </w:rPr>
        <w:t xml:space="preserve">of the Prosecutor’s Office attached to the High Court of Cassation and Justice to settle </w:t>
      </w:r>
      <w:r w:rsidR="00C15219"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conflicts of jurisdiction between the structures of the Public </w:t>
      </w:r>
      <w:r w:rsidR="00C15219" w:rsidRPr="00EE08C7">
        <w:rPr>
          <w:rFonts w:ascii="Times New Roman" w:eastAsia="Times New Roman" w:hAnsi="Times New Roman" w:cs="Times New Roman"/>
          <w:sz w:val="28"/>
          <w:szCs w:val="28"/>
          <w:lang w:val="en-GB"/>
        </w:rPr>
        <w:t>Ministry</w:t>
      </w:r>
      <w:r w:rsidRPr="00EE08C7">
        <w:rPr>
          <w:rFonts w:ascii="Times New Roman" w:eastAsia="Times New Roman" w:hAnsi="Times New Roman" w:cs="Times New Roman"/>
          <w:sz w:val="28"/>
          <w:szCs w:val="28"/>
          <w:lang w:val="en-GB"/>
        </w:rPr>
        <w:t xml:space="preserve">, however, by </w:t>
      </w:r>
      <w:r w:rsidR="00C15219" w:rsidRPr="00EE08C7">
        <w:rPr>
          <w:rFonts w:ascii="Times New Roman" w:eastAsia="Times New Roman" w:hAnsi="Times New Roman" w:cs="Times New Roman"/>
          <w:sz w:val="28"/>
          <w:szCs w:val="28"/>
          <w:lang w:val="en-GB"/>
        </w:rPr>
        <w:t>Opinion</w:t>
      </w:r>
      <w:r w:rsidRPr="00EE08C7">
        <w:rPr>
          <w:rFonts w:ascii="Times New Roman" w:eastAsia="Times New Roman" w:hAnsi="Times New Roman" w:cs="Times New Roman"/>
          <w:sz w:val="28"/>
          <w:szCs w:val="28"/>
          <w:lang w:val="en-GB"/>
        </w:rPr>
        <w:t xml:space="preserve">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934 of 13 July 2018, CD</w:t>
      </w:r>
      <w:r w:rsidR="00C15219" w:rsidRPr="00EE08C7">
        <w:rPr>
          <w:rFonts w:ascii="Times New Roman" w:eastAsia="Times New Roman" w:hAnsi="Times New Roman" w:cs="Times New Roman"/>
          <w:sz w:val="28"/>
          <w:szCs w:val="28"/>
          <w:lang w:val="en-GB"/>
        </w:rPr>
        <w:t>L-PI(2018)</w:t>
      </w:r>
      <w:r w:rsidRPr="00EE08C7">
        <w:rPr>
          <w:rFonts w:ascii="Times New Roman" w:eastAsia="Times New Roman" w:hAnsi="Times New Roman" w:cs="Times New Roman"/>
          <w:sz w:val="28"/>
          <w:szCs w:val="28"/>
          <w:lang w:val="en-GB"/>
        </w:rPr>
        <w:t xml:space="preserve">007, the European Commission for Democracy through Law of the Council of Europe (Venice Commission) suggested </w:t>
      </w:r>
      <w:r w:rsidR="00463669" w:rsidRPr="00EE08C7">
        <w:rPr>
          <w:rFonts w:ascii="Times New Roman" w:eastAsia="Times New Roman" w:hAnsi="Times New Roman" w:cs="Times New Roman"/>
          <w:sz w:val="28"/>
          <w:szCs w:val="28"/>
          <w:lang w:val="en-GB"/>
        </w:rPr>
        <w:t xml:space="preserve">that </w:t>
      </w:r>
      <w:r w:rsidRPr="00EE08C7">
        <w:rPr>
          <w:rFonts w:ascii="Times New Roman" w:eastAsia="Times New Roman" w:hAnsi="Times New Roman" w:cs="Times New Roman"/>
          <w:sz w:val="28"/>
          <w:szCs w:val="28"/>
          <w:lang w:val="en-GB"/>
        </w:rPr>
        <w:t xml:space="preserve">the </w:t>
      </w:r>
      <w:r w:rsidR="00463669" w:rsidRPr="00EE08C7">
        <w:rPr>
          <w:rFonts w:ascii="Times New Roman" w:eastAsia="Times New Roman" w:hAnsi="Times New Roman" w:cs="Times New Roman"/>
          <w:sz w:val="28"/>
          <w:szCs w:val="28"/>
          <w:lang w:val="en-GB"/>
        </w:rPr>
        <w:t>setting up</w:t>
      </w:r>
      <w:r w:rsidRPr="00EE08C7">
        <w:rPr>
          <w:rFonts w:ascii="Times New Roman" w:eastAsia="Times New Roman" w:hAnsi="Times New Roman" w:cs="Times New Roman"/>
          <w:sz w:val="28"/>
          <w:szCs w:val="28"/>
          <w:lang w:val="en-GB"/>
        </w:rPr>
        <w:t xml:space="preserve"> of a special </w:t>
      </w:r>
      <w:r w:rsidR="00463669" w:rsidRPr="00EE08C7">
        <w:rPr>
          <w:rFonts w:ascii="Times New Roman" w:eastAsia="Times New Roman" w:hAnsi="Times New Roman" w:cs="Times New Roman"/>
          <w:sz w:val="28"/>
          <w:szCs w:val="28"/>
          <w:lang w:val="en-GB"/>
        </w:rPr>
        <w:t>division</w:t>
      </w:r>
      <w:r w:rsidRPr="00EE08C7">
        <w:rPr>
          <w:rFonts w:ascii="Times New Roman" w:eastAsia="Times New Roman" w:hAnsi="Times New Roman" w:cs="Times New Roman"/>
          <w:sz w:val="28"/>
          <w:szCs w:val="28"/>
          <w:lang w:val="en-GB"/>
        </w:rPr>
        <w:t xml:space="preserve"> for the investigation of magistrates </w:t>
      </w:r>
      <w:r w:rsidR="00463669" w:rsidRPr="00EE08C7">
        <w:rPr>
          <w:rFonts w:ascii="Times New Roman" w:eastAsia="Times New Roman" w:hAnsi="Times New Roman" w:cs="Times New Roman"/>
          <w:sz w:val="28"/>
          <w:szCs w:val="28"/>
          <w:lang w:val="en-GB"/>
        </w:rPr>
        <w:t xml:space="preserve">be reconsidered </w:t>
      </w:r>
      <w:r w:rsidRPr="00EE08C7">
        <w:rPr>
          <w:rFonts w:ascii="Times New Roman" w:eastAsia="Times New Roman" w:hAnsi="Times New Roman" w:cs="Times New Roman"/>
          <w:sz w:val="28"/>
          <w:szCs w:val="28"/>
          <w:lang w:val="en-GB"/>
        </w:rPr>
        <w:t xml:space="preserve">(as an alternative, the use of specialised prosecutors was proposed at the same time as effective </w:t>
      </w:r>
      <w:r w:rsidR="00463669" w:rsidRPr="00EE08C7">
        <w:rPr>
          <w:rFonts w:ascii="Times New Roman" w:eastAsia="Times New Roman" w:hAnsi="Times New Roman" w:cs="Times New Roman"/>
          <w:sz w:val="28"/>
          <w:szCs w:val="28"/>
          <w:lang w:val="en-GB"/>
        </w:rPr>
        <w:t>safeguard procedures</w:t>
      </w:r>
      <w:r w:rsidRPr="00EE08C7">
        <w:rPr>
          <w:rFonts w:ascii="Times New Roman" w:eastAsia="Times New Roman" w:hAnsi="Times New Roman" w:cs="Times New Roman"/>
          <w:sz w:val="28"/>
          <w:szCs w:val="28"/>
          <w:lang w:val="en-GB"/>
        </w:rPr>
        <w:t xml:space="preserve">). The creation of the </w:t>
      </w:r>
      <w:r w:rsidR="00D2763A"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pecial </w:t>
      </w:r>
      <w:r w:rsidR="000518BB" w:rsidRPr="00EE08C7">
        <w:rPr>
          <w:rFonts w:ascii="Times New Roman" w:eastAsia="Times New Roman" w:hAnsi="Times New Roman" w:cs="Times New Roman"/>
          <w:bCs/>
          <w:sz w:val="28"/>
          <w:szCs w:val="28"/>
          <w:lang w:val="en-GB"/>
        </w:rPr>
        <w:t>Section for the investigation of justice-related criminal offences</w:t>
      </w:r>
      <w:r w:rsidR="00D2763A"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sz w:val="28"/>
          <w:szCs w:val="28"/>
          <w:lang w:val="en-GB"/>
        </w:rPr>
        <w:t>within the P</w:t>
      </w:r>
      <w:r w:rsidR="00A565F6">
        <w:rPr>
          <w:rFonts w:ascii="Times New Roman" w:eastAsia="Times New Roman" w:hAnsi="Times New Roman" w:cs="Times New Roman"/>
          <w:sz w:val="28"/>
          <w:szCs w:val="28"/>
          <w:lang w:val="en-GB"/>
        </w:rPr>
        <w:t xml:space="preserve">rosecutor’s Office attached to the </w:t>
      </w:r>
      <w:r w:rsidR="00D2763A" w:rsidRPr="00EE08C7">
        <w:rPr>
          <w:rFonts w:ascii="Times New Roman" w:eastAsia="Times New Roman" w:hAnsi="Times New Roman" w:cs="Times New Roman"/>
          <w:sz w:val="28"/>
          <w:szCs w:val="28"/>
          <w:lang w:val="en-GB"/>
        </w:rPr>
        <w:t>H</w:t>
      </w:r>
      <w:r w:rsidR="00A565F6">
        <w:rPr>
          <w:rFonts w:ascii="Times New Roman" w:eastAsia="Times New Roman" w:hAnsi="Times New Roman" w:cs="Times New Roman"/>
          <w:sz w:val="28"/>
          <w:szCs w:val="28"/>
          <w:lang w:val="en-GB"/>
        </w:rPr>
        <w:t xml:space="preserve">igh </w:t>
      </w:r>
      <w:r w:rsidRPr="00EE08C7">
        <w:rPr>
          <w:rFonts w:ascii="Times New Roman" w:eastAsia="Times New Roman" w:hAnsi="Times New Roman" w:cs="Times New Roman"/>
          <w:sz w:val="28"/>
          <w:szCs w:val="28"/>
          <w:lang w:val="en-GB"/>
        </w:rPr>
        <w:t>C</w:t>
      </w:r>
      <w:r w:rsidR="00A565F6">
        <w:rPr>
          <w:rFonts w:ascii="Times New Roman" w:eastAsia="Times New Roman" w:hAnsi="Times New Roman" w:cs="Times New Roman"/>
          <w:sz w:val="28"/>
          <w:szCs w:val="28"/>
          <w:lang w:val="en-GB"/>
        </w:rPr>
        <w:t>ourt of Cassation and Justice</w:t>
      </w:r>
      <w:r w:rsidRPr="00EE08C7">
        <w:rPr>
          <w:rFonts w:ascii="Times New Roman" w:eastAsia="Times New Roman" w:hAnsi="Times New Roman" w:cs="Times New Roman"/>
          <w:sz w:val="28"/>
          <w:szCs w:val="28"/>
          <w:lang w:val="en-GB"/>
        </w:rPr>
        <w:t xml:space="preserve"> allows for dozens of high-level corruption cases</w:t>
      </w:r>
      <w:r w:rsidR="00354BFA" w:rsidRPr="00EE08C7">
        <w:rPr>
          <w:rFonts w:ascii="Times New Roman" w:eastAsia="Times New Roman" w:hAnsi="Times New Roman" w:cs="Times New Roman"/>
          <w:sz w:val="28"/>
          <w:szCs w:val="28"/>
          <w:lang w:val="en-GB"/>
        </w:rPr>
        <w:t xml:space="preserve">, on the case-list </w:t>
      </w:r>
      <w:r w:rsidRPr="00EE08C7">
        <w:rPr>
          <w:rFonts w:ascii="Times New Roman" w:eastAsia="Times New Roman" w:hAnsi="Times New Roman" w:cs="Times New Roman"/>
          <w:sz w:val="28"/>
          <w:szCs w:val="28"/>
          <w:lang w:val="en-GB"/>
        </w:rPr>
        <w:t>of the National Anticorruption Directorate</w:t>
      </w:r>
      <w:r w:rsidR="00354BF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354BFA" w:rsidRPr="00EE08C7">
        <w:rPr>
          <w:rFonts w:ascii="Times New Roman" w:eastAsia="Times New Roman" w:hAnsi="Times New Roman" w:cs="Times New Roman"/>
          <w:sz w:val="28"/>
          <w:szCs w:val="28"/>
          <w:lang w:val="en-GB"/>
        </w:rPr>
        <w:t xml:space="preserve">to be redirected by </w:t>
      </w:r>
      <w:r w:rsidRPr="00EE08C7">
        <w:rPr>
          <w:rFonts w:ascii="Times New Roman" w:eastAsia="Times New Roman" w:hAnsi="Times New Roman" w:cs="Times New Roman"/>
          <w:sz w:val="28"/>
          <w:szCs w:val="28"/>
          <w:lang w:val="en-GB"/>
        </w:rPr>
        <w:t xml:space="preserve">simply </w:t>
      </w:r>
      <w:r w:rsidR="00F75CE8" w:rsidRPr="00EE08C7">
        <w:rPr>
          <w:rFonts w:ascii="Times New Roman" w:eastAsia="Times New Roman" w:hAnsi="Times New Roman" w:cs="Times New Roman"/>
          <w:sz w:val="28"/>
          <w:szCs w:val="28"/>
          <w:lang w:val="en-GB"/>
        </w:rPr>
        <w:t xml:space="preserve">formulating </w:t>
      </w:r>
      <w:r w:rsidRPr="00EE08C7">
        <w:rPr>
          <w:rFonts w:ascii="Times New Roman" w:eastAsia="Times New Roman" w:hAnsi="Times New Roman" w:cs="Times New Roman"/>
          <w:sz w:val="28"/>
          <w:szCs w:val="28"/>
          <w:lang w:val="en-GB"/>
        </w:rPr>
        <w:t xml:space="preserve">fictitious complaints against a magistrate, simply abolishing a large part of the activity of the </w:t>
      </w:r>
      <w:r w:rsidR="00A565F6" w:rsidRPr="00EE08C7">
        <w:rPr>
          <w:rFonts w:ascii="Times New Roman" w:eastAsia="Times New Roman" w:hAnsi="Times New Roman" w:cs="Times New Roman"/>
          <w:sz w:val="28"/>
          <w:szCs w:val="28"/>
          <w:lang w:val="en-GB"/>
        </w:rPr>
        <w:t>National Anticorruption Directorate</w:t>
      </w:r>
      <w:r w:rsidR="00F75CE8" w:rsidRPr="00EE08C7">
        <w:rPr>
          <w:rFonts w:ascii="Times New Roman" w:eastAsia="Times New Roman" w:hAnsi="Times New Roman" w:cs="Times New Roman"/>
          <w:sz w:val="28"/>
          <w:szCs w:val="28"/>
          <w:lang w:val="en-GB"/>
        </w:rPr>
        <w:t xml:space="preserve">, constantly appreciated by the </w:t>
      </w:r>
      <w:r w:rsidR="00A565F6">
        <w:rPr>
          <w:rFonts w:ascii="Times New Roman" w:eastAsia="Times New Roman" w:hAnsi="Times New Roman" w:cs="Times New Roman"/>
          <w:sz w:val="28"/>
          <w:szCs w:val="28"/>
          <w:lang w:val="en-GB"/>
        </w:rPr>
        <w:t>CVM</w:t>
      </w:r>
      <w:r w:rsidR="00F75CE8"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r</w:t>
      </w:r>
      <w:r w:rsidR="00F75CE8" w:rsidRPr="00EE08C7">
        <w:rPr>
          <w:rFonts w:ascii="Times New Roman" w:eastAsia="Times New Roman" w:hAnsi="Times New Roman" w:cs="Times New Roman"/>
          <w:sz w:val="28"/>
          <w:szCs w:val="28"/>
          <w:lang w:val="en-GB"/>
        </w:rPr>
        <w:t xml:space="preserve">eports. The Cooperation </w:t>
      </w:r>
      <w:r w:rsidR="00A565F6" w:rsidRPr="00EE08C7">
        <w:rPr>
          <w:rFonts w:ascii="Times New Roman" w:eastAsia="Times New Roman" w:hAnsi="Times New Roman" w:cs="Times New Roman"/>
          <w:sz w:val="28"/>
          <w:szCs w:val="28"/>
          <w:lang w:val="en-GB"/>
        </w:rPr>
        <w:t xml:space="preserve">and Verification Mechanism </w:t>
      </w:r>
      <w:r w:rsidRPr="00EE08C7">
        <w:rPr>
          <w:rFonts w:ascii="Times New Roman" w:eastAsia="Times New Roman" w:hAnsi="Times New Roman" w:cs="Times New Roman"/>
          <w:sz w:val="28"/>
          <w:szCs w:val="28"/>
          <w:lang w:val="en-GB"/>
        </w:rPr>
        <w:t xml:space="preserve">was established at the time of Romania’s </w:t>
      </w:r>
      <w:r w:rsidR="005F7818" w:rsidRPr="00EE08C7">
        <w:rPr>
          <w:rFonts w:ascii="Times New Roman" w:eastAsia="Times New Roman" w:hAnsi="Times New Roman" w:cs="Times New Roman"/>
          <w:sz w:val="28"/>
          <w:szCs w:val="28"/>
          <w:lang w:val="en-GB"/>
        </w:rPr>
        <w:t>accession</w:t>
      </w:r>
      <w:r w:rsidRPr="00EE08C7">
        <w:rPr>
          <w:rFonts w:ascii="Times New Roman" w:eastAsia="Times New Roman" w:hAnsi="Times New Roman" w:cs="Times New Roman"/>
          <w:sz w:val="28"/>
          <w:szCs w:val="28"/>
          <w:lang w:val="en-GB"/>
        </w:rPr>
        <w:t xml:space="preserve"> to the European Union in 2007,</w:t>
      </w:r>
      <w:r w:rsidRPr="00EE08C7">
        <w:rPr>
          <w:rFonts w:ascii="Times New Roman" w:eastAsia="Times New Roman" w:hAnsi="Times New Roman" w:cs="Times New Roman"/>
          <w:color w:val="FF0000"/>
          <w:sz w:val="28"/>
          <w:szCs w:val="28"/>
          <w:lang w:val="en-GB"/>
        </w:rPr>
        <w:t xml:space="preserve"> </w:t>
      </w:r>
      <w:r w:rsidRPr="00EE08C7">
        <w:rPr>
          <w:rFonts w:ascii="Times New Roman" w:eastAsia="Times New Roman" w:hAnsi="Times New Roman" w:cs="Times New Roman"/>
          <w:sz w:val="28"/>
          <w:szCs w:val="28"/>
          <w:lang w:val="en-GB"/>
        </w:rPr>
        <w:t xml:space="preserve">in order to remedy the shortcomings in the reform of the judicial system and to </w:t>
      </w:r>
      <w:r w:rsidR="007852C3" w:rsidRPr="00EE08C7">
        <w:rPr>
          <w:rFonts w:ascii="Times New Roman" w:eastAsia="Times New Roman" w:hAnsi="Times New Roman" w:cs="Times New Roman"/>
          <w:sz w:val="28"/>
          <w:szCs w:val="28"/>
          <w:lang w:val="en-GB"/>
        </w:rPr>
        <w:t xml:space="preserve">fight against </w:t>
      </w:r>
      <w:r w:rsidRPr="00EE08C7">
        <w:rPr>
          <w:rFonts w:ascii="Times New Roman" w:eastAsia="Times New Roman" w:hAnsi="Times New Roman" w:cs="Times New Roman"/>
          <w:sz w:val="28"/>
          <w:szCs w:val="28"/>
          <w:lang w:val="en-GB"/>
        </w:rPr>
        <w:t xml:space="preserve">corruption. Between the commitments undertaken by Romania through </w:t>
      </w:r>
      <w:r w:rsidR="005F781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accession to the European Union, attention is drawn to the demonstration of sustainability and irreversibility of progress in the fight against corruption, which requires the institutional strengthening of the </w:t>
      </w:r>
      <w:r w:rsidR="00A565F6" w:rsidRPr="00EE08C7">
        <w:rPr>
          <w:rFonts w:ascii="Times New Roman" w:eastAsia="Times New Roman" w:hAnsi="Times New Roman" w:cs="Times New Roman"/>
          <w:sz w:val="28"/>
          <w:szCs w:val="28"/>
          <w:lang w:val="en-GB"/>
        </w:rPr>
        <w:t>National Anticorruption Directorate</w:t>
      </w:r>
      <w:r w:rsidRPr="00EE08C7">
        <w:rPr>
          <w:rFonts w:ascii="Times New Roman" w:eastAsia="Times New Roman" w:hAnsi="Times New Roman" w:cs="Times New Roman"/>
          <w:sz w:val="28"/>
          <w:szCs w:val="28"/>
          <w:lang w:val="en-GB"/>
        </w:rPr>
        <w:t>”</w:t>
      </w:r>
      <w:r w:rsidR="00D60C7E"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This </w:t>
      </w:r>
      <w:r w:rsidR="00D60C7E"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does not involve a division </w:t>
      </w:r>
      <w:r w:rsidR="005B7ED2"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 xml:space="preserve">the specialised prosecutor’s office, </w:t>
      </w:r>
      <w:r w:rsidR="005B7ED2" w:rsidRPr="00EE08C7">
        <w:rPr>
          <w:rFonts w:ascii="Times New Roman" w:eastAsia="Times New Roman" w:hAnsi="Times New Roman" w:cs="Times New Roman"/>
          <w:sz w:val="28"/>
          <w:szCs w:val="28"/>
          <w:lang w:val="en-GB"/>
        </w:rPr>
        <w:t>while</w:t>
      </w:r>
      <w:r w:rsidRPr="00EE08C7">
        <w:rPr>
          <w:rFonts w:ascii="Times New Roman" w:eastAsia="Times New Roman" w:hAnsi="Times New Roman" w:cs="Times New Roman"/>
          <w:sz w:val="28"/>
          <w:szCs w:val="28"/>
          <w:lang w:val="en-GB"/>
        </w:rPr>
        <w:t xml:space="preserve"> its results are appreciated and encouraged by the European Commission, but rather </w:t>
      </w:r>
      <w:r w:rsidR="005B7ED2" w:rsidRPr="00EE08C7">
        <w:rPr>
          <w:rFonts w:ascii="Times New Roman" w:eastAsia="Times New Roman" w:hAnsi="Times New Roman" w:cs="Times New Roman"/>
          <w:sz w:val="28"/>
          <w:szCs w:val="28"/>
          <w:lang w:val="en-GB"/>
        </w:rPr>
        <w:t xml:space="preserve">its </w:t>
      </w:r>
      <w:r w:rsidRPr="00EE08C7">
        <w:rPr>
          <w:rFonts w:ascii="Times New Roman" w:eastAsia="Times New Roman" w:hAnsi="Times New Roman" w:cs="Times New Roman"/>
          <w:sz w:val="28"/>
          <w:szCs w:val="28"/>
          <w:lang w:val="en-GB"/>
        </w:rPr>
        <w:t xml:space="preserve">institutional </w:t>
      </w:r>
      <w:r w:rsidR="005B7ED2" w:rsidRPr="00EE08C7">
        <w:rPr>
          <w:rFonts w:ascii="Times New Roman" w:eastAsia="Times New Roman" w:hAnsi="Times New Roman" w:cs="Times New Roman"/>
          <w:sz w:val="28"/>
          <w:szCs w:val="28"/>
          <w:lang w:val="en-GB"/>
        </w:rPr>
        <w:t>strengthening</w:t>
      </w:r>
      <w:r w:rsidRPr="00EE08C7">
        <w:rPr>
          <w:rFonts w:ascii="Times New Roman" w:eastAsia="Times New Roman" w:hAnsi="Times New Roman" w:cs="Times New Roman"/>
          <w:sz w:val="28"/>
          <w:szCs w:val="28"/>
          <w:lang w:val="en-GB"/>
        </w:rPr>
        <w:t xml:space="preserve">”. </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It is noted that the Venice Commission, through its Interim Opinion on the draft law </w:t>
      </w:r>
      <w:r w:rsidR="00CC1441" w:rsidRPr="00EE08C7">
        <w:rPr>
          <w:rFonts w:ascii="Times New Roman" w:eastAsia="Times New Roman" w:hAnsi="Times New Roman" w:cs="Times New Roman"/>
          <w:sz w:val="28"/>
          <w:szCs w:val="28"/>
          <w:lang w:val="en-GB"/>
        </w:rPr>
        <w:t>c</w:t>
      </w:r>
      <w:r w:rsidRPr="00EE08C7">
        <w:rPr>
          <w:rFonts w:ascii="Times New Roman" w:eastAsia="Times New Roman" w:hAnsi="Times New Roman" w:cs="Times New Roman"/>
          <w:sz w:val="28"/>
          <w:szCs w:val="28"/>
          <w:lang w:val="en-GB"/>
        </w:rPr>
        <w:t>on</w:t>
      </w:r>
      <w:r w:rsidR="00CC1441" w:rsidRPr="00EE08C7">
        <w:rPr>
          <w:rFonts w:ascii="Times New Roman" w:eastAsia="Times New Roman" w:hAnsi="Times New Roman" w:cs="Times New Roman"/>
          <w:sz w:val="28"/>
          <w:szCs w:val="28"/>
          <w:lang w:val="en-GB"/>
        </w:rPr>
        <w:t>cerning</w:t>
      </w:r>
      <w:r w:rsidRPr="00EE08C7">
        <w:rPr>
          <w:rFonts w:ascii="Times New Roman" w:eastAsia="Times New Roman" w:hAnsi="Times New Roman" w:cs="Times New Roman"/>
          <w:sz w:val="28"/>
          <w:szCs w:val="28"/>
          <w:lang w:val="en-GB"/>
        </w:rPr>
        <w:t xml:space="preserve"> the State Prosecutor’s Office of Montenegro, paragraphs 17, 18 and 23, established that </w:t>
      </w:r>
      <w:r w:rsidR="00CC144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The use of prosecutors specialised in such cases </w:t>
      </w:r>
      <w:r w:rsidR="006A4847"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corruption, money laundering, </w:t>
      </w:r>
      <w:r w:rsidR="00DA7C79" w:rsidRPr="00EE08C7">
        <w:rPr>
          <w:rFonts w:ascii="Times New Roman" w:eastAsia="Times New Roman" w:hAnsi="Times New Roman" w:cs="Times New Roman"/>
          <w:sz w:val="28"/>
          <w:szCs w:val="28"/>
          <w:lang w:val="en-GB"/>
        </w:rPr>
        <w:t xml:space="preserve">trading of </w:t>
      </w:r>
      <w:r w:rsidRPr="00EE08C7">
        <w:rPr>
          <w:rFonts w:ascii="Times New Roman" w:eastAsia="Times New Roman" w:hAnsi="Times New Roman" w:cs="Times New Roman"/>
          <w:sz w:val="28"/>
          <w:szCs w:val="28"/>
          <w:lang w:val="en-GB"/>
        </w:rPr>
        <w:t>influence etc.</w:t>
      </w:r>
      <w:r w:rsidR="00DA7C79"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has been successfully </w:t>
      </w:r>
      <w:r w:rsidR="00DA7C79" w:rsidRPr="00EE08C7">
        <w:rPr>
          <w:rFonts w:ascii="Times New Roman" w:eastAsia="Times New Roman" w:hAnsi="Times New Roman" w:cs="Times New Roman"/>
          <w:sz w:val="28"/>
          <w:szCs w:val="28"/>
          <w:lang w:val="en-GB"/>
        </w:rPr>
        <w:t xml:space="preserve">engaged </w:t>
      </w:r>
      <w:r w:rsidRPr="00EE08C7">
        <w:rPr>
          <w:rFonts w:ascii="Times New Roman" w:eastAsia="Times New Roman" w:hAnsi="Times New Roman" w:cs="Times New Roman"/>
          <w:sz w:val="28"/>
          <w:szCs w:val="28"/>
          <w:lang w:val="en-GB"/>
        </w:rPr>
        <w:t xml:space="preserve">in many countries. The offences in question are specialised and can be </w:t>
      </w:r>
      <w:r w:rsidRPr="00EE08C7">
        <w:rPr>
          <w:rFonts w:ascii="Times New Roman" w:eastAsia="Times New Roman" w:hAnsi="Times New Roman" w:cs="Times New Roman"/>
          <w:sz w:val="28"/>
          <w:szCs w:val="28"/>
          <w:lang w:val="en-GB"/>
        </w:rPr>
        <w:lastRenderedPageBreak/>
        <w:t xml:space="preserve">better investigated and followed up by specialised personnel. In addition, the investigation of these crimes requires very often people with special expertise in very specific fields. Provided that the </w:t>
      </w:r>
      <w:r w:rsidR="00DA7C79" w:rsidRPr="00EE08C7">
        <w:rPr>
          <w:rFonts w:ascii="Times New Roman" w:eastAsia="Times New Roman" w:hAnsi="Times New Roman" w:cs="Times New Roman"/>
          <w:sz w:val="28"/>
          <w:szCs w:val="28"/>
          <w:lang w:val="en-GB"/>
        </w:rPr>
        <w:t xml:space="preserve">acts </w:t>
      </w:r>
      <w:r w:rsidRPr="00EE08C7">
        <w:rPr>
          <w:rFonts w:ascii="Times New Roman" w:eastAsia="Times New Roman" w:hAnsi="Times New Roman" w:cs="Times New Roman"/>
          <w:sz w:val="28"/>
          <w:szCs w:val="28"/>
          <w:lang w:val="en-GB"/>
        </w:rPr>
        <w:t xml:space="preserve">of the specialised prosecutor is subject to proper judicial review, </w:t>
      </w:r>
      <w:r w:rsidR="00CA2F6F" w:rsidRPr="00EE08C7">
        <w:rPr>
          <w:rFonts w:ascii="Times New Roman" w:eastAsia="Times New Roman" w:hAnsi="Times New Roman" w:cs="Times New Roman"/>
          <w:sz w:val="28"/>
          <w:szCs w:val="28"/>
          <w:lang w:val="en-GB"/>
        </w:rPr>
        <w:t xml:space="preserve">it </w:t>
      </w:r>
      <w:r w:rsidRPr="00EE08C7">
        <w:rPr>
          <w:rFonts w:ascii="Times New Roman" w:eastAsia="Times New Roman" w:hAnsi="Times New Roman" w:cs="Times New Roman"/>
          <w:sz w:val="28"/>
          <w:szCs w:val="28"/>
          <w:lang w:val="en-GB"/>
        </w:rPr>
        <w:t xml:space="preserve">brings many benefits and there are no general objections to such a system.” It is however the creation of this section </w:t>
      </w:r>
      <w:r w:rsidR="00CA2F6F" w:rsidRPr="00EE08C7">
        <w:rPr>
          <w:rFonts w:ascii="Times New Roman" w:eastAsia="Times New Roman" w:hAnsi="Times New Roman" w:cs="Times New Roman"/>
          <w:sz w:val="28"/>
          <w:szCs w:val="28"/>
          <w:lang w:val="en-GB"/>
        </w:rPr>
        <w:t xml:space="preserve">that also </w:t>
      </w:r>
      <w:r w:rsidRPr="00EE08C7">
        <w:rPr>
          <w:rFonts w:ascii="Times New Roman" w:eastAsia="Times New Roman" w:hAnsi="Times New Roman" w:cs="Times New Roman"/>
          <w:sz w:val="28"/>
          <w:szCs w:val="28"/>
          <w:lang w:val="en-GB"/>
        </w:rPr>
        <w:t>undermine</w:t>
      </w:r>
      <w:r w:rsidR="00CA2F6F"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the use of specialised prosecutors </w:t>
      </w:r>
      <w:r w:rsidR="00CA2F6F"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corruption, money laundering, trading </w:t>
      </w:r>
      <w:r w:rsidR="00CA2F6F"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influence etc.</w:t>
      </w:r>
      <w:r w:rsidR="00CA2F6F"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not </w:t>
      </w:r>
      <w:r w:rsidR="00CA2F6F" w:rsidRPr="00EE08C7">
        <w:rPr>
          <w:rFonts w:ascii="Times New Roman" w:eastAsia="Times New Roman" w:hAnsi="Times New Roman" w:cs="Times New Roman"/>
          <w:sz w:val="28"/>
          <w:szCs w:val="28"/>
          <w:lang w:val="en-GB"/>
        </w:rPr>
        <w:t xml:space="preserve">being </w:t>
      </w:r>
      <w:r w:rsidRPr="00EE08C7">
        <w:rPr>
          <w:rFonts w:ascii="Times New Roman" w:eastAsia="Times New Roman" w:hAnsi="Times New Roman" w:cs="Times New Roman"/>
          <w:sz w:val="28"/>
          <w:szCs w:val="28"/>
          <w:lang w:val="en-GB"/>
        </w:rPr>
        <w:t xml:space="preserve">a proportionate measure for any </w:t>
      </w:r>
      <w:r w:rsidR="00CA2F6F" w:rsidRPr="00EE08C7">
        <w:rPr>
          <w:rFonts w:ascii="Times New Roman" w:eastAsia="Times New Roman" w:hAnsi="Times New Roman" w:cs="Times New Roman"/>
          <w:sz w:val="28"/>
          <w:szCs w:val="28"/>
          <w:lang w:val="en-GB"/>
        </w:rPr>
        <w:t xml:space="preserve">possible </w:t>
      </w:r>
      <w:r w:rsidRPr="00EE08C7">
        <w:rPr>
          <w:rFonts w:ascii="Times New Roman" w:eastAsia="Times New Roman" w:hAnsi="Times New Roman" w:cs="Times New Roman"/>
          <w:sz w:val="28"/>
          <w:szCs w:val="28"/>
          <w:lang w:val="en-GB"/>
        </w:rPr>
        <w:t>purpose</w:t>
      </w:r>
      <w:r w:rsidR="00CA2F6F" w:rsidRPr="00EE08C7">
        <w:rPr>
          <w:rFonts w:ascii="Times New Roman" w:eastAsia="Times New Roman" w:hAnsi="Times New Roman" w:cs="Times New Roman"/>
          <w:sz w:val="28"/>
          <w:szCs w:val="28"/>
          <w:lang w:val="en-GB"/>
        </w:rPr>
        <w:t xml:space="preserve"> to be pursued</w:t>
      </w:r>
      <w:r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Through the</w:t>
      </w:r>
      <w:r w:rsidRPr="00EE08C7">
        <w:rPr>
          <w:rFonts w:ascii="Times New Roman" w:eastAsia="Times New Roman" w:hAnsi="Times New Roman" w:cs="Times New Roman"/>
          <w:i/>
          <w:sz w:val="28"/>
          <w:szCs w:val="28"/>
          <w:lang w:val="en-GB"/>
        </w:rPr>
        <w:t xml:space="preserve"> ad hoc</w:t>
      </w:r>
      <w:r w:rsidRPr="00EE08C7">
        <w:rPr>
          <w:rFonts w:ascii="Times New Roman" w:eastAsia="Times New Roman" w:hAnsi="Times New Roman" w:cs="Times New Roman"/>
          <w:sz w:val="28"/>
          <w:szCs w:val="28"/>
          <w:lang w:val="en-GB"/>
        </w:rPr>
        <w:t xml:space="preserve"> </w:t>
      </w:r>
      <w:r w:rsidR="00CA2F6F" w:rsidRPr="00EE08C7">
        <w:rPr>
          <w:rFonts w:ascii="Times New Roman" w:eastAsia="Times New Roman" w:hAnsi="Times New Roman" w:cs="Times New Roman"/>
          <w:sz w:val="28"/>
          <w:szCs w:val="28"/>
          <w:lang w:val="en-GB"/>
        </w:rPr>
        <w:t>R</w:t>
      </w:r>
      <w:r w:rsidRPr="00EE08C7">
        <w:rPr>
          <w:rFonts w:ascii="Times New Roman" w:eastAsia="Times New Roman" w:hAnsi="Times New Roman" w:cs="Times New Roman"/>
          <w:sz w:val="28"/>
          <w:szCs w:val="28"/>
          <w:lang w:val="en-GB"/>
        </w:rPr>
        <w:t xml:space="preserve">eport on Romania (Rule 34) adopted by the Group of States against </w:t>
      </w:r>
      <w:r w:rsidR="00AA25B3" w:rsidRPr="00EE08C7">
        <w:rPr>
          <w:rFonts w:ascii="Times New Roman" w:eastAsia="Times New Roman" w:hAnsi="Times New Roman" w:cs="Times New Roman"/>
          <w:sz w:val="28"/>
          <w:szCs w:val="28"/>
          <w:lang w:val="en-GB"/>
        </w:rPr>
        <w:t>C</w:t>
      </w:r>
      <w:r w:rsidRPr="00EE08C7">
        <w:rPr>
          <w:rFonts w:ascii="Times New Roman" w:eastAsia="Times New Roman" w:hAnsi="Times New Roman" w:cs="Times New Roman"/>
          <w:sz w:val="28"/>
          <w:szCs w:val="28"/>
          <w:lang w:val="en-GB"/>
        </w:rPr>
        <w:t>orruption (GRECO), at its 79</w:t>
      </w:r>
      <w:r w:rsidRPr="00A565F6">
        <w:rPr>
          <w:rFonts w:ascii="Times New Roman" w:eastAsia="Times New Roman" w:hAnsi="Times New Roman" w:cs="Times New Roman"/>
          <w:sz w:val="28"/>
          <w:szCs w:val="28"/>
          <w:vertAlign w:val="superscript"/>
          <w:lang w:val="en-GB"/>
        </w:rPr>
        <w:t>th</w:t>
      </w:r>
      <w:r w:rsidR="00A565F6">
        <w:rPr>
          <w:rFonts w:ascii="Times New Roman" w:eastAsia="Times New Roman" w:hAnsi="Times New Roman" w:cs="Times New Roman"/>
          <w:sz w:val="28"/>
          <w:szCs w:val="28"/>
          <w:lang w:val="en-GB"/>
        </w:rPr>
        <w:t xml:space="preserve"> </w:t>
      </w:r>
      <w:r w:rsidR="00AA25B3" w:rsidRPr="00EE08C7">
        <w:rPr>
          <w:rFonts w:ascii="Times New Roman" w:eastAsia="Times New Roman" w:hAnsi="Times New Roman" w:cs="Times New Roman"/>
          <w:sz w:val="28"/>
          <w:szCs w:val="28"/>
          <w:lang w:val="en-GB"/>
        </w:rPr>
        <w:t xml:space="preserve">Plenary Meeting </w:t>
      </w:r>
      <w:r w:rsidRPr="00EE08C7">
        <w:rPr>
          <w:rFonts w:ascii="Times New Roman" w:eastAsia="Times New Roman" w:hAnsi="Times New Roman" w:cs="Times New Roman"/>
          <w:sz w:val="28"/>
          <w:szCs w:val="28"/>
          <w:lang w:val="en-GB"/>
        </w:rPr>
        <w:t xml:space="preserve">(Strasbourg, 19-23 March 2018), it was indicated that the section seems </w:t>
      </w:r>
      <w:r w:rsidR="00AA25B3"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an anomaly in the current institutional </w:t>
      </w:r>
      <w:r w:rsidR="00AA25B3" w:rsidRPr="00EE08C7">
        <w:rPr>
          <w:rFonts w:ascii="Times New Roman" w:eastAsia="Times New Roman" w:hAnsi="Times New Roman" w:cs="Times New Roman"/>
          <w:sz w:val="28"/>
          <w:szCs w:val="28"/>
          <w:lang w:val="en-GB"/>
        </w:rPr>
        <w:t>structure</w:t>
      </w:r>
      <w:r w:rsidRPr="00EE08C7">
        <w:rPr>
          <w:rFonts w:ascii="Times New Roman" w:eastAsia="Times New Roman" w:hAnsi="Times New Roman" w:cs="Times New Roman"/>
          <w:sz w:val="28"/>
          <w:szCs w:val="28"/>
          <w:lang w:val="en-GB"/>
        </w:rPr>
        <w:t xml:space="preserve">, in particular </w:t>
      </w:r>
      <w:r w:rsidR="00AA25B3" w:rsidRPr="00EE08C7">
        <w:rPr>
          <w:rFonts w:ascii="Times New Roman" w:eastAsia="Times New Roman" w:hAnsi="Times New Roman" w:cs="Times New Roman"/>
          <w:sz w:val="28"/>
          <w:szCs w:val="28"/>
          <w:lang w:val="en-GB"/>
        </w:rPr>
        <w:t xml:space="preserve">due to </w:t>
      </w:r>
      <w:r w:rsidRPr="00EE08C7">
        <w:rPr>
          <w:rFonts w:ascii="Times New Roman" w:eastAsia="Times New Roman" w:hAnsi="Times New Roman" w:cs="Times New Roman"/>
          <w:sz w:val="28"/>
          <w:szCs w:val="28"/>
          <w:lang w:val="en-GB"/>
        </w:rPr>
        <w:t xml:space="preserve">(i) </w:t>
      </w:r>
      <w:r w:rsidR="00AA25B3" w:rsidRPr="00EE08C7">
        <w:rPr>
          <w:rFonts w:ascii="Times New Roman" w:eastAsia="Times New Roman" w:hAnsi="Times New Roman" w:cs="Times New Roman"/>
          <w:sz w:val="28"/>
          <w:szCs w:val="28"/>
          <w:lang w:val="en-GB"/>
        </w:rPr>
        <w:t xml:space="preserve">the fact that </w:t>
      </w:r>
      <w:r w:rsidRPr="00EE08C7">
        <w:rPr>
          <w:rFonts w:ascii="Times New Roman" w:eastAsia="Times New Roman" w:hAnsi="Times New Roman" w:cs="Times New Roman"/>
          <w:sz w:val="28"/>
          <w:szCs w:val="28"/>
          <w:lang w:val="en-GB"/>
        </w:rPr>
        <w:t xml:space="preserve">there was no specific data or assessment demonstrating the existence of structural issues in </w:t>
      </w:r>
      <w:r w:rsidR="004F6207" w:rsidRPr="00EE08C7">
        <w:rPr>
          <w:rFonts w:ascii="Times New Roman" w:eastAsia="Times New Roman" w:hAnsi="Times New Roman" w:cs="Times New Roman"/>
          <w:sz w:val="28"/>
          <w:szCs w:val="28"/>
          <w:lang w:val="en-GB"/>
        </w:rPr>
        <w:t>justice</w:t>
      </w:r>
      <w:r w:rsidRPr="00EE08C7">
        <w:rPr>
          <w:rFonts w:ascii="Times New Roman" w:eastAsia="Times New Roman" w:hAnsi="Times New Roman" w:cs="Times New Roman"/>
          <w:sz w:val="28"/>
          <w:szCs w:val="28"/>
          <w:lang w:val="en-GB"/>
        </w:rPr>
        <w:t xml:space="preserve"> to justify such an initiative; (</w:t>
      </w:r>
      <w:r w:rsidR="004F6207" w:rsidRPr="00EE08C7">
        <w:rPr>
          <w:rFonts w:ascii="Times New Roman" w:eastAsia="Times New Roman" w:hAnsi="Times New Roman" w:cs="Times New Roman"/>
          <w:sz w:val="28"/>
          <w:szCs w:val="28"/>
          <w:lang w:val="en-GB"/>
        </w:rPr>
        <w:t>ii</w:t>
      </w:r>
      <w:r w:rsidRPr="00EE08C7">
        <w:rPr>
          <w:rFonts w:ascii="Times New Roman" w:eastAsia="Times New Roman" w:hAnsi="Times New Roman" w:cs="Times New Roman"/>
          <w:sz w:val="28"/>
          <w:szCs w:val="28"/>
          <w:lang w:val="en-GB"/>
        </w:rPr>
        <w:t xml:space="preserve">) due to the way in which management is appointed and </w:t>
      </w:r>
      <w:r w:rsidR="004F6207" w:rsidRPr="00EE08C7">
        <w:rPr>
          <w:rFonts w:ascii="Times New Roman" w:eastAsia="Times New Roman" w:hAnsi="Times New Roman" w:cs="Times New Roman"/>
          <w:sz w:val="28"/>
          <w:szCs w:val="28"/>
          <w:lang w:val="en-GB"/>
        </w:rPr>
        <w:t xml:space="preserve">to </w:t>
      </w:r>
      <w:r w:rsidRPr="00EE08C7">
        <w:rPr>
          <w:rFonts w:ascii="Times New Roman" w:eastAsia="Times New Roman" w:hAnsi="Times New Roman" w:cs="Times New Roman"/>
          <w:sz w:val="28"/>
          <w:szCs w:val="28"/>
          <w:lang w:val="en-GB"/>
        </w:rPr>
        <w:t>(iii) the fact that this section would not have adequate investigators and investigative tools, as opposed to other speciali</w:t>
      </w:r>
      <w:r w:rsidR="004F6207" w:rsidRPr="00EE08C7">
        <w:rPr>
          <w:rFonts w:ascii="Times New Roman" w:eastAsia="Times New Roman" w:hAnsi="Times New Roman" w:cs="Times New Roman"/>
          <w:sz w:val="28"/>
          <w:szCs w:val="28"/>
          <w:lang w:val="en-GB"/>
        </w:rPr>
        <w:t>z</w:t>
      </w:r>
      <w:r w:rsidRPr="00EE08C7">
        <w:rPr>
          <w:rFonts w:ascii="Times New Roman" w:eastAsia="Times New Roman" w:hAnsi="Times New Roman" w:cs="Times New Roman"/>
          <w:sz w:val="28"/>
          <w:szCs w:val="28"/>
          <w:lang w:val="en-GB"/>
        </w:rPr>
        <w:t>ed prosecution bodies”.</w:t>
      </w:r>
    </w:p>
    <w:p w:rsidR="0021723C" w:rsidRPr="00EE08C7" w:rsidRDefault="00AA7276">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Further</w:t>
      </w:r>
      <w:r w:rsidR="0021723C" w:rsidRPr="00EE08C7">
        <w:rPr>
          <w:rFonts w:ascii="Times New Roman" w:eastAsia="Times New Roman" w:hAnsi="Times New Roman" w:cs="Times New Roman"/>
          <w:sz w:val="28"/>
          <w:szCs w:val="28"/>
          <w:lang w:val="en-GB"/>
        </w:rPr>
        <w:t xml:space="preserve">, the authors of the request for referral of the CJEU show that, </w:t>
      </w:r>
      <w:r w:rsidRPr="00EE08C7">
        <w:rPr>
          <w:rFonts w:ascii="Times New Roman" w:eastAsia="Times New Roman" w:hAnsi="Times New Roman" w:cs="Times New Roman"/>
          <w:sz w:val="28"/>
          <w:szCs w:val="28"/>
          <w:lang w:val="en-GB"/>
        </w:rPr>
        <w:t>“</w:t>
      </w:r>
      <w:r w:rsidR="0021723C" w:rsidRPr="00EE08C7">
        <w:rPr>
          <w:rFonts w:ascii="Times New Roman" w:eastAsia="Times New Roman" w:hAnsi="Times New Roman" w:cs="Times New Roman"/>
          <w:sz w:val="28"/>
          <w:szCs w:val="28"/>
          <w:lang w:val="en-GB"/>
        </w:rPr>
        <w:t xml:space="preserve">on an annual basis, there are thousands of fictitious </w:t>
      </w:r>
      <w:r w:rsidRPr="00EE08C7">
        <w:rPr>
          <w:rFonts w:ascii="Times New Roman" w:eastAsia="Times New Roman" w:hAnsi="Times New Roman" w:cs="Times New Roman"/>
          <w:sz w:val="28"/>
          <w:szCs w:val="28"/>
          <w:lang w:val="en-GB"/>
        </w:rPr>
        <w:t>referrals</w:t>
      </w:r>
      <w:r w:rsidR="0021723C" w:rsidRPr="00EE08C7">
        <w:rPr>
          <w:rFonts w:ascii="Times New Roman" w:eastAsia="Times New Roman" w:hAnsi="Times New Roman" w:cs="Times New Roman"/>
          <w:sz w:val="28"/>
          <w:szCs w:val="28"/>
          <w:lang w:val="en-GB"/>
        </w:rPr>
        <w:t xml:space="preserve"> against magistrates, where a minimum of inquiry has to be carried out. These referrals are currently dealt with by more than 150 prosecutors from 19 public prosecutors </w:t>
      </w:r>
      <w:r w:rsidR="00A565F6" w:rsidRPr="00EE08C7">
        <w:rPr>
          <w:rFonts w:ascii="Times New Roman" w:hAnsi="Times New Roman"/>
          <w:sz w:val="28"/>
          <w:szCs w:val="28"/>
          <w:lang w:val="en-GB"/>
        </w:rPr>
        <w:t>(the Prosecutor’s Office attached to the Court of Appeal, the Prosecutor’s Office attached to the High Court of Cassation and Justice, the Directorate for Investigating Organized Crime and Terrorism and the National Anticorruption Directorate)</w:t>
      </w:r>
      <w:r w:rsidR="0021723C" w:rsidRPr="00EE08C7">
        <w:rPr>
          <w:rFonts w:ascii="Times New Roman" w:eastAsia="Times New Roman" w:hAnsi="Times New Roman" w:cs="Times New Roman"/>
          <w:sz w:val="28"/>
          <w:szCs w:val="28"/>
          <w:lang w:val="en-GB"/>
        </w:rPr>
        <w:t xml:space="preserve">. It is clear that </w:t>
      </w:r>
      <w:r w:rsidRPr="00EE08C7">
        <w:rPr>
          <w:rFonts w:ascii="Times New Roman" w:eastAsia="Times New Roman" w:hAnsi="Times New Roman" w:cs="Times New Roman"/>
          <w:sz w:val="28"/>
          <w:szCs w:val="28"/>
          <w:lang w:val="en-GB"/>
        </w:rPr>
        <w:t xml:space="preserve">the </w:t>
      </w:r>
      <w:r w:rsidR="0021723C" w:rsidRPr="00EE08C7">
        <w:rPr>
          <w:rFonts w:ascii="Times New Roman" w:eastAsia="Times New Roman" w:hAnsi="Times New Roman" w:cs="Times New Roman"/>
          <w:sz w:val="28"/>
          <w:szCs w:val="28"/>
          <w:lang w:val="en-GB"/>
        </w:rPr>
        <w:t xml:space="preserve">15 prosecutors in the new section will be overwhelmed by the workload. Limiting the number of prosecutors to 15, by law, is contrary to the role of the Public Ministry, the legislator creating a particularly flexible structure by referring to the competences assigned to them and by reference to the importance of the cases they deal with and weakens the proper functioning and even </w:t>
      </w:r>
      <w:r w:rsidRPr="00EE08C7">
        <w:rPr>
          <w:rFonts w:ascii="Times New Roman" w:eastAsia="Times New Roman" w:hAnsi="Times New Roman" w:cs="Times New Roman"/>
          <w:sz w:val="28"/>
          <w:szCs w:val="28"/>
          <w:lang w:val="en-GB"/>
        </w:rPr>
        <w:t xml:space="preserve">the </w:t>
      </w:r>
      <w:r w:rsidR="0021723C" w:rsidRPr="00EE08C7">
        <w:rPr>
          <w:rFonts w:ascii="Times New Roman" w:eastAsia="Times New Roman" w:hAnsi="Times New Roman" w:cs="Times New Roman"/>
          <w:sz w:val="28"/>
          <w:szCs w:val="28"/>
          <w:lang w:val="en-GB"/>
        </w:rPr>
        <w:t xml:space="preserve">functional independence </w:t>
      </w:r>
      <w:r w:rsidR="0021723C" w:rsidRPr="00EE08C7">
        <w:rPr>
          <w:rFonts w:ascii="Times New Roman" w:eastAsia="Times New Roman" w:hAnsi="Times New Roman" w:cs="Times New Roman"/>
          <w:sz w:val="28"/>
          <w:szCs w:val="28"/>
          <w:lang w:val="en-GB"/>
        </w:rPr>
        <w:lastRenderedPageBreak/>
        <w:t xml:space="preserve">of the </w:t>
      </w:r>
      <w:r w:rsidR="000C6C75" w:rsidRPr="00EE08C7">
        <w:rPr>
          <w:rFonts w:ascii="Times New Roman" w:eastAsia="Times New Roman" w:hAnsi="Times New Roman" w:cs="Times New Roman"/>
          <w:sz w:val="28"/>
          <w:szCs w:val="28"/>
          <w:lang w:val="en-GB"/>
        </w:rPr>
        <w:t xml:space="preserve">Section for the investigation </w:t>
      </w:r>
      <w:r w:rsidR="000C6C75" w:rsidRPr="00EE08C7">
        <w:rPr>
          <w:rFonts w:ascii="Times New Roman" w:eastAsia="Times New Roman" w:hAnsi="Times New Roman" w:cs="Times New Roman"/>
          <w:bCs/>
          <w:sz w:val="28"/>
          <w:szCs w:val="28"/>
          <w:lang w:val="en-GB"/>
        </w:rPr>
        <w:t>of justice-related criminal offences</w:t>
      </w:r>
      <w:r w:rsidR="0021723C" w:rsidRPr="00EE08C7">
        <w:rPr>
          <w:rFonts w:ascii="Times New Roman" w:eastAsia="Times New Roman" w:hAnsi="Times New Roman" w:cs="Times New Roman"/>
          <w:sz w:val="28"/>
          <w:szCs w:val="28"/>
          <w:lang w:val="en-GB"/>
        </w:rPr>
        <w:t xml:space="preserve">. [...] </w:t>
      </w:r>
      <w:r w:rsidR="000C6C75" w:rsidRPr="00EE08C7">
        <w:rPr>
          <w:rFonts w:ascii="Times New Roman" w:eastAsia="Times New Roman" w:hAnsi="Times New Roman" w:cs="Times New Roman"/>
          <w:sz w:val="28"/>
          <w:szCs w:val="28"/>
          <w:lang w:val="en-GB"/>
        </w:rPr>
        <w:t xml:space="preserve">it </w:t>
      </w:r>
      <w:r w:rsidR="0021723C" w:rsidRPr="00EE08C7">
        <w:rPr>
          <w:rFonts w:ascii="Times New Roman" w:eastAsia="Times New Roman" w:hAnsi="Times New Roman" w:cs="Times New Roman"/>
          <w:sz w:val="28"/>
          <w:szCs w:val="28"/>
          <w:lang w:val="en-GB"/>
        </w:rPr>
        <w:t xml:space="preserve">is clear that the quality of </w:t>
      </w:r>
      <w:r w:rsidR="000C6C75" w:rsidRPr="00EE08C7">
        <w:rPr>
          <w:rFonts w:ascii="Times New Roman" w:eastAsia="Times New Roman" w:hAnsi="Times New Roman" w:cs="Times New Roman"/>
          <w:sz w:val="28"/>
          <w:szCs w:val="28"/>
          <w:lang w:val="en-GB"/>
        </w:rPr>
        <w:t xml:space="preserve">the </w:t>
      </w:r>
      <w:r w:rsidR="0021723C" w:rsidRPr="00EE08C7">
        <w:rPr>
          <w:rFonts w:ascii="Times New Roman" w:eastAsia="Times New Roman" w:hAnsi="Times New Roman" w:cs="Times New Roman"/>
          <w:sz w:val="28"/>
          <w:szCs w:val="28"/>
          <w:lang w:val="en-GB"/>
        </w:rPr>
        <w:t xml:space="preserve">prosecution </w:t>
      </w:r>
      <w:r w:rsidR="000C6C75" w:rsidRPr="00EE08C7">
        <w:rPr>
          <w:rFonts w:ascii="Times New Roman" w:eastAsia="Times New Roman" w:hAnsi="Times New Roman" w:cs="Times New Roman"/>
          <w:sz w:val="28"/>
          <w:szCs w:val="28"/>
          <w:lang w:val="en-GB"/>
        </w:rPr>
        <w:t xml:space="preserve">activity by the </w:t>
      </w:r>
      <w:r w:rsidR="0021723C" w:rsidRPr="00EE08C7">
        <w:rPr>
          <w:rFonts w:ascii="Times New Roman" w:eastAsia="Times New Roman" w:hAnsi="Times New Roman" w:cs="Times New Roman"/>
          <w:sz w:val="28"/>
          <w:szCs w:val="28"/>
          <w:lang w:val="en-GB"/>
        </w:rPr>
        <w:t xml:space="preserve">prosecutors </w:t>
      </w:r>
      <w:r w:rsidR="000C6C75" w:rsidRPr="00EE08C7">
        <w:rPr>
          <w:rFonts w:ascii="Times New Roman" w:eastAsia="Times New Roman" w:hAnsi="Times New Roman" w:cs="Times New Roman"/>
          <w:sz w:val="28"/>
          <w:szCs w:val="28"/>
          <w:lang w:val="en-GB"/>
        </w:rPr>
        <w:t>with</w:t>
      </w:r>
      <w:r w:rsidR="0021723C" w:rsidRPr="00EE08C7">
        <w:rPr>
          <w:rFonts w:ascii="Times New Roman" w:eastAsia="Times New Roman" w:hAnsi="Times New Roman" w:cs="Times New Roman"/>
          <w:sz w:val="28"/>
          <w:szCs w:val="28"/>
          <w:lang w:val="en-GB"/>
        </w:rPr>
        <w:t xml:space="preserve">in the Section for </w:t>
      </w:r>
      <w:r w:rsidR="000C6C75" w:rsidRPr="00EE08C7">
        <w:rPr>
          <w:rFonts w:ascii="Times New Roman" w:eastAsia="Times New Roman" w:hAnsi="Times New Roman" w:cs="Times New Roman"/>
          <w:sz w:val="28"/>
          <w:szCs w:val="28"/>
          <w:lang w:val="en-GB"/>
        </w:rPr>
        <w:t xml:space="preserve">the investigation of justice-related criminal offences </w:t>
      </w:r>
      <w:r w:rsidR="0021723C" w:rsidRPr="00EE08C7">
        <w:rPr>
          <w:rFonts w:ascii="Times New Roman" w:eastAsia="Times New Roman" w:hAnsi="Times New Roman" w:cs="Times New Roman"/>
          <w:sz w:val="28"/>
          <w:szCs w:val="28"/>
          <w:lang w:val="en-GB"/>
        </w:rPr>
        <w:t>and the constitutional role of the Public Ministry will be affected</w:t>
      </w:r>
      <w:r w:rsidR="000C6C75" w:rsidRPr="00EE08C7">
        <w:rPr>
          <w:rFonts w:ascii="Times New Roman" w:eastAsia="Times New Roman" w:hAnsi="Times New Roman" w:cs="Times New Roman"/>
          <w:sz w:val="28"/>
          <w:szCs w:val="28"/>
          <w:lang w:val="en-GB"/>
        </w:rPr>
        <w:t>”</w:t>
      </w:r>
      <w:r w:rsidR="0021723C"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On the other hand, </w:t>
      </w:r>
      <w:r w:rsidR="000C6C75"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the competence of </w:t>
      </w:r>
      <w:r w:rsidR="00005F6D" w:rsidRPr="00EE08C7">
        <w:rPr>
          <w:rFonts w:ascii="Times New Roman" w:eastAsia="Times New Roman" w:hAnsi="Times New Roman" w:cs="Times New Roman"/>
          <w:sz w:val="28"/>
          <w:szCs w:val="28"/>
          <w:lang w:val="en-GB"/>
        </w:rPr>
        <w:t>the Section for the investigation of justice-related criminal offences</w:t>
      </w:r>
      <w:r w:rsidRPr="00EE08C7">
        <w:rPr>
          <w:rFonts w:ascii="Times New Roman" w:eastAsia="Times New Roman" w:hAnsi="Times New Roman" w:cs="Times New Roman"/>
          <w:sz w:val="28"/>
          <w:szCs w:val="28"/>
          <w:lang w:val="en-GB"/>
        </w:rPr>
        <w:t xml:space="preserve"> is </w:t>
      </w:r>
      <w:r w:rsidR="00005F6D" w:rsidRPr="00EE08C7">
        <w:rPr>
          <w:rFonts w:ascii="Times New Roman" w:eastAsia="Times New Roman" w:hAnsi="Times New Roman" w:cs="Times New Roman"/>
          <w:sz w:val="28"/>
          <w:szCs w:val="28"/>
          <w:lang w:val="en-GB"/>
        </w:rPr>
        <w:t xml:space="preserve">a </w:t>
      </w:r>
      <w:r w:rsidRPr="00EE08C7">
        <w:rPr>
          <w:rFonts w:ascii="Times New Roman" w:eastAsia="Times New Roman" w:hAnsi="Times New Roman" w:cs="Times New Roman"/>
          <w:sz w:val="28"/>
          <w:szCs w:val="28"/>
          <w:lang w:val="en-GB"/>
        </w:rPr>
        <w:t xml:space="preserve">personal one, targeting </w:t>
      </w:r>
      <w:r w:rsidR="00FB3FE6" w:rsidRPr="00EE08C7">
        <w:rPr>
          <w:rFonts w:ascii="Times New Roman" w:eastAsia="Times New Roman" w:hAnsi="Times New Roman" w:cs="Times New Roman"/>
          <w:sz w:val="28"/>
          <w:szCs w:val="28"/>
          <w:lang w:val="en-GB"/>
        </w:rPr>
        <w:t xml:space="preserve">both </w:t>
      </w:r>
      <w:r w:rsidRPr="00EE08C7">
        <w:rPr>
          <w:rFonts w:ascii="Times New Roman" w:eastAsia="Times New Roman" w:hAnsi="Times New Roman" w:cs="Times New Roman"/>
          <w:sz w:val="28"/>
          <w:szCs w:val="28"/>
          <w:lang w:val="en-GB"/>
        </w:rPr>
        <w:t xml:space="preserve">magistrates and other persons investigated with them in the </w:t>
      </w:r>
      <w:r w:rsidR="00225AA8" w:rsidRPr="00EE08C7">
        <w:rPr>
          <w:rFonts w:ascii="Times New Roman" w:eastAsia="Times New Roman" w:hAnsi="Times New Roman" w:cs="Times New Roman"/>
          <w:sz w:val="28"/>
          <w:szCs w:val="28"/>
          <w:lang w:val="en-GB"/>
        </w:rPr>
        <w:t xml:space="preserve">respective </w:t>
      </w:r>
      <w:r w:rsidRPr="00EE08C7">
        <w:rPr>
          <w:rFonts w:ascii="Times New Roman" w:eastAsia="Times New Roman" w:hAnsi="Times New Roman" w:cs="Times New Roman"/>
          <w:sz w:val="28"/>
          <w:szCs w:val="28"/>
          <w:lang w:val="en-GB"/>
        </w:rPr>
        <w:t xml:space="preserve">cases. In addition, </w:t>
      </w:r>
      <w:r w:rsidR="00225AA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prosecutors in this section will have to deal with any type of </w:t>
      </w:r>
      <w:r w:rsidR="00225AA8" w:rsidRPr="00EE08C7">
        <w:rPr>
          <w:rFonts w:ascii="Times New Roman" w:eastAsia="Times New Roman" w:hAnsi="Times New Roman" w:cs="Times New Roman"/>
          <w:sz w:val="28"/>
          <w:szCs w:val="28"/>
          <w:lang w:val="en-GB"/>
        </w:rPr>
        <w:t xml:space="preserve">offence, as long as it is committed </w:t>
      </w:r>
      <w:r w:rsidRPr="00EE08C7">
        <w:rPr>
          <w:rFonts w:ascii="Times New Roman" w:eastAsia="Times New Roman" w:hAnsi="Times New Roman" w:cs="Times New Roman"/>
          <w:sz w:val="28"/>
          <w:szCs w:val="28"/>
          <w:lang w:val="en-GB"/>
        </w:rPr>
        <w:t xml:space="preserve">by a person </w:t>
      </w:r>
      <w:r w:rsidR="00225AA8" w:rsidRPr="00EE08C7">
        <w:rPr>
          <w:rFonts w:ascii="Times New Roman" w:eastAsia="Times New Roman" w:hAnsi="Times New Roman" w:cs="Times New Roman"/>
          <w:sz w:val="28"/>
          <w:szCs w:val="28"/>
          <w:lang w:val="en-GB"/>
        </w:rPr>
        <w:t xml:space="preserve">having the capacity </w:t>
      </w:r>
      <w:r w:rsidRPr="00EE08C7">
        <w:rPr>
          <w:rFonts w:ascii="Times New Roman" w:eastAsia="Times New Roman" w:hAnsi="Times New Roman" w:cs="Times New Roman"/>
          <w:sz w:val="28"/>
          <w:szCs w:val="28"/>
          <w:lang w:val="en-GB"/>
        </w:rPr>
        <w:t xml:space="preserve">specified by law. The </w:t>
      </w:r>
      <w:r w:rsidR="00FB3FE6" w:rsidRPr="00EE08C7">
        <w:rPr>
          <w:rFonts w:ascii="Times New Roman" w:eastAsia="Times New Roman" w:hAnsi="Times New Roman" w:cs="Times New Roman"/>
          <w:sz w:val="28"/>
          <w:szCs w:val="28"/>
          <w:lang w:val="en-GB"/>
        </w:rPr>
        <w:t xml:space="preserve">setting up of the </w:t>
      </w:r>
      <w:r w:rsidR="000729CD" w:rsidRPr="00EE08C7">
        <w:rPr>
          <w:rFonts w:ascii="Times New Roman" w:eastAsia="Times New Roman" w:hAnsi="Times New Roman" w:cs="Times New Roman"/>
          <w:sz w:val="28"/>
          <w:szCs w:val="28"/>
          <w:lang w:val="en-GB"/>
        </w:rPr>
        <w:t xml:space="preserve">single </w:t>
      </w:r>
      <w:r w:rsidRPr="00EE08C7">
        <w:rPr>
          <w:rFonts w:ascii="Times New Roman" w:eastAsia="Times New Roman" w:hAnsi="Times New Roman" w:cs="Times New Roman"/>
          <w:sz w:val="28"/>
          <w:szCs w:val="28"/>
          <w:lang w:val="en-GB"/>
        </w:rPr>
        <w:t xml:space="preserve">structure in the </w:t>
      </w:r>
      <w:r w:rsidR="000729CD" w:rsidRPr="00EE08C7">
        <w:rPr>
          <w:rFonts w:ascii="Times New Roman" w:eastAsia="Times New Roman" w:hAnsi="Times New Roman" w:cs="Times New Roman"/>
          <w:sz w:val="28"/>
          <w:szCs w:val="28"/>
          <w:lang w:val="en-GB"/>
        </w:rPr>
        <w:t xml:space="preserve">Municipality </w:t>
      </w:r>
      <w:r w:rsidRPr="00EE08C7">
        <w:rPr>
          <w:rFonts w:ascii="Times New Roman" w:eastAsia="Times New Roman" w:hAnsi="Times New Roman" w:cs="Times New Roman"/>
          <w:sz w:val="28"/>
          <w:szCs w:val="28"/>
          <w:lang w:val="en-GB"/>
        </w:rPr>
        <w:t xml:space="preserve">of Bucharest, where the 15 prosecutors will be operating, requires a much greater effort on the part of the </w:t>
      </w:r>
      <w:r w:rsidR="000729CD" w:rsidRPr="00EE08C7">
        <w:rPr>
          <w:rFonts w:ascii="Times New Roman" w:eastAsia="Times New Roman" w:hAnsi="Times New Roman" w:cs="Times New Roman"/>
          <w:sz w:val="28"/>
          <w:szCs w:val="28"/>
          <w:lang w:val="en-GB"/>
        </w:rPr>
        <w:t xml:space="preserve">magistrates </w:t>
      </w:r>
      <w:r w:rsidRPr="00EE08C7">
        <w:rPr>
          <w:rFonts w:ascii="Times New Roman" w:eastAsia="Times New Roman" w:hAnsi="Times New Roman" w:cs="Times New Roman"/>
          <w:sz w:val="28"/>
          <w:szCs w:val="28"/>
          <w:lang w:val="en-GB"/>
        </w:rPr>
        <w:t xml:space="preserve">to deal with </w:t>
      </w:r>
      <w:r w:rsidR="000729CD" w:rsidRPr="00EE08C7">
        <w:rPr>
          <w:rFonts w:ascii="Times New Roman" w:eastAsia="Times New Roman" w:hAnsi="Times New Roman" w:cs="Times New Roman"/>
          <w:sz w:val="28"/>
          <w:szCs w:val="28"/>
          <w:lang w:val="en-GB"/>
        </w:rPr>
        <w:t xml:space="preserve">compared to </w:t>
      </w:r>
      <w:r w:rsidRPr="00EE08C7">
        <w:rPr>
          <w:rFonts w:ascii="Times New Roman" w:eastAsia="Times New Roman" w:hAnsi="Times New Roman" w:cs="Times New Roman"/>
          <w:sz w:val="28"/>
          <w:szCs w:val="28"/>
          <w:lang w:val="en-GB"/>
        </w:rPr>
        <w:t xml:space="preserve">other categories of people: long distance </w:t>
      </w:r>
      <w:r w:rsidR="000F5AA4" w:rsidRPr="00EE08C7">
        <w:rPr>
          <w:rFonts w:ascii="Times New Roman" w:eastAsia="Times New Roman" w:hAnsi="Times New Roman" w:cs="Times New Roman"/>
          <w:sz w:val="28"/>
          <w:szCs w:val="28"/>
          <w:lang w:val="en-GB"/>
        </w:rPr>
        <w:t>travels</w:t>
      </w:r>
      <w:r w:rsidRPr="00EE08C7">
        <w:rPr>
          <w:rFonts w:ascii="Times New Roman" w:eastAsia="Times New Roman" w:hAnsi="Times New Roman" w:cs="Times New Roman"/>
          <w:sz w:val="28"/>
          <w:szCs w:val="28"/>
          <w:lang w:val="en-GB"/>
        </w:rPr>
        <w:t xml:space="preserve"> </w:t>
      </w:r>
      <w:r w:rsidR="000F5AA4" w:rsidRPr="00EE08C7">
        <w:rPr>
          <w:rFonts w:ascii="Times New Roman" w:eastAsia="Times New Roman" w:hAnsi="Times New Roman" w:cs="Times New Roman"/>
          <w:sz w:val="28"/>
          <w:szCs w:val="28"/>
          <w:lang w:val="en-GB"/>
        </w:rPr>
        <w:t xml:space="preserve">to </w:t>
      </w:r>
      <w:r w:rsidRPr="00EE08C7">
        <w:rPr>
          <w:rFonts w:ascii="Times New Roman" w:eastAsia="Times New Roman" w:hAnsi="Times New Roman" w:cs="Times New Roman"/>
          <w:sz w:val="28"/>
          <w:szCs w:val="28"/>
          <w:lang w:val="en-GB"/>
        </w:rPr>
        <w:t xml:space="preserve">hearings during </w:t>
      </w:r>
      <w:r w:rsidR="000F5AA4"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working hours, in another locality, incurring excessive costs, which might affect the good organisation of </w:t>
      </w:r>
      <w:r w:rsidR="000F5AA4"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defence by the </w:t>
      </w:r>
      <w:r w:rsidR="000F5AA4" w:rsidRPr="00EE08C7">
        <w:rPr>
          <w:rFonts w:ascii="Times New Roman" w:eastAsia="Times New Roman" w:hAnsi="Times New Roman" w:cs="Times New Roman"/>
          <w:sz w:val="28"/>
          <w:szCs w:val="28"/>
          <w:lang w:val="en-GB"/>
        </w:rPr>
        <w:t xml:space="preserve">respective </w:t>
      </w:r>
      <w:r w:rsidRPr="00EE08C7">
        <w:rPr>
          <w:rFonts w:ascii="Times New Roman" w:eastAsia="Times New Roman" w:hAnsi="Times New Roman" w:cs="Times New Roman"/>
          <w:sz w:val="28"/>
          <w:szCs w:val="28"/>
          <w:lang w:val="en-GB"/>
        </w:rPr>
        <w:t xml:space="preserve">magistrate. Furthermore, the manner of appointing the </w:t>
      </w:r>
      <w:r w:rsidR="000F5AA4" w:rsidRPr="00EE08C7">
        <w:rPr>
          <w:rFonts w:ascii="Times New Roman" w:eastAsia="Times New Roman" w:hAnsi="Times New Roman" w:cs="Times New Roman"/>
          <w:sz w:val="28"/>
          <w:szCs w:val="28"/>
          <w:lang w:val="en-GB"/>
        </w:rPr>
        <w:t xml:space="preserve">chief prosecutor </w:t>
      </w:r>
      <w:r w:rsidRPr="00EE08C7">
        <w:rPr>
          <w:rFonts w:ascii="Times New Roman" w:eastAsia="Times New Roman" w:hAnsi="Times New Roman" w:cs="Times New Roman"/>
          <w:sz w:val="28"/>
          <w:szCs w:val="28"/>
          <w:lang w:val="en-GB"/>
        </w:rPr>
        <w:t xml:space="preserve">and </w:t>
      </w:r>
      <w:r w:rsidR="000F5AA4"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the other 14 prosecutors for whom the sample of the interview is 60 % does not provide sufficient guarantees for an impartial selection process</w:t>
      </w:r>
      <w:r w:rsidR="000F5AA4"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which is also of a nature to be reflected in the </w:t>
      </w:r>
      <w:r w:rsidR="000F5AA4" w:rsidRPr="00EE08C7">
        <w:rPr>
          <w:rFonts w:ascii="Times New Roman" w:eastAsia="Times New Roman" w:hAnsi="Times New Roman" w:cs="Times New Roman"/>
          <w:sz w:val="28"/>
          <w:szCs w:val="28"/>
          <w:lang w:val="en-GB"/>
        </w:rPr>
        <w:t>operation of</w:t>
      </w:r>
      <w:r w:rsidRPr="00EE08C7">
        <w:rPr>
          <w:rFonts w:ascii="Times New Roman" w:eastAsia="Times New Roman" w:hAnsi="Times New Roman" w:cs="Times New Roman"/>
          <w:sz w:val="28"/>
          <w:szCs w:val="28"/>
          <w:lang w:val="en-GB"/>
        </w:rPr>
        <w:t xml:space="preserve"> this section”</w:t>
      </w:r>
      <w:r w:rsidR="000F5AA4"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Finally, the authors of the referral indicate that </w:t>
      </w:r>
      <w:r w:rsidR="000A31E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the </w:t>
      </w:r>
      <w:r w:rsidR="000A31E6" w:rsidRPr="00EE08C7">
        <w:rPr>
          <w:rFonts w:ascii="Times New Roman" w:eastAsia="Times New Roman" w:hAnsi="Times New Roman" w:cs="Times New Roman"/>
          <w:sz w:val="28"/>
          <w:szCs w:val="28"/>
          <w:lang w:val="en-GB"/>
        </w:rPr>
        <w:t xml:space="preserve">guarantee of </w:t>
      </w:r>
      <w:r w:rsidRPr="00EE08C7">
        <w:rPr>
          <w:rFonts w:ascii="Times New Roman" w:eastAsia="Times New Roman" w:hAnsi="Times New Roman" w:cs="Times New Roman"/>
          <w:sz w:val="28"/>
          <w:szCs w:val="28"/>
          <w:lang w:val="en-GB"/>
        </w:rPr>
        <w:t>independence</w:t>
      </w:r>
      <w:r w:rsidR="000A31E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inherent </w:t>
      </w:r>
      <w:r w:rsidR="000A31E6" w:rsidRPr="00EE08C7">
        <w:rPr>
          <w:rFonts w:ascii="Times New Roman" w:eastAsia="Times New Roman" w:hAnsi="Times New Roman" w:cs="Times New Roman"/>
          <w:sz w:val="28"/>
          <w:szCs w:val="28"/>
          <w:lang w:val="en-GB"/>
        </w:rPr>
        <w:t>to</w:t>
      </w:r>
      <w:r w:rsidRPr="00EE08C7">
        <w:rPr>
          <w:rFonts w:ascii="Times New Roman" w:eastAsia="Times New Roman" w:hAnsi="Times New Roman" w:cs="Times New Roman"/>
          <w:sz w:val="28"/>
          <w:szCs w:val="28"/>
          <w:lang w:val="en-GB"/>
        </w:rPr>
        <w:t xml:space="preserve"> the mission </w:t>
      </w:r>
      <w:r w:rsidR="000A31E6" w:rsidRPr="00EE08C7">
        <w:rPr>
          <w:rFonts w:ascii="Times New Roman" w:eastAsia="Times New Roman" w:hAnsi="Times New Roman" w:cs="Times New Roman"/>
          <w:sz w:val="28"/>
          <w:szCs w:val="28"/>
          <w:lang w:val="en-GB"/>
        </w:rPr>
        <w:t xml:space="preserve">to judge, </w:t>
      </w:r>
      <w:r w:rsidRPr="00EE08C7">
        <w:rPr>
          <w:rFonts w:ascii="Times New Roman" w:eastAsia="Times New Roman" w:hAnsi="Times New Roman" w:cs="Times New Roman"/>
          <w:sz w:val="28"/>
          <w:szCs w:val="28"/>
          <w:lang w:val="en-GB"/>
        </w:rPr>
        <w:t xml:space="preserve">is requested not only at </w:t>
      </w:r>
      <w:r w:rsidR="000A31E6"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Union level, for the Union judges and the Advocates</w:t>
      </w:r>
      <w:r w:rsidR="000A31E6"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General of the </w:t>
      </w:r>
      <w:r w:rsidR="000A31E6" w:rsidRPr="00EE08C7">
        <w:rPr>
          <w:rFonts w:ascii="Times New Roman" w:eastAsia="Times New Roman" w:hAnsi="Times New Roman" w:cs="Times New Roman"/>
          <w:sz w:val="28"/>
          <w:szCs w:val="28"/>
          <w:lang w:val="en-GB"/>
        </w:rPr>
        <w:t>Court</w:t>
      </w:r>
      <w:r w:rsidRPr="00EE08C7">
        <w:rPr>
          <w:rFonts w:ascii="Times New Roman" w:eastAsia="Times New Roman" w:hAnsi="Times New Roman" w:cs="Times New Roman"/>
          <w:sz w:val="28"/>
          <w:szCs w:val="28"/>
          <w:lang w:val="en-GB"/>
        </w:rPr>
        <w:t>, as provided for in the third paragraph of Article 19</w:t>
      </w:r>
      <w:r w:rsidR="0085770C"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(2) TEU and also at the level of the Member States of the European Union, for national courts”</w:t>
      </w:r>
      <w:r w:rsidR="0085770C"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In the light of all these arguments, </w:t>
      </w:r>
      <w:r w:rsidR="000026E5" w:rsidRPr="00EE08C7">
        <w:rPr>
          <w:rFonts w:ascii="Times New Roman" w:eastAsia="Times New Roman" w:hAnsi="Times New Roman" w:cs="Times New Roman"/>
          <w:sz w:val="28"/>
          <w:szCs w:val="28"/>
          <w:lang w:val="en-GB"/>
        </w:rPr>
        <w:t xml:space="preserve">it requires </w:t>
      </w:r>
      <w:r w:rsidRPr="00EE08C7">
        <w:rPr>
          <w:rFonts w:ascii="Times New Roman" w:eastAsia="Times New Roman" w:hAnsi="Times New Roman" w:cs="Times New Roman"/>
          <w:sz w:val="28"/>
          <w:szCs w:val="28"/>
          <w:lang w:val="en-GB"/>
        </w:rPr>
        <w:t>the Constitutional Court to ask the C</w:t>
      </w:r>
      <w:r w:rsidR="000026E5" w:rsidRPr="00EE08C7">
        <w:rPr>
          <w:rFonts w:ascii="Times New Roman" w:eastAsia="Times New Roman" w:hAnsi="Times New Roman" w:cs="Times New Roman"/>
          <w:sz w:val="28"/>
          <w:szCs w:val="28"/>
          <w:lang w:val="en-GB"/>
        </w:rPr>
        <w:t xml:space="preserve">JEU </w:t>
      </w:r>
      <w:r w:rsidRPr="00EE08C7">
        <w:rPr>
          <w:rFonts w:ascii="Times New Roman" w:eastAsia="Times New Roman" w:hAnsi="Times New Roman" w:cs="Times New Roman"/>
          <w:sz w:val="28"/>
          <w:szCs w:val="28"/>
          <w:lang w:val="en-GB"/>
        </w:rPr>
        <w:t xml:space="preserve">to give a preliminary ruling in the expedited procedure, </w:t>
      </w:r>
      <w:r w:rsidR="000026E5"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which is justified by the nature of the case, which requires immediate decision to be taken, since the </w:t>
      </w:r>
      <w:r w:rsidR="000026E5" w:rsidRPr="00EE08C7">
        <w:rPr>
          <w:rFonts w:ascii="Times New Roman" w:eastAsia="Times New Roman" w:hAnsi="Times New Roman" w:cs="Times New Roman"/>
          <w:sz w:val="28"/>
          <w:szCs w:val="28"/>
          <w:lang w:val="en-GB"/>
        </w:rPr>
        <w:t xml:space="preserve">exigencies of the </w:t>
      </w:r>
      <w:r w:rsidRPr="00EE08C7">
        <w:rPr>
          <w:rFonts w:ascii="Times New Roman" w:eastAsia="Times New Roman" w:hAnsi="Times New Roman" w:cs="Times New Roman"/>
          <w:sz w:val="28"/>
          <w:szCs w:val="28"/>
          <w:lang w:val="en-GB"/>
        </w:rPr>
        <w:t>r</w:t>
      </w:r>
      <w:r w:rsidR="000026E5" w:rsidRPr="00EE08C7">
        <w:rPr>
          <w:rFonts w:ascii="Times New Roman" w:eastAsia="Times New Roman" w:hAnsi="Times New Roman" w:cs="Times New Roman"/>
          <w:sz w:val="28"/>
          <w:szCs w:val="28"/>
          <w:lang w:val="en-GB"/>
        </w:rPr>
        <w:t>ule of law cannot be conditioned</w:t>
      </w:r>
      <w:r w:rsidRPr="00EE08C7">
        <w:rPr>
          <w:rFonts w:ascii="Times New Roman" w:eastAsia="Times New Roman" w:hAnsi="Times New Roman" w:cs="Times New Roman"/>
          <w:sz w:val="28"/>
          <w:szCs w:val="28"/>
          <w:lang w:val="en-GB"/>
        </w:rPr>
        <w:t xml:space="preserve"> </w:t>
      </w:r>
      <w:r w:rsidR="000026E5" w:rsidRPr="00EE08C7">
        <w:rPr>
          <w:rFonts w:ascii="Times New Roman" w:eastAsia="Times New Roman" w:hAnsi="Times New Roman" w:cs="Times New Roman"/>
          <w:sz w:val="28"/>
          <w:szCs w:val="28"/>
          <w:lang w:val="en-GB"/>
        </w:rPr>
        <w:t>by</w:t>
      </w:r>
      <w:r w:rsidRPr="00EE08C7">
        <w:rPr>
          <w:rFonts w:ascii="Times New Roman" w:eastAsia="Times New Roman" w:hAnsi="Times New Roman" w:cs="Times New Roman"/>
          <w:sz w:val="28"/>
          <w:szCs w:val="28"/>
          <w:lang w:val="en-GB"/>
        </w:rPr>
        <w:t xml:space="preserve"> long-standing delays</w:t>
      </w:r>
      <w:r w:rsidR="000026E5"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in which irreparable damage may be caused”</w:t>
      </w:r>
      <w:r w:rsidR="000026E5"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b/>
          <w:bCs/>
          <w:sz w:val="28"/>
          <w:szCs w:val="28"/>
          <w:lang w:val="en-GB"/>
        </w:rPr>
        <w:lastRenderedPageBreak/>
        <w:t xml:space="preserve">In the grounds of </w:t>
      </w:r>
      <w:r w:rsidR="000026E5" w:rsidRPr="00EE08C7">
        <w:rPr>
          <w:rFonts w:ascii="Times New Roman" w:eastAsia="Times New Roman" w:hAnsi="Times New Roman" w:cs="Times New Roman"/>
          <w:b/>
          <w:bCs/>
          <w:sz w:val="28"/>
          <w:szCs w:val="28"/>
          <w:lang w:val="en-GB"/>
        </w:rPr>
        <w:t xml:space="preserve">the referral of </w:t>
      </w:r>
      <w:r w:rsidRPr="00EE08C7">
        <w:rPr>
          <w:rFonts w:ascii="Times New Roman" w:eastAsia="Times New Roman" w:hAnsi="Times New Roman" w:cs="Times New Roman"/>
          <w:b/>
          <w:bCs/>
          <w:sz w:val="28"/>
          <w:szCs w:val="28"/>
          <w:lang w:val="en-GB"/>
        </w:rPr>
        <w:t>unconstitutionality</w:t>
      </w:r>
      <w:r w:rsidRPr="00EE08C7">
        <w:rPr>
          <w:rFonts w:ascii="Times New Roman" w:eastAsia="Times New Roman" w:hAnsi="Times New Roman" w:cs="Times New Roman"/>
          <w:bCs/>
          <w:sz w:val="28"/>
          <w:szCs w:val="28"/>
          <w:lang w:val="en-GB"/>
        </w:rPr>
        <w:t xml:space="preserve">, the authors of the objection claim that </w:t>
      </w:r>
      <w:r w:rsidR="00807CA8" w:rsidRPr="00EE08C7">
        <w:rPr>
          <w:rFonts w:ascii="Times New Roman" w:eastAsia="Times New Roman" w:hAnsi="Times New Roman" w:cs="Times New Roman"/>
          <w:bCs/>
          <w:sz w:val="28"/>
          <w:szCs w:val="28"/>
          <w:lang w:val="en-GB"/>
        </w:rPr>
        <w:t xml:space="preserve">the </w:t>
      </w:r>
      <w:r w:rsidRPr="00EE08C7">
        <w:rPr>
          <w:rFonts w:ascii="Times New Roman" w:eastAsia="Times New Roman" w:hAnsi="Times New Roman" w:cs="Times New Roman"/>
          <w:bCs/>
          <w:sz w:val="28"/>
          <w:szCs w:val="28"/>
          <w:lang w:val="en-GB"/>
        </w:rPr>
        <w:t xml:space="preserve">Government Emergency Ordinance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90/2018 </w:t>
      </w:r>
      <w:r w:rsidR="00D31FB5" w:rsidRPr="00EE08C7">
        <w:rPr>
          <w:rFonts w:ascii="Times New Roman" w:eastAsia="Times New Roman" w:hAnsi="Times New Roman" w:cs="Times New Roman"/>
          <w:bCs/>
          <w:sz w:val="28"/>
          <w:szCs w:val="28"/>
          <w:lang w:val="en-GB"/>
        </w:rPr>
        <w:t>c</w:t>
      </w:r>
      <w:r w:rsidRPr="00EE08C7">
        <w:rPr>
          <w:rFonts w:ascii="Times New Roman" w:eastAsia="Times New Roman" w:hAnsi="Times New Roman" w:cs="Times New Roman"/>
          <w:bCs/>
          <w:sz w:val="28"/>
          <w:szCs w:val="28"/>
          <w:lang w:val="en-GB"/>
        </w:rPr>
        <w:t>on</w:t>
      </w:r>
      <w:r w:rsidR="00D31FB5" w:rsidRPr="00EE08C7">
        <w:rPr>
          <w:rFonts w:ascii="Times New Roman" w:eastAsia="Times New Roman" w:hAnsi="Times New Roman" w:cs="Times New Roman"/>
          <w:bCs/>
          <w:sz w:val="28"/>
          <w:szCs w:val="28"/>
          <w:lang w:val="en-GB"/>
        </w:rPr>
        <w:t>cerning</w:t>
      </w:r>
      <w:r w:rsidRPr="00EE08C7">
        <w:rPr>
          <w:rFonts w:ascii="Times New Roman" w:eastAsia="Times New Roman" w:hAnsi="Times New Roman" w:cs="Times New Roman"/>
          <w:bCs/>
          <w:sz w:val="28"/>
          <w:szCs w:val="28"/>
          <w:lang w:val="en-GB"/>
        </w:rPr>
        <w:t xml:space="preserve"> certain measures </w:t>
      </w:r>
      <w:r w:rsidR="00D31FB5" w:rsidRPr="00EE08C7">
        <w:rPr>
          <w:rFonts w:ascii="Times New Roman" w:eastAsia="Times New Roman" w:hAnsi="Times New Roman" w:cs="Times New Roman"/>
          <w:bCs/>
          <w:sz w:val="28"/>
          <w:szCs w:val="28"/>
          <w:lang w:val="en-GB"/>
        </w:rPr>
        <w:t xml:space="preserve">aimed at making </w:t>
      </w:r>
      <w:r w:rsidRPr="00EE08C7">
        <w:rPr>
          <w:rFonts w:ascii="Times New Roman" w:eastAsia="Times New Roman" w:hAnsi="Times New Roman" w:cs="Times New Roman"/>
          <w:bCs/>
          <w:sz w:val="28"/>
          <w:szCs w:val="28"/>
          <w:lang w:val="en-GB"/>
        </w:rPr>
        <w:t xml:space="preserve">the Section for the Investigation of Criminal Offences </w:t>
      </w:r>
      <w:r w:rsidR="00807CA8" w:rsidRPr="00EE08C7">
        <w:rPr>
          <w:rFonts w:ascii="Times New Roman" w:eastAsia="Times New Roman" w:hAnsi="Times New Roman" w:cs="Times New Roman"/>
          <w:bCs/>
          <w:sz w:val="28"/>
          <w:szCs w:val="28"/>
          <w:lang w:val="en-GB"/>
        </w:rPr>
        <w:t xml:space="preserve">operational </w:t>
      </w:r>
      <w:r w:rsidRPr="00EE08C7">
        <w:rPr>
          <w:rFonts w:ascii="Times New Roman" w:eastAsia="Times New Roman" w:hAnsi="Times New Roman" w:cs="Times New Roman"/>
          <w:bCs/>
          <w:sz w:val="28"/>
          <w:szCs w:val="28"/>
          <w:lang w:val="en-GB"/>
        </w:rPr>
        <w:t xml:space="preserve">was adopted in breach of </w:t>
      </w:r>
      <w:r w:rsidR="00807CA8" w:rsidRPr="00EE08C7">
        <w:rPr>
          <w:rFonts w:ascii="Times New Roman" w:eastAsia="Times New Roman" w:hAnsi="Times New Roman" w:cs="Times New Roman"/>
          <w:bCs/>
          <w:sz w:val="28"/>
          <w:szCs w:val="28"/>
          <w:lang w:val="en-GB"/>
        </w:rPr>
        <w:t xml:space="preserve">the provisions of </w:t>
      </w:r>
      <w:r w:rsidRPr="00EE08C7">
        <w:rPr>
          <w:rFonts w:ascii="Times New Roman" w:eastAsia="Times New Roman" w:hAnsi="Times New Roman" w:cs="Times New Roman"/>
          <w:bCs/>
          <w:sz w:val="28"/>
          <w:szCs w:val="28"/>
          <w:lang w:val="en-GB"/>
        </w:rPr>
        <w:t xml:space="preserve">Article 115 (4) of the Constitution. </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hAnsi="Times New Roman" w:cs="Times New Roman"/>
          <w:sz w:val="28"/>
          <w:szCs w:val="28"/>
          <w:lang w:val="en-GB"/>
        </w:rPr>
        <w:t>In</w:t>
      </w:r>
      <w:r w:rsidRPr="00EE08C7">
        <w:rPr>
          <w:rFonts w:ascii="Times New Roman" w:eastAsia="Times New Roman" w:hAnsi="Times New Roman" w:cs="Times New Roman"/>
          <w:bCs/>
          <w:sz w:val="28"/>
          <w:szCs w:val="28"/>
          <w:lang w:val="en-GB"/>
        </w:rPr>
        <w:t xml:space="preserve"> view of the fact that, formally, the urgency of the measures introduced was motivated by the Emergency Act, it co</w:t>
      </w:r>
      <w:r w:rsidR="00906229" w:rsidRPr="00EE08C7">
        <w:rPr>
          <w:rFonts w:ascii="Times New Roman" w:eastAsia="Times New Roman" w:hAnsi="Times New Roman" w:cs="Times New Roman"/>
          <w:bCs/>
          <w:sz w:val="28"/>
          <w:szCs w:val="28"/>
          <w:lang w:val="en-GB"/>
        </w:rPr>
        <w:t>nsiders</w:t>
      </w:r>
      <w:r w:rsidRPr="00EE08C7">
        <w:rPr>
          <w:rFonts w:ascii="Times New Roman" w:eastAsia="Times New Roman" w:hAnsi="Times New Roman" w:cs="Times New Roman"/>
          <w:bCs/>
          <w:sz w:val="28"/>
          <w:szCs w:val="28"/>
          <w:lang w:val="en-GB"/>
        </w:rPr>
        <w:t xml:space="preserve"> that, when it was adopted, the Government did not respect the other two binding conditions, namely the existence of an extraordinary situation and the impossibility of postponing </w:t>
      </w:r>
      <w:r w:rsidRPr="00EE08C7">
        <w:rPr>
          <w:rFonts w:ascii="Times New Roman" w:hAnsi="Times New Roman" w:cs="Times New Roman"/>
          <w:sz w:val="28"/>
          <w:szCs w:val="28"/>
          <w:lang w:val="en-GB"/>
        </w:rPr>
        <w:t>its</w:t>
      </w:r>
      <w:r w:rsidRPr="00EE08C7">
        <w:rPr>
          <w:rFonts w:ascii="Times New Roman" w:eastAsia="Times New Roman" w:hAnsi="Times New Roman" w:cs="Times New Roman"/>
          <w:bCs/>
          <w:sz w:val="28"/>
          <w:szCs w:val="28"/>
          <w:lang w:val="en-GB"/>
        </w:rPr>
        <w:t xml:space="preserve"> regulation. Thus, in the preamble to the Emergency Ord</w:t>
      </w:r>
      <w:r w:rsidR="00906229" w:rsidRPr="00EE08C7">
        <w:rPr>
          <w:rFonts w:ascii="Times New Roman" w:eastAsia="Times New Roman" w:hAnsi="Times New Roman" w:cs="Times New Roman"/>
          <w:bCs/>
          <w:sz w:val="28"/>
          <w:szCs w:val="28"/>
          <w:lang w:val="en-GB"/>
        </w:rPr>
        <w:t>inance</w:t>
      </w:r>
      <w:r w:rsidRPr="00EE08C7">
        <w:rPr>
          <w:rFonts w:ascii="Times New Roman" w:eastAsia="Times New Roman" w:hAnsi="Times New Roman" w:cs="Times New Roman"/>
          <w:bCs/>
          <w:sz w:val="28"/>
          <w:szCs w:val="28"/>
          <w:lang w:val="en-GB"/>
        </w:rPr>
        <w:t xml:space="preserve"> it is noted that, in accordance with Article III (1) of Law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207/2018 amending and supplementing Law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304/2004 on the judicial organisation, the </w:t>
      </w:r>
      <w:r w:rsidR="00906229" w:rsidRPr="00EE08C7">
        <w:rPr>
          <w:rFonts w:ascii="Times New Roman" w:eastAsia="Times New Roman" w:hAnsi="Times New Roman" w:cs="Times New Roman"/>
          <w:bCs/>
          <w:i/>
          <w:sz w:val="28"/>
          <w:szCs w:val="28"/>
          <w:lang w:val="en-GB"/>
        </w:rPr>
        <w:t>“</w:t>
      </w:r>
      <w:r w:rsidRPr="00EE08C7">
        <w:rPr>
          <w:rFonts w:ascii="Times New Roman" w:eastAsia="Times New Roman" w:hAnsi="Times New Roman" w:cs="Times New Roman"/>
          <w:bCs/>
          <w:i/>
          <w:sz w:val="28"/>
          <w:szCs w:val="28"/>
          <w:lang w:val="en-GB"/>
        </w:rPr>
        <w:t xml:space="preserve">Section for the investigation of </w:t>
      </w:r>
      <w:r w:rsidR="00885CD9" w:rsidRPr="00EE08C7">
        <w:rPr>
          <w:rFonts w:ascii="Times New Roman" w:eastAsia="Times New Roman" w:hAnsi="Times New Roman" w:cs="Times New Roman"/>
          <w:bCs/>
          <w:i/>
          <w:sz w:val="28"/>
          <w:szCs w:val="28"/>
          <w:lang w:val="en-GB"/>
        </w:rPr>
        <w:t xml:space="preserve">justice-related </w:t>
      </w:r>
      <w:r w:rsidRPr="00EE08C7">
        <w:rPr>
          <w:rFonts w:ascii="Times New Roman" w:eastAsia="Times New Roman" w:hAnsi="Times New Roman" w:cs="Times New Roman"/>
          <w:bCs/>
          <w:i/>
          <w:sz w:val="28"/>
          <w:szCs w:val="28"/>
          <w:lang w:val="en-GB"/>
        </w:rPr>
        <w:t xml:space="preserve">criminal offences shall begin to operate within 3 months of the date of entry into force of this </w:t>
      </w:r>
      <w:r w:rsidR="00885CD9" w:rsidRPr="00EE08C7">
        <w:rPr>
          <w:rFonts w:ascii="Times New Roman" w:eastAsia="Times New Roman" w:hAnsi="Times New Roman" w:cs="Times New Roman"/>
          <w:bCs/>
          <w:i/>
          <w:sz w:val="28"/>
          <w:szCs w:val="28"/>
          <w:lang w:val="en-GB"/>
        </w:rPr>
        <w:t>l</w:t>
      </w:r>
      <w:r w:rsidRPr="00EE08C7">
        <w:rPr>
          <w:rFonts w:ascii="Times New Roman" w:eastAsia="Times New Roman" w:hAnsi="Times New Roman" w:cs="Times New Roman"/>
          <w:bCs/>
          <w:i/>
          <w:sz w:val="28"/>
          <w:szCs w:val="28"/>
          <w:lang w:val="en-GB"/>
        </w:rPr>
        <w:t>aw</w:t>
      </w:r>
      <w:r w:rsidR="00885CD9" w:rsidRPr="00EE08C7">
        <w:rPr>
          <w:rFonts w:ascii="Times New Roman" w:eastAsia="Times New Roman" w:hAnsi="Times New Roman" w:cs="Times New Roman"/>
          <w:bCs/>
          <w:i/>
          <w:sz w:val="28"/>
          <w:szCs w:val="28"/>
          <w:lang w:val="en-GB"/>
        </w:rPr>
        <w:t>”</w:t>
      </w:r>
      <w:r w:rsidRPr="00EE08C7">
        <w:rPr>
          <w:rFonts w:ascii="Times New Roman" w:eastAsia="Times New Roman" w:hAnsi="Times New Roman" w:cs="Times New Roman"/>
          <w:bCs/>
          <w:sz w:val="28"/>
          <w:szCs w:val="28"/>
          <w:lang w:val="en-GB"/>
        </w:rPr>
        <w:t xml:space="preserve">, i.e. from 23 October 2018. It further indicates that, until the date of adoption of the emergency ordinance, i.e. 10 October 2018, the Superior Council of Magistracy has not completed the procedure </w:t>
      </w:r>
      <w:r w:rsidR="00885CD9" w:rsidRPr="00EE08C7">
        <w:rPr>
          <w:rFonts w:ascii="Times New Roman" w:eastAsia="Times New Roman" w:hAnsi="Times New Roman" w:cs="Times New Roman"/>
          <w:bCs/>
          <w:sz w:val="28"/>
          <w:szCs w:val="28"/>
          <w:lang w:val="en-GB"/>
        </w:rPr>
        <w:t>of making the Section for the investigation of justice-related criminal offences operational</w:t>
      </w:r>
      <w:r w:rsidRPr="00EE08C7">
        <w:rPr>
          <w:rFonts w:ascii="Times New Roman" w:eastAsia="Times New Roman" w:hAnsi="Times New Roman" w:cs="Times New Roman"/>
          <w:bCs/>
          <w:sz w:val="28"/>
          <w:szCs w:val="28"/>
          <w:lang w:val="en-GB"/>
        </w:rPr>
        <w:t xml:space="preserve">, and the law in force does not contain any transitional rules on the concrete way of carrying out this procedure if the deadline set by Law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207/2018 has been exceeded. Consequently, as of 23 October 2018, the National Anti-Corruption Directorate and </w:t>
      </w:r>
      <w:r w:rsidR="00885CD9" w:rsidRPr="00EE08C7">
        <w:rPr>
          <w:rFonts w:ascii="Times New Roman" w:eastAsia="Times New Roman" w:hAnsi="Times New Roman" w:cs="Times New Roman"/>
          <w:bCs/>
          <w:sz w:val="28"/>
          <w:szCs w:val="28"/>
          <w:lang w:val="en-GB"/>
        </w:rPr>
        <w:t xml:space="preserve">the </w:t>
      </w:r>
      <w:r w:rsidRPr="00EE08C7">
        <w:rPr>
          <w:rFonts w:ascii="Times New Roman" w:eastAsia="Times New Roman" w:hAnsi="Times New Roman" w:cs="Times New Roman"/>
          <w:bCs/>
          <w:sz w:val="28"/>
          <w:szCs w:val="28"/>
          <w:lang w:val="en-GB"/>
        </w:rPr>
        <w:t>other prosecutors’ offices lose the power to prosecute criminal offences committed by judges and prosecutors, and this situation would serio</w:t>
      </w:r>
      <w:r w:rsidR="00102F78" w:rsidRPr="00EE08C7">
        <w:rPr>
          <w:rFonts w:ascii="Times New Roman" w:eastAsia="Times New Roman" w:hAnsi="Times New Roman" w:cs="Times New Roman"/>
          <w:bCs/>
          <w:sz w:val="28"/>
          <w:szCs w:val="28"/>
          <w:lang w:val="en-GB"/>
        </w:rPr>
        <w:t>usly affect judicial procedures</w:t>
      </w:r>
      <w:r w:rsidRPr="00EE08C7">
        <w:rPr>
          <w:rFonts w:ascii="Times New Roman" w:eastAsia="Times New Roman" w:hAnsi="Times New Roman" w:cs="Times New Roman"/>
          <w:bCs/>
          <w:sz w:val="28"/>
          <w:szCs w:val="28"/>
          <w:lang w:val="en-GB"/>
        </w:rPr>
        <w:t xml:space="preserve"> in cases falling under the competence of the Section for the </w:t>
      </w:r>
      <w:r w:rsidR="00102F78" w:rsidRPr="00EE08C7">
        <w:rPr>
          <w:rFonts w:ascii="Times New Roman" w:eastAsia="Times New Roman" w:hAnsi="Times New Roman" w:cs="Times New Roman"/>
          <w:bCs/>
          <w:sz w:val="28"/>
          <w:szCs w:val="28"/>
          <w:lang w:val="en-GB"/>
        </w:rPr>
        <w:t>i</w:t>
      </w:r>
      <w:r w:rsidRPr="00EE08C7">
        <w:rPr>
          <w:rFonts w:ascii="Times New Roman" w:eastAsia="Times New Roman" w:hAnsi="Times New Roman" w:cs="Times New Roman"/>
          <w:bCs/>
          <w:sz w:val="28"/>
          <w:szCs w:val="28"/>
          <w:lang w:val="en-GB"/>
        </w:rPr>
        <w:t xml:space="preserve">nvestigation of </w:t>
      </w:r>
      <w:r w:rsidR="00102F78" w:rsidRPr="00EE08C7">
        <w:rPr>
          <w:rFonts w:ascii="Times New Roman" w:eastAsia="Times New Roman" w:hAnsi="Times New Roman" w:cs="Times New Roman"/>
          <w:bCs/>
          <w:sz w:val="28"/>
          <w:szCs w:val="28"/>
          <w:lang w:val="en-GB"/>
        </w:rPr>
        <w:t>justice-related c</w:t>
      </w:r>
      <w:r w:rsidRPr="00EE08C7">
        <w:rPr>
          <w:rFonts w:ascii="Times New Roman" w:eastAsia="Times New Roman" w:hAnsi="Times New Roman" w:cs="Times New Roman"/>
          <w:bCs/>
          <w:sz w:val="28"/>
          <w:szCs w:val="28"/>
          <w:lang w:val="en-GB"/>
        </w:rPr>
        <w:t xml:space="preserve">riminal </w:t>
      </w:r>
      <w:r w:rsidR="00102F78" w:rsidRPr="00EE08C7">
        <w:rPr>
          <w:rFonts w:ascii="Times New Roman" w:eastAsia="Times New Roman" w:hAnsi="Times New Roman" w:cs="Times New Roman"/>
          <w:bCs/>
          <w:sz w:val="28"/>
          <w:szCs w:val="28"/>
          <w:lang w:val="en-GB"/>
        </w:rPr>
        <w:t>offences</w:t>
      </w:r>
      <w:r w:rsidRPr="00EE08C7">
        <w:rPr>
          <w:rFonts w:ascii="Times New Roman" w:eastAsia="Times New Roman" w:hAnsi="Times New Roman" w:cs="Times New Roman"/>
          <w:bCs/>
          <w:sz w:val="28"/>
          <w:szCs w:val="28"/>
          <w:lang w:val="en-GB"/>
        </w:rPr>
        <w:t xml:space="preserve">, with the risk of creating institutional </w:t>
      </w:r>
      <w:r w:rsidR="00102F78" w:rsidRPr="00EE08C7">
        <w:rPr>
          <w:rFonts w:ascii="Times New Roman" w:eastAsia="Times New Roman" w:hAnsi="Times New Roman" w:cs="Times New Roman"/>
          <w:bCs/>
          <w:sz w:val="28"/>
          <w:szCs w:val="28"/>
          <w:lang w:val="en-GB"/>
        </w:rPr>
        <w:t>blockage</w:t>
      </w:r>
      <w:r w:rsidRPr="00EE08C7">
        <w:rPr>
          <w:rFonts w:ascii="Times New Roman" w:eastAsia="Times New Roman" w:hAnsi="Times New Roman" w:cs="Times New Roman"/>
          <w:bCs/>
          <w:sz w:val="28"/>
          <w:szCs w:val="28"/>
          <w:lang w:val="en-GB"/>
        </w:rPr>
        <w:t>.</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bCs/>
          <w:sz w:val="28"/>
          <w:szCs w:val="28"/>
          <w:lang w:val="en-GB"/>
        </w:rPr>
        <w:t xml:space="preserve">In relation to the first condition, the authors </w:t>
      </w:r>
      <w:r w:rsidR="00102F78" w:rsidRPr="00EE08C7">
        <w:rPr>
          <w:rFonts w:ascii="Times New Roman" w:eastAsia="Times New Roman" w:hAnsi="Times New Roman" w:cs="Times New Roman"/>
          <w:bCs/>
          <w:sz w:val="28"/>
          <w:szCs w:val="28"/>
          <w:lang w:val="en-GB"/>
        </w:rPr>
        <w:t xml:space="preserve">of the referral </w:t>
      </w:r>
      <w:r w:rsidRPr="00EE08C7">
        <w:rPr>
          <w:rFonts w:ascii="Times New Roman" w:eastAsia="Times New Roman" w:hAnsi="Times New Roman" w:cs="Times New Roman"/>
          <w:bCs/>
          <w:sz w:val="28"/>
          <w:szCs w:val="28"/>
          <w:lang w:val="en-GB"/>
        </w:rPr>
        <w:t xml:space="preserve">consider that </w:t>
      </w:r>
      <w:r w:rsidR="00102F78"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xml:space="preserve">the situation presented by the Government as extraordinary does not express </w:t>
      </w:r>
      <w:r w:rsidRPr="00EE08C7">
        <w:rPr>
          <w:rFonts w:ascii="Times New Roman" w:eastAsia="Times New Roman" w:hAnsi="Times New Roman" w:cs="Times New Roman"/>
          <w:bCs/>
          <w:i/>
          <w:sz w:val="28"/>
          <w:szCs w:val="28"/>
          <w:lang w:val="en-GB"/>
        </w:rPr>
        <w:t xml:space="preserve">a high degree of deviation from </w:t>
      </w:r>
      <w:r w:rsidR="0099053E" w:rsidRPr="00EE08C7">
        <w:rPr>
          <w:rFonts w:ascii="Times New Roman" w:eastAsia="Times New Roman" w:hAnsi="Times New Roman" w:cs="Times New Roman"/>
          <w:bCs/>
          <w:i/>
          <w:sz w:val="28"/>
          <w:szCs w:val="28"/>
          <w:lang w:val="en-GB"/>
        </w:rPr>
        <w:t>usual</w:t>
      </w:r>
      <w:r w:rsidRPr="00EE08C7">
        <w:rPr>
          <w:rFonts w:ascii="Times New Roman" w:eastAsia="Times New Roman" w:hAnsi="Times New Roman" w:cs="Times New Roman"/>
          <w:bCs/>
          <w:i/>
          <w:sz w:val="28"/>
          <w:szCs w:val="28"/>
          <w:lang w:val="en-GB"/>
        </w:rPr>
        <w:t xml:space="preserve"> or common</w:t>
      </w:r>
      <w:r w:rsidRPr="00EE08C7">
        <w:rPr>
          <w:rFonts w:ascii="Times New Roman" w:eastAsia="Times New Roman" w:hAnsi="Times New Roman" w:cs="Times New Roman"/>
          <w:bCs/>
          <w:sz w:val="28"/>
          <w:szCs w:val="28"/>
          <w:lang w:val="en-GB"/>
        </w:rPr>
        <w:t xml:space="preserve">, as established by the case-law of the </w:t>
      </w:r>
      <w:r w:rsidRPr="00EE08C7">
        <w:rPr>
          <w:rFonts w:ascii="Times New Roman" w:eastAsia="Times New Roman" w:hAnsi="Times New Roman" w:cs="Times New Roman"/>
          <w:bCs/>
          <w:sz w:val="28"/>
          <w:szCs w:val="28"/>
          <w:lang w:val="en-GB"/>
        </w:rPr>
        <w:lastRenderedPageBreak/>
        <w:t xml:space="preserve">Constitutional Court, since in practice there have been numerous deadlines for the application of legal provisions which could not have been respected, either because they were unrealistically short in relation to the possibilities to move towards implementation or because of </w:t>
      </w:r>
      <w:r w:rsidR="0099053E" w:rsidRPr="00EE08C7">
        <w:rPr>
          <w:rFonts w:ascii="Times New Roman" w:eastAsia="Times New Roman" w:hAnsi="Times New Roman" w:cs="Times New Roman"/>
          <w:bCs/>
          <w:sz w:val="28"/>
          <w:szCs w:val="28"/>
          <w:lang w:val="en-GB"/>
        </w:rPr>
        <w:t xml:space="preserve">causes </w:t>
      </w:r>
      <w:r w:rsidRPr="00EE08C7">
        <w:rPr>
          <w:rFonts w:ascii="Times New Roman" w:eastAsia="Times New Roman" w:hAnsi="Times New Roman" w:cs="Times New Roman"/>
          <w:bCs/>
          <w:sz w:val="28"/>
          <w:szCs w:val="28"/>
          <w:lang w:val="en-GB"/>
        </w:rPr>
        <w:t>more or less imputable to the public authorities called upon to execute the respective primary rules in practice”. In addition, “</w:t>
      </w:r>
      <w:r w:rsidR="0099053E" w:rsidRPr="00EE08C7">
        <w:rPr>
          <w:rFonts w:ascii="Times New Roman" w:eastAsia="Times New Roman" w:hAnsi="Times New Roman" w:cs="Times New Roman"/>
          <w:bCs/>
          <w:sz w:val="28"/>
          <w:szCs w:val="28"/>
          <w:lang w:val="en-GB"/>
        </w:rPr>
        <w:t xml:space="preserve">the factual </w:t>
      </w:r>
      <w:r w:rsidRPr="00EE08C7">
        <w:rPr>
          <w:rFonts w:ascii="Times New Roman" w:eastAsia="Times New Roman" w:hAnsi="Times New Roman" w:cs="Times New Roman"/>
          <w:bCs/>
          <w:sz w:val="28"/>
          <w:szCs w:val="28"/>
          <w:lang w:val="en-GB"/>
        </w:rPr>
        <w:t xml:space="preserve">situations of which the origin consists exclusively </w:t>
      </w:r>
      <w:r w:rsidR="0099053E" w:rsidRPr="00EE08C7">
        <w:rPr>
          <w:rFonts w:ascii="Times New Roman" w:eastAsia="Times New Roman" w:hAnsi="Times New Roman" w:cs="Times New Roman"/>
          <w:bCs/>
          <w:sz w:val="28"/>
          <w:szCs w:val="28"/>
          <w:lang w:val="en-GB"/>
        </w:rPr>
        <w:t xml:space="preserve">in texts drawn up in in an </w:t>
      </w:r>
      <w:r w:rsidRPr="00EE08C7">
        <w:rPr>
          <w:rFonts w:ascii="Times New Roman" w:eastAsia="Times New Roman" w:hAnsi="Times New Roman" w:cs="Times New Roman"/>
          <w:bCs/>
          <w:sz w:val="28"/>
          <w:szCs w:val="28"/>
          <w:lang w:val="en-GB"/>
        </w:rPr>
        <w:t xml:space="preserve">unclear, inappropriate or faulty </w:t>
      </w:r>
      <w:r w:rsidR="0099053E" w:rsidRPr="00EE08C7">
        <w:rPr>
          <w:rFonts w:ascii="Times New Roman" w:eastAsia="Times New Roman" w:hAnsi="Times New Roman" w:cs="Times New Roman"/>
          <w:bCs/>
          <w:sz w:val="28"/>
          <w:szCs w:val="28"/>
          <w:lang w:val="en-GB"/>
        </w:rPr>
        <w:t xml:space="preserve">manner </w:t>
      </w:r>
      <w:r w:rsidRPr="00EE08C7">
        <w:rPr>
          <w:rFonts w:ascii="Times New Roman" w:eastAsia="Times New Roman" w:hAnsi="Times New Roman" w:cs="Times New Roman"/>
          <w:bCs/>
          <w:sz w:val="28"/>
          <w:szCs w:val="28"/>
          <w:lang w:val="en-GB"/>
        </w:rPr>
        <w:t xml:space="preserve">cannot be qualified as exceptional within the meaning of Article 115 (4) of the Constitution, </w:t>
      </w:r>
      <w:r w:rsidR="00910B86" w:rsidRPr="00EE08C7">
        <w:rPr>
          <w:rFonts w:ascii="Times New Roman" w:eastAsia="Times New Roman" w:hAnsi="Times New Roman" w:cs="Times New Roman"/>
          <w:bCs/>
          <w:sz w:val="28"/>
          <w:szCs w:val="28"/>
          <w:lang w:val="en-GB"/>
        </w:rPr>
        <w:t xml:space="preserve">there being </w:t>
      </w:r>
      <w:r w:rsidRPr="00EE08C7">
        <w:rPr>
          <w:rFonts w:ascii="Times New Roman" w:eastAsia="Times New Roman" w:hAnsi="Times New Roman" w:cs="Times New Roman"/>
          <w:bCs/>
          <w:sz w:val="28"/>
          <w:szCs w:val="28"/>
          <w:lang w:val="en-GB"/>
        </w:rPr>
        <w:t xml:space="preserve">a need for at least an unpredictable external element which </w:t>
      </w:r>
      <w:r w:rsidR="00910B86" w:rsidRPr="00EE08C7">
        <w:rPr>
          <w:rFonts w:ascii="Times New Roman" w:eastAsia="Times New Roman" w:hAnsi="Times New Roman" w:cs="Times New Roman"/>
          <w:bCs/>
          <w:sz w:val="28"/>
          <w:szCs w:val="28"/>
          <w:lang w:val="en-GB"/>
        </w:rPr>
        <w:t xml:space="preserve">the </w:t>
      </w:r>
      <w:r w:rsidRPr="00EE08C7">
        <w:rPr>
          <w:rFonts w:ascii="Times New Roman" w:eastAsia="Times New Roman" w:hAnsi="Times New Roman" w:cs="Times New Roman"/>
          <w:bCs/>
          <w:sz w:val="28"/>
          <w:szCs w:val="28"/>
          <w:lang w:val="en-GB"/>
        </w:rPr>
        <w:t xml:space="preserve">Parliament and/or </w:t>
      </w:r>
      <w:r w:rsidR="00910B86" w:rsidRPr="00EE08C7">
        <w:rPr>
          <w:rFonts w:ascii="Times New Roman" w:eastAsia="Times New Roman" w:hAnsi="Times New Roman" w:cs="Times New Roman"/>
          <w:bCs/>
          <w:sz w:val="28"/>
          <w:szCs w:val="28"/>
          <w:lang w:val="en-GB"/>
        </w:rPr>
        <w:t>the G</w:t>
      </w:r>
      <w:r w:rsidRPr="00EE08C7">
        <w:rPr>
          <w:rFonts w:ascii="Times New Roman" w:eastAsia="Times New Roman" w:hAnsi="Times New Roman" w:cs="Times New Roman"/>
          <w:bCs/>
          <w:sz w:val="28"/>
          <w:szCs w:val="28"/>
          <w:lang w:val="en-GB"/>
        </w:rPr>
        <w:t xml:space="preserve">overnment may not have been able to anticipate in the event of a reasonable degree of due diligence. </w:t>
      </w:r>
      <w:r w:rsidR="00910B86" w:rsidRPr="00EE08C7">
        <w:rPr>
          <w:rFonts w:ascii="Times New Roman" w:eastAsia="Times New Roman" w:hAnsi="Times New Roman" w:cs="Times New Roman"/>
          <w:bCs/>
          <w:sz w:val="28"/>
          <w:szCs w:val="28"/>
          <w:lang w:val="en-GB"/>
        </w:rPr>
        <w:t>Or, i</w:t>
      </w:r>
      <w:r w:rsidRPr="00EE08C7">
        <w:rPr>
          <w:rFonts w:ascii="Times New Roman" w:eastAsia="Times New Roman" w:hAnsi="Times New Roman" w:cs="Times New Roman"/>
          <w:bCs/>
          <w:sz w:val="28"/>
          <w:szCs w:val="28"/>
          <w:lang w:val="en-GB"/>
        </w:rPr>
        <w:t>n accordance with the provisions of Article</w:t>
      </w:r>
      <w:r w:rsidR="00A565F6">
        <w:rPr>
          <w:rFonts w:ascii="Times New Roman" w:eastAsia="Times New Roman" w:hAnsi="Times New Roman" w:cs="Times New Roman"/>
          <w:bCs/>
          <w:sz w:val="28"/>
          <w:szCs w:val="28"/>
          <w:lang w:val="en-GB"/>
        </w:rPr>
        <w:t>s</w:t>
      </w:r>
      <w:r w:rsidRPr="00EE08C7">
        <w:rPr>
          <w:rFonts w:ascii="Times New Roman" w:eastAsia="Times New Roman" w:hAnsi="Times New Roman" w:cs="Times New Roman"/>
          <w:bCs/>
          <w:sz w:val="28"/>
          <w:szCs w:val="28"/>
          <w:lang w:val="en-GB"/>
        </w:rPr>
        <w:t xml:space="preserve"> 88</w:t>
      </w:r>
      <w:r w:rsidRPr="00EE08C7">
        <w:rPr>
          <w:rFonts w:ascii="Times New Roman" w:eastAsia="Times New Roman" w:hAnsi="Times New Roman" w:cs="Times New Roman"/>
          <w:bCs/>
          <w:sz w:val="28"/>
          <w:szCs w:val="28"/>
          <w:vertAlign w:val="superscript"/>
          <w:lang w:val="en-GB"/>
        </w:rPr>
        <w:t>3</w:t>
      </w:r>
      <w:r w:rsidRPr="00EE08C7">
        <w:rPr>
          <w:rFonts w:ascii="Times New Roman" w:hAnsi="Times New Roman" w:cs="Times New Roman"/>
          <w:sz w:val="28"/>
          <w:szCs w:val="28"/>
          <w:lang w:val="en-GB"/>
        </w:rPr>
        <w:t xml:space="preserve"> </w:t>
      </w:r>
      <w:r w:rsidR="00A565F6">
        <w:rPr>
          <w:rFonts w:ascii="Times New Roman" w:hAnsi="Times New Roman" w:cs="Times New Roman"/>
          <w:sz w:val="28"/>
          <w:szCs w:val="28"/>
          <w:lang w:val="en-GB"/>
        </w:rPr>
        <w:t>to</w:t>
      </w:r>
      <w:r w:rsidRPr="00EE08C7">
        <w:rPr>
          <w:rFonts w:ascii="Times New Roman" w:hAnsi="Times New Roman" w:cs="Times New Roman"/>
          <w:sz w:val="28"/>
          <w:szCs w:val="28"/>
          <w:lang w:val="en-GB"/>
        </w:rPr>
        <w:t xml:space="preserve"> 88</w:t>
      </w:r>
      <w:r w:rsidRPr="00EE08C7">
        <w:rPr>
          <w:rFonts w:ascii="Times New Roman" w:eastAsia="Times New Roman" w:hAnsi="Times New Roman" w:cs="Times New Roman"/>
          <w:bCs/>
          <w:sz w:val="28"/>
          <w:szCs w:val="28"/>
          <w:vertAlign w:val="superscript"/>
          <w:lang w:val="en-GB"/>
        </w:rPr>
        <w:t>5</w:t>
      </w:r>
      <w:r w:rsidRPr="00EE08C7">
        <w:rPr>
          <w:rFonts w:ascii="Times New Roman" w:hAnsi="Times New Roman" w:cs="Times New Roman"/>
          <w:sz w:val="28"/>
          <w:szCs w:val="28"/>
          <w:lang w:val="en-GB"/>
        </w:rPr>
        <w:t xml:space="preserve"> of Law </w:t>
      </w:r>
      <w:r w:rsidR="00A565F6">
        <w:rPr>
          <w:rFonts w:ascii="Times New Roman" w:hAnsi="Times New Roman" w:cs="Times New Roman"/>
          <w:sz w:val="28"/>
          <w:szCs w:val="28"/>
          <w:lang w:val="en-GB"/>
        </w:rPr>
        <w:t>no.</w:t>
      </w:r>
      <w:r w:rsidRPr="00EE08C7">
        <w:rPr>
          <w:rFonts w:ascii="Times New Roman" w:hAnsi="Times New Roman" w:cs="Times New Roman"/>
          <w:sz w:val="28"/>
          <w:szCs w:val="28"/>
          <w:lang w:val="en-GB"/>
        </w:rPr>
        <w:t xml:space="preserve"> 304/2004, the Superior Council of the Magistracy was obliged to execute a considerable number of operations in order to </w:t>
      </w:r>
      <w:r w:rsidR="00910B86" w:rsidRPr="00EE08C7">
        <w:rPr>
          <w:rFonts w:ascii="Times New Roman" w:hAnsi="Times New Roman" w:cs="Times New Roman"/>
          <w:sz w:val="28"/>
          <w:szCs w:val="28"/>
          <w:lang w:val="en-GB"/>
        </w:rPr>
        <w:t xml:space="preserve">make </w:t>
      </w:r>
      <w:r w:rsidRPr="00EE08C7">
        <w:rPr>
          <w:rFonts w:ascii="Times New Roman" w:hAnsi="Times New Roman" w:cs="Times New Roman"/>
          <w:sz w:val="28"/>
          <w:szCs w:val="28"/>
          <w:lang w:val="en-GB"/>
        </w:rPr>
        <w:t xml:space="preserve">the </w:t>
      </w:r>
      <w:r w:rsidR="00910B86" w:rsidRPr="00EE08C7">
        <w:rPr>
          <w:rFonts w:ascii="Times New Roman" w:hAnsi="Times New Roman" w:cs="Times New Roman"/>
          <w:sz w:val="28"/>
          <w:szCs w:val="28"/>
          <w:lang w:val="en-GB"/>
        </w:rPr>
        <w:t xml:space="preserve">Section for the </w:t>
      </w:r>
      <w:r w:rsidRPr="00EE08C7">
        <w:rPr>
          <w:rFonts w:ascii="Times New Roman" w:hAnsi="Times New Roman" w:cs="Times New Roman"/>
          <w:sz w:val="28"/>
          <w:szCs w:val="28"/>
          <w:lang w:val="en-GB"/>
        </w:rPr>
        <w:t xml:space="preserve">investigation of </w:t>
      </w:r>
      <w:r w:rsidR="00910B86" w:rsidRPr="00EE08C7">
        <w:rPr>
          <w:rFonts w:ascii="Times New Roman" w:hAnsi="Times New Roman" w:cs="Times New Roman"/>
          <w:sz w:val="28"/>
          <w:szCs w:val="28"/>
          <w:lang w:val="en-GB"/>
        </w:rPr>
        <w:t xml:space="preserve">justice-related </w:t>
      </w:r>
      <w:r w:rsidRPr="00EE08C7">
        <w:rPr>
          <w:rFonts w:ascii="Times New Roman" w:hAnsi="Times New Roman" w:cs="Times New Roman"/>
          <w:sz w:val="28"/>
          <w:szCs w:val="28"/>
          <w:lang w:val="en-GB"/>
        </w:rPr>
        <w:t>criminal offences, some of which are of great complexity (e.g. drafting and approval of a regulation containing the procedures for appointing, pursuing the activity and revocation of the management and execution positions in the section), so the failure to comply with the 3-month deadline was clearly</w:t>
      </w:r>
      <w:r w:rsidR="00473265" w:rsidRPr="00EE08C7">
        <w:rPr>
          <w:rFonts w:ascii="Times New Roman" w:hAnsi="Times New Roman" w:cs="Times New Roman"/>
          <w:sz w:val="28"/>
          <w:szCs w:val="28"/>
          <w:lang w:val="en-GB"/>
        </w:rPr>
        <w:t xml:space="preserve"> a foreseeable</w:t>
      </w:r>
      <w:r w:rsidRPr="00EE08C7">
        <w:rPr>
          <w:rFonts w:ascii="Times New Roman" w:hAnsi="Times New Roman" w:cs="Times New Roman"/>
          <w:sz w:val="28"/>
          <w:szCs w:val="28"/>
          <w:lang w:val="en-GB"/>
        </w:rPr>
        <w:t xml:space="preserve">, if not inevitable, </w:t>
      </w:r>
      <w:r w:rsidR="00473265" w:rsidRPr="00EE08C7">
        <w:rPr>
          <w:rFonts w:ascii="Times New Roman" w:hAnsi="Times New Roman" w:cs="Times New Roman"/>
          <w:sz w:val="28"/>
          <w:szCs w:val="28"/>
          <w:lang w:val="en-GB"/>
        </w:rPr>
        <w:t>hypothesis”</w:t>
      </w:r>
      <w:r w:rsidRPr="00EE08C7">
        <w:rPr>
          <w:rFonts w:ascii="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bCs/>
          <w:sz w:val="28"/>
          <w:szCs w:val="28"/>
          <w:lang w:val="en-GB"/>
        </w:rPr>
        <w:t>Furthermore, the authors also show that,</w:t>
      </w:r>
      <w:r w:rsidR="005B08DA"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 xml:space="preserve">the </w:t>
      </w:r>
      <w:r w:rsidR="00603E99" w:rsidRPr="00EE08C7">
        <w:rPr>
          <w:rFonts w:ascii="Times New Roman" w:eastAsia="Times New Roman" w:hAnsi="Times New Roman" w:cs="Times New Roman"/>
          <w:bCs/>
          <w:sz w:val="28"/>
          <w:szCs w:val="28"/>
          <w:lang w:val="en-GB"/>
        </w:rPr>
        <w:t>circumstance</w:t>
      </w:r>
      <w:r w:rsidRPr="00EE08C7">
        <w:rPr>
          <w:rFonts w:ascii="Times New Roman" w:eastAsia="Times New Roman" w:hAnsi="Times New Roman" w:cs="Times New Roman"/>
          <w:bCs/>
          <w:sz w:val="28"/>
          <w:szCs w:val="28"/>
          <w:lang w:val="en-GB"/>
        </w:rPr>
        <w:t xml:space="preserve"> </w:t>
      </w:r>
      <w:r w:rsidR="00603E99" w:rsidRPr="00EE08C7">
        <w:rPr>
          <w:rFonts w:ascii="Times New Roman" w:eastAsia="Times New Roman" w:hAnsi="Times New Roman" w:cs="Times New Roman"/>
          <w:bCs/>
          <w:sz w:val="28"/>
          <w:szCs w:val="28"/>
          <w:lang w:val="en-GB"/>
        </w:rPr>
        <w:t xml:space="preserve">under </w:t>
      </w:r>
      <w:r w:rsidRPr="00EE08C7">
        <w:rPr>
          <w:rFonts w:ascii="Times New Roman" w:eastAsia="Times New Roman" w:hAnsi="Times New Roman" w:cs="Times New Roman"/>
          <w:bCs/>
          <w:sz w:val="28"/>
          <w:szCs w:val="28"/>
          <w:lang w:val="en-GB"/>
        </w:rPr>
        <w:t xml:space="preserve">analysis is not an emergency within the definition that the Government itself, in Article 2 </w:t>
      </w:r>
      <w:r w:rsidR="00A565F6">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xml:space="preserve">a) of Emergency Ordinance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21/2004 on the National System for the Management of Emergencies, granted </w:t>
      </w:r>
      <w:r w:rsidR="00603E99" w:rsidRPr="00EE08C7">
        <w:rPr>
          <w:rFonts w:ascii="Times New Roman" w:eastAsia="Times New Roman" w:hAnsi="Times New Roman" w:cs="Times New Roman"/>
          <w:bCs/>
          <w:sz w:val="28"/>
          <w:szCs w:val="28"/>
          <w:lang w:val="en-GB"/>
        </w:rPr>
        <w:t xml:space="preserve">to </w:t>
      </w:r>
      <w:r w:rsidR="00A565F6">
        <w:rPr>
          <w:rFonts w:ascii="Times New Roman" w:eastAsia="Times New Roman" w:hAnsi="Times New Roman" w:cs="Times New Roman"/>
          <w:bCs/>
          <w:sz w:val="28"/>
          <w:szCs w:val="28"/>
          <w:lang w:val="en-GB"/>
        </w:rPr>
        <w:t>this expression, respectively ‘</w:t>
      </w:r>
      <w:r w:rsidRPr="00EE08C7">
        <w:rPr>
          <w:rFonts w:ascii="Times New Roman" w:eastAsia="Times New Roman" w:hAnsi="Times New Roman" w:cs="Times New Roman"/>
          <w:bCs/>
          <w:sz w:val="28"/>
          <w:szCs w:val="28"/>
          <w:lang w:val="en-GB"/>
        </w:rPr>
        <w:t xml:space="preserve">exceptional events, </w:t>
      </w:r>
      <w:r w:rsidR="00603E99" w:rsidRPr="00EE08C7">
        <w:rPr>
          <w:rFonts w:ascii="Times New Roman" w:eastAsia="Times New Roman" w:hAnsi="Times New Roman" w:cs="Times New Roman"/>
          <w:bCs/>
          <w:sz w:val="28"/>
          <w:szCs w:val="28"/>
          <w:lang w:val="en-GB"/>
        </w:rPr>
        <w:t xml:space="preserve">of non-military nature, </w:t>
      </w:r>
      <w:r w:rsidRPr="00EE08C7">
        <w:rPr>
          <w:rFonts w:ascii="Times New Roman" w:eastAsia="Times New Roman" w:hAnsi="Times New Roman" w:cs="Times New Roman"/>
          <w:bCs/>
          <w:sz w:val="28"/>
          <w:szCs w:val="28"/>
          <w:lang w:val="en-GB"/>
        </w:rPr>
        <w:t xml:space="preserve">which threaten the life or health of the person, the environment, the </w:t>
      </w:r>
      <w:r w:rsidR="00603E99" w:rsidRPr="00EE08C7">
        <w:rPr>
          <w:rFonts w:ascii="Times New Roman" w:eastAsia="Times New Roman" w:hAnsi="Times New Roman" w:cs="Times New Roman"/>
          <w:bCs/>
          <w:sz w:val="28"/>
          <w:szCs w:val="28"/>
          <w:lang w:val="en-GB"/>
        </w:rPr>
        <w:t xml:space="preserve">material </w:t>
      </w:r>
      <w:r w:rsidRPr="00EE08C7">
        <w:rPr>
          <w:rFonts w:ascii="Times New Roman" w:eastAsia="Times New Roman" w:hAnsi="Times New Roman" w:cs="Times New Roman"/>
          <w:bCs/>
          <w:sz w:val="28"/>
          <w:szCs w:val="28"/>
          <w:lang w:val="en-GB"/>
        </w:rPr>
        <w:t xml:space="preserve">and cultural values, and to restore the condition of normality specialised </w:t>
      </w:r>
      <w:r w:rsidR="00DC1ED6" w:rsidRPr="00EE08C7">
        <w:rPr>
          <w:rFonts w:ascii="Times New Roman" w:eastAsia="Times New Roman" w:hAnsi="Times New Roman" w:cs="Times New Roman"/>
          <w:bCs/>
          <w:sz w:val="28"/>
          <w:szCs w:val="28"/>
          <w:lang w:val="en-GB"/>
        </w:rPr>
        <w:t xml:space="preserve">urgent measures and actions need to be adopted, specialised </w:t>
      </w:r>
      <w:r w:rsidRPr="00EE08C7">
        <w:rPr>
          <w:rFonts w:ascii="Times New Roman" w:eastAsia="Times New Roman" w:hAnsi="Times New Roman" w:cs="Times New Roman"/>
          <w:bCs/>
          <w:sz w:val="28"/>
          <w:szCs w:val="28"/>
          <w:lang w:val="en-GB"/>
        </w:rPr>
        <w:t xml:space="preserve">resources and the unit management of forces and means involved </w:t>
      </w:r>
      <w:r w:rsidR="00DC1ED6" w:rsidRPr="00EE08C7">
        <w:rPr>
          <w:rFonts w:ascii="Times New Roman" w:eastAsia="Times New Roman" w:hAnsi="Times New Roman" w:cs="Times New Roman"/>
          <w:bCs/>
          <w:sz w:val="28"/>
          <w:szCs w:val="28"/>
          <w:lang w:val="en-GB"/>
        </w:rPr>
        <w:t>need to be allocated</w:t>
      </w:r>
      <w:r w:rsidR="00A565F6">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xml:space="preserve">, definition which the Constitutional Court had quoted and taken into account in Decision </w:t>
      </w:r>
      <w:r w:rsidR="00A565F6">
        <w:rPr>
          <w:rFonts w:ascii="Times New Roman" w:eastAsia="Times New Roman" w:hAnsi="Times New Roman" w:cs="Times New Roman"/>
          <w:bCs/>
          <w:sz w:val="28"/>
          <w:szCs w:val="28"/>
          <w:lang w:val="en-GB"/>
        </w:rPr>
        <w:t>n</w:t>
      </w:r>
      <w:r w:rsidR="00DC1ED6" w:rsidRPr="00EE08C7">
        <w:rPr>
          <w:rFonts w:ascii="Times New Roman" w:eastAsia="Times New Roman" w:hAnsi="Times New Roman" w:cs="Times New Roman"/>
          <w:bCs/>
          <w:sz w:val="28"/>
          <w:szCs w:val="28"/>
          <w:lang w:val="en-GB"/>
        </w:rPr>
        <w:t>o</w:t>
      </w:r>
      <w:r w:rsidR="00A565F6">
        <w:rPr>
          <w:rFonts w:ascii="Times New Roman" w:eastAsia="Times New Roman" w:hAnsi="Times New Roman" w:cs="Times New Roman"/>
          <w:bCs/>
          <w:sz w:val="28"/>
          <w:szCs w:val="28"/>
          <w:lang w:val="en-GB"/>
        </w:rPr>
        <w:t>.</w:t>
      </w:r>
      <w:r w:rsidR="00DC1ED6"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255/2005</w:t>
      </w:r>
      <w:r w:rsidR="00DC1ED6"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xml:space="preserve">. However, according to the Constitutional Court </w:t>
      </w:r>
      <w:r w:rsidR="003F0371" w:rsidRPr="00EE08C7">
        <w:rPr>
          <w:rFonts w:ascii="Times New Roman" w:eastAsia="Times New Roman" w:hAnsi="Times New Roman" w:cs="Times New Roman"/>
          <w:bCs/>
          <w:sz w:val="28"/>
          <w:szCs w:val="28"/>
          <w:lang w:val="en-GB"/>
        </w:rPr>
        <w:lastRenderedPageBreak/>
        <w:t>[</w:t>
      </w:r>
      <w:r w:rsidRPr="00EE08C7">
        <w:rPr>
          <w:rFonts w:ascii="Times New Roman" w:eastAsia="Times New Roman" w:hAnsi="Times New Roman" w:cs="Times New Roman"/>
          <w:bCs/>
          <w:sz w:val="28"/>
          <w:szCs w:val="28"/>
          <w:lang w:val="en-GB"/>
        </w:rPr>
        <w:t xml:space="preserve">Decision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258 of 14 March 2006</w:t>
      </w:r>
      <w:r w:rsidR="003F0371"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w:t>
      </w:r>
      <w:r w:rsidR="003F0371" w:rsidRPr="00EE08C7">
        <w:rPr>
          <w:rFonts w:ascii="Times New Roman" w:eastAsia="Times New Roman" w:hAnsi="Times New Roman" w:cs="Times New Roman"/>
          <w:bCs/>
          <w:sz w:val="28"/>
          <w:szCs w:val="28"/>
          <w:lang w:val="en-GB"/>
        </w:rPr>
        <w:t>the inexistence or non-</w:t>
      </w:r>
      <w:r w:rsidRPr="00EE08C7">
        <w:rPr>
          <w:rFonts w:ascii="Times New Roman" w:eastAsia="Times New Roman" w:hAnsi="Times New Roman" w:cs="Times New Roman"/>
          <w:bCs/>
          <w:sz w:val="28"/>
          <w:szCs w:val="28"/>
          <w:lang w:val="en-GB"/>
        </w:rPr>
        <w:t xml:space="preserve">explanation </w:t>
      </w:r>
      <w:r w:rsidR="003F0371" w:rsidRPr="00EE08C7">
        <w:rPr>
          <w:rFonts w:ascii="Times New Roman" w:eastAsia="Times New Roman" w:hAnsi="Times New Roman" w:cs="Times New Roman"/>
          <w:bCs/>
          <w:sz w:val="28"/>
          <w:szCs w:val="28"/>
          <w:lang w:val="en-GB"/>
        </w:rPr>
        <w:t>of the urgent</w:t>
      </w:r>
      <w:r w:rsidRPr="00EE08C7">
        <w:rPr>
          <w:rFonts w:ascii="Times New Roman" w:eastAsia="Times New Roman" w:hAnsi="Times New Roman" w:cs="Times New Roman"/>
          <w:bCs/>
          <w:sz w:val="28"/>
          <w:szCs w:val="28"/>
          <w:lang w:val="en-GB"/>
        </w:rPr>
        <w:t xml:space="preserve"> regulation of extraordinary situations [...] </w:t>
      </w:r>
      <w:r w:rsidR="003F0371" w:rsidRPr="00EE08C7">
        <w:rPr>
          <w:rFonts w:ascii="Times New Roman" w:eastAsia="Times New Roman" w:hAnsi="Times New Roman" w:cs="Times New Roman"/>
          <w:bCs/>
          <w:sz w:val="28"/>
          <w:szCs w:val="28"/>
          <w:lang w:val="en-GB"/>
        </w:rPr>
        <w:t xml:space="preserve">obviously </w:t>
      </w:r>
      <w:r w:rsidRPr="00EE08C7">
        <w:rPr>
          <w:rFonts w:ascii="Times New Roman" w:eastAsia="Times New Roman" w:hAnsi="Times New Roman" w:cs="Times New Roman"/>
          <w:bCs/>
          <w:sz w:val="28"/>
          <w:szCs w:val="28"/>
          <w:lang w:val="en-GB"/>
        </w:rPr>
        <w:t>constitutes a constitutional barrier to the adoption by the Government of an emergency ordinance [...].</w:t>
      </w:r>
      <w:r w:rsidR="003F0371"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Decid</w:t>
      </w:r>
      <w:r w:rsidR="003F0371" w:rsidRPr="00EE08C7">
        <w:rPr>
          <w:rFonts w:ascii="Times New Roman" w:eastAsia="Times New Roman" w:hAnsi="Times New Roman" w:cs="Times New Roman"/>
          <w:bCs/>
          <w:sz w:val="28"/>
          <w:szCs w:val="28"/>
          <w:lang w:val="en-GB"/>
        </w:rPr>
        <w:t>ing</w:t>
      </w:r>
      <w:r w:rsidRPr="00EE08C7">
        <w:rPr>
          <w:rFonts w:ascii="Times New Roman" w:eastAsia="Times New Roman" w:hAnsi="Times New Roman" w:cs="Times New Roman"/>
          <w:bCs/>
          <w:sz w:val="28"/>
          <w:szCs w:val="28"/>
          <w:lang w:val="en-GB"/>
        </w:rPr>
        <w:t xml:space="preserve"> otherwise means that the provisions of Article 115 of the Constitution on legislative delegation are emptied</w:t>
      </w:r>
      <w:r w:rsidR="003F0371" w:rsidRPr="00EE08C7">
        <w:rPr>
          <w:rFonts w:ascii="Times New Roman" w:eastAsia="Times New Roman" w:hAnsi="Times New Roman" w:cs="Times New Roman"/>
          <w:bCs/>
          <w:sz w:val="28"/>
          <w:szCs w:val="28"/>
          <w:lang w:val="en-GB"/>
        </w:rPr>
        <w:t xml:space="preserve"> of content</w:t>
      </w:r>
      <w:r w:rsidRPr="00EE08C7">
        <w:rPr>
          <w:rFonts w:ascii="Times New Roman" w:eastAsia="Times New Roman" w:hAnsi="Times New Roman" w:cs="Times New Roman"/>
          <w:bCs/>
          <w:sz w:val="28"/>
          <w:szCs w:val="28"/>
          <w:lang w:val="en-GB"/>
        </w:rPr>
        <w:t>, and allow</w:t>
      </w:r>
      <w:r w:rsidR="00681B43" w:rsidRPr="00EE08C7">
        <w:rPr>
          <w:rFonts w:ascii="Times New Roman" w:eastAsia="Times New Roman" w:hAnsi="Times New Roman" w:cs="Times New Roman"/>
          <w:bCs/>
          <w:sz w:val="28"/>
          <w:szCs w:val="28"/>
          <w:lang w:val="en-GB"/>
        </w:rPr>
        <w:t>ing</w:t>
      </w:r>
      <w:r w:rsidRPr="00EE08C7">
        <w:rPr>
          <w:rFonts w:ascii="Times New Roman" w:eastAsia="Times New Roman" w:hAnsi="Times New Roman" w:cs="Times New Roman"/>
          <w:bCs/>
          <w:sz w:val="28"/>
          <w:szCs w:val="28"/>
          <w:lang w:val="en-GB"/>
        </w:rPr>
        <w:t xml:space="preserve"> the Government to </w:t>
      </w:r>
      <w:r w:rsidR="00681B43" w:rsidRPr="00EE08C7">
        <w:rPr>
          <w:rFonts w:ascii="Times New Roman" w:eastAsia="Times New Roman" w:hAnsi="Times New Roman" w:cs="Times New Roman"/>
          <w:bCs/>
          <w:sz w:val="28"/>
          <w:szCs w:val="28"/>
          <w:lang w:val="en-GB"/>
        </w:rPr>
        <w:t xml:space="preserve">urgently </w:t>
      </w:r>
      <w:r w:rsidRPr="00EE08C7">
        <w:rPr>
          <w:rFonts w:ascii="Times New Roman" w:eastAsia="Times New Roman" w:hAnsi="Times New Roman" w:cs="Times New Roman"/>
          <w:bCs/>
          <w:sz w:val="28"/>
          <w:szCs w:val="28"/>
          <w:lang w:val="en-GB"/>
        </w:rPr>
        <w:t>adopt legally binding legislative acts</w:t>
      </w:r>
      <w:r w:rsidR="00681B43"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 xml:space="preserve"> at any time and</w:t>
      </w:r>
      <w:r w:rsidR="00681B43"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 xml:space="preserve"> taking into account the </w:t>
      </w:r>
      <w:r w:rsidR="00681B43" w:rsidRPr="00EE08C7">
        <w:rPr>
          <w:rFonts w:ascii="Times New Roman" w:eastAsia="Times New Roman" w:hAnsi="Times New Roman" w:cs="Times New Roman"/>
          <w:bCs/>
          <w:sz w:val="28"/>
          <w:szCs w:val="28"/>
          <w:lang w:val="en-GB"/>
        </w:rPr>
        <w:t xml:space="preserve">circumstance </w:t>
      </w:r>
      <w:r w:rsidRPr="00EE08C7">
        <w:rPr>
          <w:rFonts w:ascii="Times New Roman" w:eastAsia="Times New Roman" w:hAnsi="Times New Roman" w:cs="Times New Roman"/>
          <w:bCs/>
          <w:sz w:val="28"/>
          <w:szCs w:val="28"/>
          <w:lang w:val="en-GB"/>
        </w:rPr>
        <w:t xml:space="preserve">that </w:t>
      </w:r>
      <w:r w:rsidR="00681B43" w:rsidRPr="00EE08C7">
        <w:rPr>
          <w:rFonts w:ascii="Times New Roman" w:eastAsia="Times New Roman" w:hAnsi="Times New Roman" w:cs="Times New Roman"/>
          <w:bCs/>
          <w:sz w:val="28"/>
          <w:szCs w:val="28"/>
          <w:lang w:val="en-GB"/>
        </w:rPr>
        <w:t xml:space="preserve">the </w:t>
      </w:r>
      <w:r w:rsidRPr="00EE08C7">
        <w:rPr>
          <w:rFonts w:ascii="Times New Roman" w:eastAsia="Times New Roman" w:hAnsi="Times New Roman" w:cs="Times New Roman"/>
          <w:bCs/>
          <w:sz w:val="28"/>
          <w:szCs w:val="28"/>
          <w:lang w:val="en-GB"/>
        </w:rPr>
        <w:t>emergency ord</w:t>
      </w:r>
      <w:r w:rsidR="00681B43" w:rsidRPr="00EE08C7">
        <w:rPr>
          <w:rFonts w:ascii="Times New Roman" w:eastAsia="Times New Roman" w:hAnsi="Times New Roman" w:cs="Times New Roman"/>
          <w:bCs/>
          <w:sz w:val="28"/>
          <w:szCs w:val="28"/>
          <w:lang w:val="en-GB"/>
        </w:rPr>
        <w:t>inance</w:t>
      </w:r>
      <w:r w:rsidRPr="00EE08C7">
        <w:rPr>
          <w:rFonts w:ascii="Times New Roman" w:eastAsia="Times New Roman" w:hAnsi="Times New Roman" w:cs="Times New Roman"/>
          <w:bCs/>
          <w:sz w:val="28"/>
          <w:szCs w:val="28"/>
          <w:lang w:val="en-GB"/>
        </w:rPr>
        <w:t xml:space="preserve"> may also </w:t>
      </w:r>
      <w:r w:rsidR="00681B43" w:rsidRPr="00EE08C7">
        <w:rPr>
          <w:rFonts w:ascii="Times New Roman" w:eastAsia="Times New Roman" w:hAnsi="Times New Roman" w:cs="Times New Roman"/>
          <w:bCs/>
          <w:sz w:val="28"/>
          <w:szCs w:val="28"/>
          <w:lang w:val="en-GB"/>
        </w:rPr>
        <w:t xml:space="preserve">regulate </w:t>
      </w:r>
      <w:r w:rsidRPr="00EE08C7">
        <w:rPr>
          <w:rFonts w:ascii="Times New Roman" w:eastAsia="Times New Roman" w:hAnsi="Times New Roman" w:cs="Times New Roman"/>
          <w:bCs/>
          <w:sz w:val="28"/>
          <w:szCs w:val="28"/>
          <w:lang w:val="en-GB"/>
        </w:rPr>
        <w:t xml:space="preserve">matters subject to organic laws </w:t>
      </w:r>
      <w:r w:rsidR="00681B43"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in any area</w:t>
      </w:r>
      <w:r w:rsidR="00681B43"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bCs/>
          <w:sz w:val="28"/>
          <w:szCs w:val="28"/>
          <w:lang w:val="en-GB"/>
        </w:rPr>
        <w:t xml:space="preserve">In relation to the second condition, the authors of the referral </w:t>
      </w:r>
      <w:r w:rsidR="00681B43" w:rsidRPr="00EE08C7">
        <w:rPr>
          <w:rFonts w:ascii="Times New Roman" w:eastAsia="Times New Roman" w:hAnsi="Times New Roman" w:cs="Times New Roman"/>
          <w:bCs/>
          <w:sz w:val="28"/>
          <w:szCs w:val="28"/>
          <w:lang w:val="en-GB"/>
        </w:rPr>
        <w:t>mention</w:t>
      </w:r>
      <w:r w:rsidRPr="00EE08C7">
        <w:rPr>
          <w:rFonts w:ascii="Times New Roman" w:eastAsia="Times New Roman" w:hAnsi="Times New Roman" w:cs="Times New Roman"/>
          <w:bCs/>
          <w:sz w:val="28"/>
          <w:szCs w:val="28"/>
          <w:lang w:val="en-GB"/>
        </w:rPr>
        <w:t xml:space="preserve"> that</w:t>
      </w:r>
      <w:r w:rsidR="00681B43" w:rsidRPr="00EE08C7">
        <w:rPr>
          <w:rFonts w:ascii="Times New Roman" w:eastAsia="Times New Roman" w:hAnsi="Times New Roman" w:cs="Times New Roman"/>
          <w:bCs/>
          <w:sz w:val="28"/>
          <w:szCs w:val="28"/>
          <w:lang w:val="en-GB"/>
        </w:rPr>
        <w:t xml:space="preserve"> “</w:t>
      </w:r>
      <w:r w:rsidRPr="00EE08C7">
        <w:rPr>
          <w:rFonts w:ascii="Times New Roman" w:eastAsia="Times New Roman" w:hAnsi="Times New Roman" w:cs="Times New Roman"/>
          <w:bCs/>
          <w:sz w:val="28"/>
          <w:szCs w:val="28"/>
          <w:lang w:val="en-GB"/>
        </w:rPr>
        <w:t xml:space="preserve">the </w:t>
      </w:r>
      <w:r w:rsidR="00681B43" w:rsidRPr="00EE08C7">
        <w:rPr>
          <w:rFonts w:ascii="Times New Roman" w:eastAsia="Times New Roman" w:hAnsi="Times New Roman" w:cs="Times New Roman"/>
          <w:bCs/>
          <w:sz w:val="28"/>
          <w:szCs w:val="28"/>
          <w:lang w:val="en-GB"/>
        </w:rPr>
        <w:t xml:space="preserve">grounds </w:t>
      </w:r>
      <w:r w:rsidRPr="00EE08C7">
        <w:rPr>
          <w:rFonts w:ascii="Times New Roman" w:eastAsia="Times New Roman" w:hAnsi="Times New Roman" w:cs="Times New Roman"/>
          <w:bCs/>
          <w:sz w:val="28"/>
          <w:szCs w:val="28"/>
          <w:lang w:val="en-GB"/>
        </w:rPr>
        <w:t xml:space="preserve">for urgency underline the rationale and usefulness of regulation, but not the existence of an extraordinary situation whose regulation cannot be postponed, which it </w:t>
      </w:r>
      <w:r w:rsidRPr="00EE08C7">
        <w:rPr>
          <w:rFonts w:ascii="Times New Roman" w:hAnsi="Times New Roman" w:cs="Times New Roman"/>
          <w:sz w:val="28"/>
          <w:szCs w:val="28"/>
          <w:lang w:val="en-GB"/>
        </w:rPr>
        <w:t>merely proclaims, without motivating it</w:t>
      </w:r>
      <w:r w:rsidR="002573F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in accordance with the requirement of the constitutional reference text. The </w:t>
      </w:r>
      <w:r w:rsidR="002573F9" w:rsidRPr="00EE08C7">
        <w:rPr>
          <w:rFonts w:ascii="Times New Roman" w:hAnsi="Times New Roman" w:cs="Times New Roman"/>
          <w:sz w:val="28"/>
          <w:szCs w:val="28"/>
          <w:lang w:val="en-GB"/>
        </w:rPr>
        <w:t xml:space="preserve">Government </w:t>
      </w:r>
      <w:r w:rsidRPr="00EE08C7">
        <w:rPr>
          <w:rFonts w:ascii="Times New Roman" w:hAnsi="Times New Roman" w:cs="Times New Roman"/>
          <w:sz w:val="28"/>
          <w:szCs w:val="28"/>
          <w:lang w:val="en-GB"/>
        </w:rPr>
        <w:t>did not indicate what the public interest would have been, what the damage would have been, wh</w:t>
      </w:r>
      <w:r w:rsidR="002573F9" w:rsidRPr="00EE08C7">
        <w:rPr>
          <w:rFonts w:ascii="Times New Roman" w:hAnsi="Times New Roman" w:cs="Times New Roman"/>
          <w:sz w:val="28"/>
          <w:szCs w:val="28"/>
          <w:lang w:val="en-GB"/>
        </w:rPr>
        <w:t xml:space="preserve">o </w:t>
      </w:r>
      <w:r w:rsidRPr="00EE08C7">
        <w:rPr>
          <w:rFonts w:ascii="Times New Roman" w:hAnsi="Times New Roman" w:cs="Times New Roman"/>
          <w:sz w:val="28"/>
          <w:szCs w:val="28"/>
          <w:lang w:val="en-GB"/>
        </w:rPr>
        <w:t xml:space="preserve">would have been the injured parties etc., essential aspects to demonstrate that </w:t>
      </w:r>
      <w:r w:rsidR="002573F9" w:rsidRPr="00EE08C7">
        <w:rPr>
          <w:rFonts w:ascii="Times New Roman" w:hAnsi="Times New Roman" w:cs="Times New Roman"/>
          <w:sz w:val="28"/>
          <w:szCs w:val="28"/>
          <w:lang w:val="en-GB"/>
        </w:rPr>
        <w:t>the remedy of</w:t>
      </w:r>
      <w:r w:rsidRPr="00EE08C7">
        <w:rPr>
          <w:rFonts w:ascii="Times New Roman" w:hAnsi="Times New Roman" w:cs="Times New Roman"/>
          <w:sz w:val="28"/>
          <w:szCs w:val="28"/>
          <w:lang w:val="en-GB"/>
        </w:rPr>
        <w:t xml:space="preserve"> the situation by law would have produced serious consequences</w:t>
      </w:r>
      <w:r w:rsidR="002573F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due to the longer duration of the adoption of these legislative acts, and the only way to avoid such a scenario was the adoption of an emergency ordinance. Given that between the date of adoption of the emergency ordinance and the date of expiry of the legal deadline of 3 months was approximately 13 days, the Parliament could have adopted a law with an urgency procedure, in due time or with a minimum of over the reference period, to extend the date of activation of the </w:t>
      </w:r>
      <w:r w:rsidR="007D5586" w:rsidRPr="00EE08C7">
        <w:rPr>
          <w:rFonts w:ascii="Times New Roman" w:hAnsi="Times New Roman" w:cs="Times New Roman"/>
          <w:sz w:val="28"/>
          <w:szCs w:val="28"/>
          <w:lang w:val="en-GB"/>
        </w:rPr>
        <w:t xml:space="preserve">Section for the </w:t>
      </w:r>
      <w:r w:rsidRPr="00EE08C7">
        <w:rPr>
          <w:rFonts w:ascii="Times New Roman" w:hAnsi="Times New Roman" w:cs="Times New Roman"/>
          <w:sz w:val="28"/>
          <w:szCs w:val="28"/>
          <w:lang w:val="en-GB"/>
        </w:rPr>
        <w:t xml:space="preserve">investigation </w:t>
      </w:r>
      <w:r w:rsidR="007D5586" w:rsidRPr="00EE08C7">
        <w:rPr>
          <w:rFonts w:ascii="Times New Roman" w:hAnsi="Times New Roman" w:cs="Times New Roman"/>
          <w:sz w:val="28"/>
          <w:szCs w:val="28"/>
          <w:lang w:val="en-GB"/>
        </w:rPr>
        <w:t xml:space="preserve">of justice-related </w:t>
      </w:r>
      <w:r w:rsidRPr="00EE08C7">
        <w:rPr>
          <w:rFonts w:ascii="Times New Roman" w:hAnsi="Times New Roman" w:cs="Times New Roman"/>
          <w:sz w:val="28"/>
          <w:szCs w:val="28"/>
          <w:lang w:val="en-GB"/>
        </w:rPr>
        <w:t>criminal offences, or even to repeal Article</w:t>
      </w:r>
      <w:r w:rsidR="007D5586" w:rsidRPr="00EE08C7">
        <w:rPr>
          <w:rFonts w:ascii="Times New Roman" w:hAnsi="Times New Roman" w:cs="Times New Roman"/>
          <w:sz w:val="28"/>
          <w:szCs w:val="28"/>
          <w:lang w:val="en-GB"/>
        </w:rPr>
        <w:t>s</w:t>
      </w:r>
      <w:r w:rsidRPr="00EE08C7">
        <w:rPr>
          <w:rFonts w:ascii="Times New Roman" w:hAnsi="Times New Roman" w:cs="Times New Roman"/>
          <w:sz w:val="28"/>
          <w:szCs w:val="28"/>
          <w:lang w:val="en-GB"/>
        </w:rPr>
        <w:t xml:space="preserve"> 88</w:t>
      </w:r>
      <w:r w:rsidRPr="00EE08C7">
        <w:rPr>
          <w:rFonts w:ascii="Times New Roman" w:eastAsia="Times New Roman" w:hAnsi="Times New Roman" w:cs="Times New Roman"/>
          <w:bCs/>
          <w:sz w:val="28"/>
          <w:szCs w:val="28"/>
          <w:vertAlign w:val="superscript"/>
          <w:lang w:val="en-GB"/>
        </w:rPr>
        <w:t>1</w:t>
      </w:r>
      <w:r w:rsidR="007D5586" w:rsidRPr="00EE08C7">
        <w:rPr>
          <w:rFonts w:ascii="Times New Roman" w:eastAsia="Times New Roman" w:hAnsi="Times New Roman" w:cs="Times New Roman"/>
          <w:bCs/>
          <w:sz w:val="28"/>
          <w:szCs w:val="28"/>
          <w:vertAlign w:val="superscript"/>
          <w:lang w:val="en-GB"/>
        </w:rPr>
        <w:t xml:space="preserve"> </w:t>
      </w:r>
      <w:r w:rsidR="007D5586" w:rsidRPr="00EE08C7">
        <w:rPr>
          <w:rFonts w:ascii="Times New Roman" w:hAnsi="Times New Roman" w:cs="Times New Roman"/>
          <w:sz w:val="28"/>
          <w:szCs w:val="28"/>
          <w:lang w:val="en-GB"/>
        </w:rPr>
        <w:t>-88</w:t>
      </w:r>
      <w:r w:rsidRPr="00EE08C7">
        <w:rPr>
          <w:rFonts w:ascii="Times New Roman" w:eastAsia="Times New Roman" w:hAnsi="Times New Roman" w:cs="Times New Roman"/>
          <w:bCs/>
          <w:sz w:val="28"/>
          <w:szCs w:val="28"/>
          <w:vertAlign w:val="superscript"/>
          <w:lang w:val="en-GB"/>
        </w:rPr>
        <w:t>9</w:t>
      </w:r>
      <w:r w:rsidRPr="00EE08C7">
        <w:rPr>
          <w:rFonts w:ascii="Times New Roman" w:hAnsi="Times New Roman" w:cs="Times New Roman"/>
          <w:sz w:val="28"/>
          <w:szCs w:val="28"/>
          <w:lang w:val="en-GB"/>
        </w:rPr>
        <w:t xml:space="preserve"> </w:t>
      </w:r>
      <w:r w:rsidRPr="00EE08C7">
        <w:rPr>
          <w:rFonts w:ascii="Times New Roman" w:eastAsia="Times New Roman" w:hAnsi="Times New Roman" w:cs="Times New Roman"/>
          <w:bCs/>
          <w:sz w:val="28"/>
          <w:szCs w:val="28"/>
          <w:lang w:val="en-GB"/>
        </w:rPr>
        <w:t xml:space="preserve">of </w:t>
      </w:r>
      <w:r w:rsidR="007D5586" w:rsidRPr="00EE08C7">
        <w:rPr>
          <w:rFonts w:ascii="Times New Roman" w:eastAsia="Times New Roman" w:hAnsi="Times New Roman" w:cs="Times New Roman"/>
          <w:bCs/>
          <w:sz w:val="28"/>
          <w:szCs w:val="28"/>
          <w:lang w:val="en-GB"/>
        </w:rPr>
        <w:t xml:space="preserve">Law </w:t>
      </w:r>
      <w:r w:rsidR="00A565F6">
        <w:rPr>
          <w:rFonts w:ascii="Times New Roman" w:eastAsia="Times New Roman" w:hAnsi="Times New Roman" w:cs="Times New Roman"/>
          <w:bCs/>
          <w:sz w:val="28"/>
          <w:szCs w:val="28"/>
          <w:lang w:val="en-GB"/>
        </w:rPr>
        <w:t>no.</w:t>
      </w:r>
      <w:r w:rsidRPr="00EE08C7">
        <w:rPr>
          <w:rFonts w:ascii="Times New Roman" w:eastAsia="Times New Roman" w:hAnsi="Times New Roman" w:cs="Times New Roman"/>
          <w:bCs/>
          <w:sz w:val="28"/>
          <w:szCs w:val="28"/>
          <w:lang w:val="en-GB"/>
        </w:rPr>
        <w:t xml:space="preserve"> 304/2004, as recommended in the most recent </w:t>
      </w:r>
      <w:r w:rsidR="00A565F6">
        <w:rPr>
          <w:rFonts w:ascii="Times New Roman" w:eastAsia="Times New Roman" w:hAnsi="Times New Roman" w:cs="Times New Roman"/>
          <w:bCs/>
          <w:sz w:val="28"/>
          <w:szCs w:val="28"/>
          <w:lang w:val="en-GB"/>
        </w:rPr>
        <w:t>CVM R</w:t>
      </w:r>
      <w:r w:rsidRPr="00EE08C7">
        <w:rPr>
          <w:rFonts w:ascii="Times New Roman" w:eastAsia="Times New Roman" w:hAnsi="Times New Roman" w:cs="Times New Roman"/>
          <w:bCs/>
          <w:sz w:val="28"/>
          <w:szCs w:val="28"/>
          <w:lang w:val="en-GB"/>
        </w:rPr>
        <w:t xml:space="preserve">eport, </w:t>
      </w:r>
      <w:r w:rsidR="007D5586" w:rsidRPr="00EE08C7">
        <w:rPr>
          <w:rFonts w:ascii="Times New Roman" w:eastAsia="Times New Roman" w:hAnsi="Times New Roman" w:cs="Times New Roman"/>
          <w:bCs/>
          <w:sz w:val="28"/>
          <w:szCs w:val="28"/>
          <w:lang w:val="en-GB"/>
        </w:rPr>
        <w:t xml:space="preserve">solution </w:t>
      </w:r>
      <w:r w:rsidRPr="00EE08C7">
        <w:rPr>
          <w:rFonts w:ascii="Times New Roman" w:eastAsia="Times New Roman" w:hAnsi="Times New Roman" w:cs="Times New Roman"/>
          <w:bCs/>
          <w:sz w:val="28"/>
          <w:szCs w:val="28"/>
          <w:lang w:val="en-GB"/>
        </w:rPr>
        <w:t>which would have brought an end to any problems</w:t>
      </w:r>
      <w:r w:rsidR="007D5586" w:rsidRPr="00EE08C7">
        <w:rPr>
          <w:rFonts w:ascii="Times New Roman" w:eastAsia="Times New Roman" w:hAnsi="Times New Roman" w:cs="Times New Roman"/>
          <w:bCs/>
          <w:sz w:val="28"/>
          <w:szCs w:val="28"/>
          <w:lang w:val="en-GB"/>
        </w:rPr>
        <w:t>”</w:t>
      </w:r>
      <w:r w:rsidRPr="00EE08C7">
        <w:rPr>
          <w:rFonts w:ascii="Times New Roman" w:eastAsia="Times New Roman" w:hAnsi="Times New Roman" w:cs="Times New Roman"/>
          <w:bCs/>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hAnsi="Times New Roman" w:cs="Times New Roman"/>
          <w:sz w:val="28"/>
          <w:szCs w:val="28"/>
          <w:lang w:val="en-GB"/>
        </w:rPr>
        <w:t>The</w:t>
      </w:r>
      <w:r w:rsidRPr="00EE08C7">
        <w:rPr>
          <w:rFonts w:ascii="Times New Roman" w:eastAsia="Times New Roman" w:hAnsi="Times New Roman" w:cs="Times New Roman"/>
          <w:sz w:val="28"/>
          <w:szCs w:val="28"/>
          <w:lang w:val="en-GB"/>
        </w:rPr>
        <w:t xml:space="preserve"> </w:t>
      </w:r>
      <w:r w:rsidR="007D5586" w:rsidRPr="00EE08C7">
        <w:rPr>
          <w:rFonts w:ascii="Times New Roman" w:eastAsia="Times New Roman" w:hAnsi="Times New Roman" w:cs="Times New Roman"/>
          <w:sz w:val="28"/>
          <w:szCs w:val="28"/>
          <w:lang w:val="en-GB"/>
        </w:rPr>
        <w:t>authors of the objection further claim</w:t>
      </w:r>
      <w:r w:rsidRPr="00EE08C7">
        <w:rPr>
          <w:rFonts w:ascii="Times New Roman" w:eastAsia="Times New Roman" w:hAnsi="Times New Roman" w:cs="Times New Roman"/>
          <w:sz w:val="28"/>
          <w:szCs w:val="28"/>
          <w:lang w:val="en-GB"/>
        </w:rPr>
        <w:t xml:space="preserve"> that Government Emergency Ordinance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was adopted in breach of Article 115 (6) of the Constitution, since the Section for the </w:t>
      </w:r>
      <w:r w:rsidR="007D5586"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7D5586" w:rsidRPr="00EE08C7">
        <w:rPr>
          <w:rFonts w:ascii="Times New Roman" w:eastAsia="Times New Roman" w:hAnsi="Times New Roman" w:cs="Times New Roman"/>
          <w:sz w:val="28"/>
          <w:szCs w:val="28"/>
          <w:lang w:val="en-GB"/>
        </w:rPr>
        <w:t xml:space="preserve">justice-related criminal offences </w:t>
      </w:r>
      <w:r w:rsidRPr="00EE08C7">
        <w:rPr>
          <w:rFonts w:ascii="Times New Roman" w:eastAsia="Times New Roman" w:hAnsi="Times New Roman" w:cs="Times New Roman"/>
          <w:sz w:val="28"/>
          <w:szCs w:val="28"/>
          <w:lang w:val="en-GB"/>
        </w:rPr>
        <w:t xml:space="preserve">was </w:t>
      </w:r>
      <w:r w:rsidRPr="00EE08C7">
        <w:rPr>
          <w:rFonts w:ascii="Times New Roman" w:eastAsia="Times New Roman" w:hAnsi="Times New Roman" w:cs="Times New Roman"/>
          <w:sz w:val="28"/>
          <w:szCs w:val="28"/>
          <w:lang w:val="en-GB"/>
        </w:rPr>
        <w:lastRenderedPageBreak/>
        <w:t>constituted under Article</w:t>
      </w:r>
      <w:r w:rsidR="007D5586"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88</w:t>
      </w:r>
      <w:r w:rsidRPr="00EE08C7">
        <w:rPr>
          <w:rFonts w:ascii="Times New Roman" w:eastAsia="Times New Roman" w:hAnsi="Times New Roman" w:cs="Times New Roman"/>
          <w:sz w:val="28"/>
          <w:szCs w:val="28"/>
          <w:vertAlign w:val="superscript"/>
          <w:lang w:val="en-GB"/>
        </w:rPr>
        <w:t>1</w:t>
      </w:r>
      <w:r w:rsidRPr="00EE08C7">
        <w:rPr>
          <w:rFonts w:ascii="Times New Roman" w:eastAsia="Times New Roman" w:hAnsi="Times New Roman" w:cs="Times New Roman"/>
          <w:sz w:val="28"/>
          <w:szCs w:val="28"/>
          <w:lang w:val="en-GB"/>
        </w:rPr>
        <w:t xml:space="preserve"> </w:t>
      </w:r>
      <w:r w:rsidR="00A565F6">
        <w:rPr>
          <w:rFonts w:ascii="Times New Roman" w:eastAsia="Times New Roman" w:hAnsi="Times New Roman" w:cs="Times New Roman"/>
          <w:sz w:val="28"/>
          <w:szCs w:val="28"/>
          <w:lang w:val="en-GB"/>
        </w:rPr>
        <w:t>to</w:t>
      </w:r>
      <w:r w:rsidR="007D5586"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88</w:t>
      </w:r>
      <w:r w:rsidRPr="00EE08C7">
        <w:rPr>
          <w:rFonts w:ascii="Times New Roman" w:eastAsia="Times New Roman" w:hAnsi="Times New Roman" w:cs="Times New Roman"/>
          <w:sz w:val="28"/>
          <w:szCs w:val="28"/>
          <w:vertAlign w:val="superscript"/>
          <w:lang w:val="en-GB"/>
        </w:rPr>
        <w:t>9</w:t>
      </w:r>
      <w:r w:rsidRPr="00EE08C7">
        <w:rPr>
          <w:rFonts w:ascii="Times New Roman" w:eastAsia="Times New Roman" w:hAnsi="Times New Roman" w:cs="Times New Roman"/>
          <w:sz w:val="28"/>
          <w:szCs w:val="28"/>
          <w:lang w:val="en-GB"/>
        </w:rPr>
        <w:t xml:space="preserve"> of Law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304/2004</w:t>
      </w:r>
      <w:r w:rsidR="007D558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as a structure within the Prosecutor’s Office attached to the High Court of Cassation and Justice, so that any emergency order which would govern its organisation and operation would affect more or less the regime of a fundamental institution of the State </w:t>
      </w:r>
      <w:r w:rsidR="007D558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the Public Ministry.</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On the other hand, since </w:t>
      </w:r>
      <w:r w:rsidR="007D5586"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Government Emergency Ordinance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regulates the </w:t>
      </w:r>
      <w:r w:rsidR="00662B5C" w:rsidRPr="00EE08C7">
        <w:rPr>
          <w:rFonts w:ascii="Times New Roman" w:eastAsia="Times New Roman" w:hAnsi="Times New Roman" w:cs="Times New Roman"/>
          <w:sz w:val="28"/>
          <w:szCs w:val="28"/>
          <w:lang w:val="en-GB"/>
        </w:rPr>
        <w:t xml:space="preserve">fast </w:t>
      </w:r>
      <w:r w:rsidRPr="00EE08C7">
        <w:rPr>
          <w:rFonts w:ascii="Times New Roman" w:eastAsia="Times New Roman" w:hAnsi="Times New Roman" w:cs="Times New Roman"/>
          <w:sz w:val="28"/>
          <w:szCs w:val="28"/>
          <w:lang w:val="en-GB"/>
        </w:rPr>
        <w:t xml:space="preserve">operationalisation of the Section for the </w:t>
      </w:r>
      <w:r w:rsidR="00662B5C"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662B5C" w:rsidRPr="00EE08C7">
        <w:rPr>
          <w:rFonts w:ascii="Times New Roman" w:eastAsia="Times New Roman" w:hAnsi="Times New Roman" w:cs="Times New Roman"/>
          <w:sz w:val="28"/>
          <w:szCs w:val="28"/>
          <w:lang w:val="en-GB"/>
        </w:rPr>
        <w:t>justice-related criminal offences</w:t>
      </w:r>
      <w:r w:rsidRPr="00EE08C7">
        <w:rPr>
          <w:rFonts w:ascii="Times New Roman" w:eastAsia="Times New Roman" w:hAnsi="Times New Roman" w:cs="Times New Roman"/>
          <w:sz w:val="28"/>
          <w:szCs w:val="28"/>
          <w:lang w:val="en-GB"/>
        </w:rPr>
        <w:t xml:space="preserve">, the fact that the measures adopted are manifestly contrary to the </w:t>
      </w:r>
      <w:r w:rsidR="00A565F6">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xml:space="preserve"> </w:t>
      </w:r>
      <w:r w:rsidR="00662B5C" w:rsidRPr="00EE08C7">
        <w:rPr>
          <w:rFonts w:ascii="Times New Roman" w:eastAsia="Times New Roman" w:hAnsi="Times New Roman" w:cs="Times New Roman"/>
          <w:sz w:val="28"/>
          <w:szCs w:val="28"/>
          <w:lang w:val="en-GB"/>
        </w:rPr>
        <w:t xml:space="preserve">Report issued on </w:t>
      </w:r>
      <w:r w:rsidRPr="00EE08C7">
        <w:rPr>
          <w:rFonts w:ascii="Times New Roman" w:eastAsia="Times New Roman" w:hAnsi="Times New Roman" w:cs="Times New Roman"/>
          <w:sz w:val="28"/>
          <w:szCs w:val="28"/>
          <w:lang w:val="en-GB"/>
        </w:rPr>
        <w:t xml:space="preserve">13 November 2018, in which the European Commission has specifically recommended Romania </w:t>
      </w:r>
      <w:r w:rsidR="00662B5C"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to immediately suspend the implementation of the laws of the judiciary and </w:t>
      </w:r>
      <w:r w:rsidR="00662B5C" w:rsidRPr="00EE08C7">
        <w:rPr>
          <w:rFonts w:ascii="Times New Roman" w:eastAsia="Times New Roman" w:hAnsi="Times New Roman" w:cs="Times New Roman"/>
          <w:sz w:val="28"/>
          <w:szCs w:val="28"/>
          <w:lang w:val="en-GB"/>
        </w:rPr>
        <w:t xml:space="preserve">subsequent </w:t>
      </w:r>
      <w:r w:rsidRPr="00EE08C7">
        <w:rPr>
          <w:rFonts w:ascii="Times New Roman" w:eastAsia="Times New Roman" w:hAnsi="Times New Roman" w:cs="Times New Roman"/>
          <w:sz w:val="28"/>
          <w:szCs w:val="28"/>
          <w:lang w:val="en-GB"/>
        </w:rPr>
        <w:t>emergency ordinances</w:t>
      </w:r>
      <w:r w:rsidR="00662B5C"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as well as </w:t>
      </w:r>
      <w:r w:rsidR="00662B5C" w:rsidRPr="00EE08C7">
        <w:rPr>
          <w:rFonts w:ascii="Times New Roman" w:eastAsia="Times New Roman" w:hAnsi="Times New Roman" w:cs="Times New Roman"/>
          <w:sz w:val="28"/>
          <w:szCs w:val="28"/>
          <w:lang w:val="en-GB"/>
        </w:rPr>
        <w:t xml:space="preserve">“to review the </w:t>
      </w:r>
      <w:r w:rsidRPr="00EE08C7">
        <w:rPr>
          <w:rFonts w:ascii="Times New Roman" w:eastAsia="Times New Roman" w:hAnsi="Times New Roman" w:cs="Times New Roman"/>
          <w:sz w:val="28"/>
          <w:szCs w:val="28"/>
          <w:lang w:val="en-GB"/>
        </w:rPr>
        <w:t>laws</w:t>
      </w:r>
      <w:r w:rsidR="00662B5C" w:rsidRPr="00EE08C7">
        <w:rPr>
          <w:rFonts w:ascii="Times New Roman" w:eastAsia="Times New Roman" w:hAnsi="Times New Roman" w:cs="Times New Roman"/>
          <w:sz w:val="28"/>
          <w:szCs w:val="28"/>
          <w:lang w:val="en-GB"/>
        </w:rPr>
        <w:t xml:space="preserve"> of the judiciary,</w:t>
      </w:r>
      <w:r w:rsidRPr="00EE08C7">
        <w:rPr>
          <w:rFonts w:ascii="Times New Roman" w:eastAsia="Times New Roman" w:hAnsi="Times New Roman" w:cs="Times New Roman"/>
          <w:sz w:val="28"/>
          <w:szCs w:val="28"/>
          <w:lang w:val="en-GB"/>
        </w:rPr>
        <w:t xml:space="preserve"> taking full account of the </w:t>
      </w:r>
      <w:r w:rsidR="00A565F6">
        <w:rPr>
          <w:rFonts w:ascii="Times New Roman" w:eastAsia="Times New Roman" w:hAnsi="Times New Roman" w:cs="Times New Roman"/>
          <w:sz w:val="28"/>
          <w:szCs w:val="28"/>
          <w:lang w:val="en-GB"/>
        </w:rPr>
        <w:t>CVM</w:t>
      </w:r>
      <w:r w:rsidR="00662B5C"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recommendations, as well as </w:t>
      </w:r>
      <w:r w:rsidR="00662B5C"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the recommendations of t</w:t>
      </w:r>
      <w:r w:rsidR="00662B5C" w:rsidRPr="00EE08C7">
        <w:rPr>
          <w:rFonts w:ascii="Times New Roman" w:eastAsia="Times New Roman" w:hAnsi="Times New Roman" w:cs="Times New Roman"/>
          <w:sz w:val="28"/>
          <w:szCs w:val="28"/>
          <w:lang w:val="en-GB"/>
        </w:rPr>
        <w:t>he Venice Commission and GRECO” h</w:t>
      </w:r>
      <w:r w:rsidRPr="00EE08C7">
        <w:rPr>
          <w:rFonts w:ascii="Times New Roman" w:eastAsia="Times New Roman" w:hAnsi="Times New Roman" w:cs="Times New Roman"/>
          <w:sz w:val="28"/>
          <w:szCs w:val="28"/>
          <w:lang w:val="en-GB"/>
        </w:rPr>
        <w:t>a</w:t>
      </w:r>
      <w:r w:rsidR="000A572C"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constitutional relevance in light of the substantive and procedural requirements imposed by Article 148 (2) and (4) of the Constitution. These provisions shall provide for the precedence of the provisions of the </w:t>
      </w:r>
      <w:r w:rsidR="000A572C" w:rsidRPr="00EE08C7">
        <w:rPr>
          <w:rFonts w:ascii="Times New Roman" w:eastAsia="Times New Roman" w:hAnsi="Times New Roman" w:cs="Times New Roman"/>
          <w:sz w:val="28"/>
          <w:szCs w:val="28"/>
          <w:lang w:val="en-GB"/>
        </w:rPr>
        <w:t xml:space="preserve">European Union </w:t>
      </w:r>
      <w:r w:rsidRPr="00EE08C7">
        <w:rPr>
          <w:rFonts w:ascii="Times New Roman" w:eastAsia="Times New Roman" w:hAnsi="Times New Roman" w:cs="Times New Roman"/>
          <w:sz w:val="28"/>
          <w:szCs w:val="28"/>
          <w:lang w:val="en-GB"/>
        </w:rPr>
        <w:t xml:space="preserve">Treaties and of the other binding Community rules </w:t>
      </w:r>
      <w:r w:rsidR="000A572C" w:rsidRPr="00EE08C7">
        <w:rPr>
          <w:rFonts w:ascii="Times New Roman" w:eastAsia="Times New Roman" w:hAnsi="Times New Roman" w:cs="Times New Roman"/>
          <w:sz w:val="28"/>
          <w:szCs w:val="28"/>
          <w:lang w:val="en-GB"/>
        </w:rPr>
        <w:t xml:space="preserve">compared to the contrary provisions </w:t>
      </w:r>
      <w:r w:rsidRPr="00EE08C7">
        <w:rPr>
          <w:rFonts w:ascii="Times New Roman" w:eastAsia="Times New Roman" w:hAnsi="Times New Roman" w:cs="Times New Roman"/>
          <w:sz w:val="28"/>
          <w:szCs w:val="28"/>
          <w:lang w:val="en-GB"/>
        </w:rPr>
        <w:t xml:space="preserve">in </w:t>
      </w:r>
      <w:r w:rsidR="000A572C"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national laws, such as the obligation to comply with </w:t>
      </w:r>
      <w:r w:rsidR="000A572C"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obligations resulting from the act of accession, shall be converted into a true cause of unconstitutionality.</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 xml:space="preserve">The referral also concerns </w:t>
      </w:r>
      <w:bookmarkStart w:id="11" w:name="_Hlk535937517"/>
      <w:r w:rsidR="000A572C" w:rsidRPr="00EE08C7">
        <w:rPr>
          <w:rFonts w:ascii="Times New Roman" w:eastAsia="Times New Roman" w:hAnsi="Times New Roman" w:cs="Times New Roman"/>
          <w:i/>
          <w:sz w:val="28"/>
          <w:szCs w:val="28"/>
          <w:lang w:val="en-GB"/>
        </w:rPr>
        <w:t>critic</w:t>
      </w:r>
      <w:r w:rsidR="00433613" w:rsidRPr="00EE08C7">
        <w:rPr>
          <w:rFonts w:ascii="Times New Roman" w:eastAsia="Times New Roman" w:hAnsi="Times New Roman" w:cs="Times New Roman"/>
          <w:i/>
          <w:sz w:val="28"/>
          <w:szCs w:val="28"/>
          <w:lang w:val="en-GB"/>
        </w:rPr>
        <w:t>ism</w:t>
      </w:r>
      <w:r w:rsidRPr="00EE08C7">
        <w:rPr>
          <w:rFonts w:ascii="Times New Roman" w:eastAsia="Times New Roman" w:hAnsi="Times New Roman" w:cs="Times New Roman"/>
          <w:i/>
          <w:sz w:val="28"/>
          <w:szCs w:val="28"/>
          <w:lang w:val="en-GB"/>
        </w:rPr>
        <w:t xml:space="preserve"> of intrinsic unconstitutionality </w:t>
      </w:r>
      <w:r w:rsidRPr="00EE08C7">
        <w:rPr>
          <w:rFonts w:ascii="Times New Roman" w:eastAsia="Times New Roman" w:hAnsi="Times New Roman" w:cs="Times New Roman"/>
          <w:sz w:val="28"/>
          <w:szCs w:val="28"/>
          <w:lang w:val="en-GB"/>
        </w:rPr>
        <w:t>with regard to Article 1 of Government Emergency Ord</w:t>
      </w:r>
      <w:r w:rsidR="000A572C"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xml:space="preserve">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deemed to be adopted in breach of Article 3 (1) and </w:t>
      </w:r>
      <w:r w:rsidR="000A572C"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Article 36</w:t>
      </w:r>
      <w:r w:rsidRPr="00EE08C7">
        <w:rPr>
          <w:lang w:val="en-GB"/>
        </w:rPr>
        <w:t xml:space="preserve"> </w:t>
      </w:r>
      <w:r w:rsidRPr="00EE08C7">
        <w:rPr>
          <w:rFonts w:ascii="Times New Roman" w:hAnsi="Times New Roman" w:cs="Times New Roman"/>
          <w:sz w:val="28"/>
          <w:szCs w:val="28"/>
          <w:lang w:val="en-GB"/>
        </w:rPr>
        <w:t>(1) of</w:t>
      </w:r>
      <w:r w:rsidRPr="00EE08C7">
        <w:rPr>
          <w:rFonts w:ascii="Times New Roman" w:eastAsia="Times New Roman" w:hAnsi="Times New Roman" w:cs="Times New Roman"/>
          <w:sz w:val="28"/>
          <w:szCs w:val="28"/>
          <w:lang w:val="en-GB"/>
        </w:rPr>
        <w:t xml:space="preserve"> Law </w:t>
      </w:r>
      <w:r w:rsidR="00A565F6">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24/2000, respectively with regard to Article II (11)</w:t>
      </w:r>
      <w:r w:rsidR="00010953" w:rsidRPr="00EE08C7">
        <w:rPr>
          <w:rFonts w:ascii="Times New Roman" w:eastAsia="Times New Roman" w:hAnsi="Times New Roman" w:cs="Times New Roman"/>
          <w:sz w:val="28"/>
          <w:szCs w:val="28"/>
          <w:lang w:val="en-GB"/>
        </w:rPr>
        <w:t xml:space="preserve">, the authors stating that “the text is written in an negligent, unclear manner, therefore it is unforeseeable in its subsequent interpretation and generates an unpredictable future application. </w:t>
      </w:r>
      <w:r w:rsidRPr="00EE08C7">
        <w:rPr>
          <w:rFonts w:ascii="Times New Roman" w:eastAsia="Times New Roman" w:hAnsi="Times New Roman" w:cs="Times New Roman"/>
          <w:sz w:val="28"/>
          <w:szCs w:val="28"/>
          <w:lang w:val="en-GB"/>
        </w:rPr>
        <w:t>The first and second sentence</w:t>
      </w:r>
      <w:r w:rsidR="00010953"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of Article II (11) appear to have a different content in terms of competence by matter and person in the </w:t>
      </w:r>
      <w:r w:rsidR="00010953"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ection and in </w:t>
      </w:r>
      <w:r w:rsidR="00364D59" w:rsidRPr="00EE08C7">
        <w:rPr>
          <w:rFonts w:ascii="Times New Roman" w:eastAsia="Times New Roman" w:hAnsi="Times New Roman" w:cs="Times New Roman"/>
          <w:sz w:val="28"/>
          <w:szCs w:val="28"/>
          <w:lang w:val="en-GB"/>
        </w:rPr>
        <w:t xml:space="preserve">allowing </w:t>
      </w:r>
      <w:r w:rsidRPr="00EE08C7">
        <w:rPr>
          <w:rFonts w:ascii="Times New Roman" w:eastAsia="Times New Roman" w:hAnsi="Times New Roman" w:cs="Times New Roman"/>
          <w:sz w:val="28"/>
          <w:szCs w:val="28"/>
          <w:lang w:val="en-GB"/>
        </w:rPr>
        <w:t xml:space="preserve">the Section to hold </w:t>
      </w:r>
      <w:r w:rsidRPr="00EE08C7">
        <w:rPr>
          <w:rFonts w:ascii="Times New Roman" w:eastAsia="Times New Roman" w:hAnsi="Times New Roman" w:cs="Times New Roman"/>
          <w:sz w:val="28"/>
          <w:szCs w:val="28"/>
          <w:lang w:val="en-GB"/>
        </w:rPr>
        <w:lastRenderedPageBreak/>
        <w:t>the files</w:t>
      </w:r>
      <w:r w:rsidR="00364D59" w:rsidRPr="00EE08C7">
        <w:rPr>
          <w:rFonts w:ascii="Times New Roman" w:eastAsia="Times New Roman" w:hAnsi="Times New Roman" w:cs="Times New Roman"/>
          <w:sz w:val="28"/>
          <w:szCs w:val="28"/>
          <w:lang w:val="en-GB"/>
        </w:rPr>
        <w:t xml:space="preserve"> of the cases</w:t>
      </w:r>
      <w:r w:rsidRPr="00EE08C7">
        <w:rPr>
          <w:rFonts w:ascii="Times New Roman" w:eastAsia="Times New Roman" w:hAnsi="Times New Roman" w:cs="Times New Roman"/>
          <w:sz w:val="28"/>
          <w:szCs w:val="28"/>
          <w:lang w:val="en-GB"/>
        </w:rPr>
        <w:t xml:space="preserve"> already resolved, </w:t>
      </w:r>
      <w:r w:rsidR="00364D59" w:rsidRPr="00EE08C7">
        <w:rPr>
          <w:rFonts w:ascii="Times New Roman" w:eastAsia="Times New Roman" w:hAnsi="Times New Roman" w:cs="Times New Roman"/>
          <w:sz w:val="28"/>
          <w:szCs w:val="28"/>
          <w:lang w:val="en-GB"/>
        </w:rPr>
        <w:t xml:space="preserve">which had as settlement </w:t>
      </w:r>
      <w:r w:rsidRPr="00EE08C7">
        <w:rPr>
          <w:rFonts w:ascii="Times New Roman" w:eastAsia="Times New Roman" w:hAnsi="Times New Roman" w:cs="Times New Roman"/>
          <w:sz w:val="28"/>
          <w:szCs w:val="28"/>
          <w:lang w:val="en-GB"/>
        </w:rPr>
        <w:t xml:space="preserve">object </w:t>
      </w:r>
      <w:r w:rsidR="00364D59" w:rsidRPr="00EE08C7">
        <w:rPr>
          <w:rFonts w:ascii="Times New Roman" w:eastAsia="Times New Roman" w:hAnsi="Times New Roman" w:cs="Times New Roman"/>
          <w:sz w:val="28"/>
          <w:szCs w:val="28"/>
          <w:lang w:val="en-GB"/>
        </w:rPr>
        <w:t xml:space="preserve">the criminal </w:t>
      </w:r>
      <w:r w:rsidRPr="00EE08C7">
        <w:rPr>
          <w:rFonts w:ascii="Times New Roman" w:eastAsia="Times New Roman" w:hAnsi="Times New Roman" w:cs="Times New Roman"/>
          <w:sz w:val="28"/>
          <w:szCs w:val="28"/>
          <w:lang w:val="en-GB"/>
        </w:rPr>
        <w:t>prosecut</w:t>
      </w:r>
      <w:r w:rsidR="00364D59" w:rsidRPr="00EE08C7">
        <w:rPr>
          <w:rFonts w:ascii="Times New Roman" w:eastAsia="Times New Roman" w:hAnsi="Times New Roman" w:cs="Times New Roman"/>
          <w:sz w:val="28"/>
          <w:szCs w:val="28"/>
          <w:lang w:val="en-GB"/>
        </w:rPr>
        <w:t>ion of</w:t>
      </w:r>
      <w:r w:rsidRPr="00EE08C7">
        <w:rPr>
          <w:rFonts w:ascii="Times New Roman" w:eastAsia="Times New Roman" w:hAnsi="Times New Roman" w:cs="Times New Roman"/>
          <w:sz w:val="28"/>
          <w:szCs w:val="28"/>
          <w:lang w:val="en-GB"/>
        </w:rPr>
        <w:t xml:space="preserve"> the offences referred to in</w:t>
      </w:r>
      <w:r w:rsidRPr="00EE08C7">
        <w:rPr>
          <w:rFonts w:ascii="Times New Roman" w:eastAsia="Times New Roman" w:hAnsi="Times New Roman" w:cs="Times New Roman"/>
          <w:sz w:val="28"/>
          <w:szCs w:val="28"/>
          <w:vertAlign w:val="superscript"/>
          <w:lang w:val="en-GB"/>
        </w:rPr>
        <w:t xml:space="preserve"> </w:t>
      </w:r>
      <w:r w:rsidRPr="00EE08C7">
        <w:rPr>
          <w:rFonts w:ascii="Times New Roman" w:eastAsia="Times New Roman" w:hAnsi="Times New Roman" w:cs="Times New Roman"/>
          <w:sz w:val="28"/>
          <w:szCs w:val="28"/>
          <w:lang w:val="en-GB"/>
        </w:rPr>
        <w:t xml:space="preserve">Article 88 (1)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00364D59" w:rsidRPr="00EE08C7">
        <w:rPr>
          <w:rFonts w:ascii="Times New Roman" w:eastAsia="Times New Roman" w:hAnsi="Times New Roman" w:cs="Times New Roman"/>
          <w:sz w:val="28"/>
          <w:szCs w:val="28"/>
          <w:lang w:val="en-GB"/>
        </w:rPr>
        <w:t>304/2004</w:t>
      </w:r>
      <w:r w:rsidRPr="00EE08C7">
        <w:rPr>
          <w:rFonts w:ascii="Times New Roman" w:eastAsia="Times New Roman" w:hAnsi="Times New Roman" w:cs="Times New Roman"/>
          <w:sz w:val="28"/>
          <w:szCs w:val="28"/>
          <w:lang w:val="en-GB"/>
        </w:rPr>
        <w:t>”</w:t>
      </w:r>
      <w:bookmarkEnd w:id="11"/>
      <w:r w:rsidR="00364D59"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In conclusion, the authors of objection of unconstitutionality </w:t>
      </w:r>
      <w:r w:rsidR="00A55125" w:rsidRPr="00EE08C7">
        <w:rPr>
          <w:rFonts w:ascii="Times New Roman" w:eastAsia="Times New Roman" w:hAnsi="Times New Roman" w:cs="Times New Roman"/>
          <w:sz w:val="28"/>
          <w:szCs w:val="28"/>
          <w:lang w:val="en-GB"/>
        </w:rPr>
        <w:t xml:space="preserve">require </w:t>
      </w:r>
      <w:r w:rsidRPr="00EE08C7">
        <w:rPr>
          <w:rFonts w:ascii="Times New Roman" w:eastAsia="Times New Roman" w:hAnsi="Times New Roman" w:cs="Times New Roman"/>
          <w:sz w:val="28"/>
          <w:szCs w:val="28"/>
          <w:lang w:val="en-GB"/>
        </w:rPr>
        <w:t xml:space="preserve">the Court to find that the provisions of the Law approving Government Emergency Ordinance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w:t>
      </w:r>
      <w:r w:rsidR="00A55125" w:rsidRPr="00EE08C7">
        <w:rPr>
          <w:rFonts w:ascii="Times New Roman" w:eastAsia="Times New Roman" w:hAnsi="Times New Roman" w:cs="Times New Roman"/>
          <w:bCs/>
          <w:sz w:val="28"/>
          <w:szCs w:val="28"/>
          <w:lang w:val="en-GB"/>
        </w:rPr>
        <w:t>concerning certain measures aimed at making the Section for the investigation of justice-related criminal offences operational</w:t>
      </w:r>
      <w:r w:rsidR="00A55125"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are unconstitutional.</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Pursuant to </w:t>
      </w:r>
      <w:r w:rsidR="002E0C1C" w:rsidRPr="00EE08C7">
        <w:rPr>
          <w:rFonts w:ascii="Times New Roman" w:eastAsia="Times New Roman" w:hAnsi="Times New Roman" w:cs="Times New Roman"/>
          <w:sz w:val="28"/>
          <w:szCs w:val="28"/>
          <w:lang w:val="en-GB"/>
        </w:rPr>
        <w:t xml:space="preserve">the provisions of </w:t>
      </w:r>
      <w:r w:rsidRPr="00EE08C7">
        <w:rPr>
          <w:rFonts w:ascii="Times New Roman" w:eastAsia="Times New Roman" w:hAnsi="Times New Roman" w:cs="Times New Roman"/>
          <w:sz w:val="28"/>
          <w:szCs w:val="28"/>
          <w:lang w:val="en-GB"/>
        </w:rPr>
        <w:t xml:space="preserve">Article 16 (2)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47/1992 on the organisation and </w:t>
      </w:r>
      <w:r w:rsidR="002E0C1C" w:rsidRPr="00EE08C7">
        <w:rPr>
          <w:rFonts w:ascii="Times New Roman" w:eastAsia="Times New Roman" w:hAnsi="Times New Roman" w:cs="Times New Roman"/>
          <w:sz w:val="28"/>
          <w:szCs w:val="28"/>
          <w:lang w:val="en-GB"/>
        </w:rPr>
        <w:t>operation</w:t>
      </w:r>
      <w:r w:rsidRPr="00EE08C7">
        <w:rPr>
          <w:rFonts w:ascii="Times New Roman" w:eastAsia="Times New Roman" w:hAnsi="Times New Roman" w:cs="Times New Roman"/>
          <w:sz w:val="28"/>
          <w:szCs w:val="28"/>
          <w:lang w:val="en-GB"/>
        </w:rPr>
        <w:t xml:space="preserve"> of the Constitutional </w:t>
      </w:r>
      <w:r w:rsidR="002E0C1C" w:rsidRPr="00EE08C7">
        <w:rPr>
          <w:rFonts w:ascii="Times New Roman" w:eastAsia="Times New Roman" w:hAnsi="Times New Roman" w:cs="Times New Roman"/>
          <w:sz w:val="28"/>
          <w:szCs w:val="28"/>
          <w:lang w:val="en-GB"/>
        </w:rPr>
        <w:t>Court</w:t>
      </w:r>
      <w:r w:rsidRPr="00EE08C7">
        <w:rPr>
          <w:rFonts w:ascii="Times New Roman" w:eastAsia="Times New Roman" w:hAnsi="Times New Roman" w:cs="Times New Roman"/>
          <w:sz w:val="28"/>
          <w:szCs w:val="28"/>
          <w:lang w:val="en-GB"/>
        </w:rPr>
        <w:t xml:space="preserve">, the referral was sent to the Presidents of both </w:t>
      </w:r>
      <w:r w:rsidR="002E0C1C" w:rsidRPr="00EE08C7">
        <w:rPr>
          <w:rFonts w:ascii="Times New Roman" w:eastAsia="Times New Roman" w:hAnsi="Times New Roman" w:cs="Times New Roman"/>
          <w:sz w:val="28"/>
          <w:szCs w:val="28"/>
          <w:lang w:val="en-GB"/>
        </w:rPr>
        <w:t xml:space="preserve">Chambers </w:t>
      </w:r>
      <w:r w:rsidRPr="00EE08C7">
        <w:rPr>
          <w:rFonts w:ascii="Times New Roman" w:eastAsia="Times New Roman" w:hAnsi="Times New Roman" w:cs="Times New Roman"/>
          <w:sz w:val="28"/>
          <w:szCs w:val="28"/>
          <w:lang w:val="en-GB"/>
        </w:rPr>
        <w:t>of Parliament and to the Government in order to communicate their views.</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hAnsi="Times New Roman" w:cs="Times New Roman"/>
          <w:sz w:val="28"/>
          <w:szCs w:val="28"/>
          <w:lang w:val="en-GB"/>
        </w:rPr>
        <w:t>The</w:t>
      </w:r>
      <w:r w:rsidRPr="00EE08C7">
        <w:rPr>
          <w:rFonts w:ascii="Times New Roman" w:eastAsia="Times New Roman" w:hAnsi="Times New Roman" w:cs="Times New Roman"/>
          <w:b/>
          <w:sz w:val="28"/>
          <w:szCs w:val="28"/>
          <w:lang w:val="en-GB"/>
        </w:rPr>
        <w:t xml:space="preserve"> President of the Senate </w:t>
      </w:r>
      <w:r w:rsidRPr="00EE08C7">
        <w:rPr>
          <w:rFonts w:ascii="Times New Roman" w:eastAsia="Times New Roman" w:hAnsi="Times New Roman" w:cs="Times New Roman"/>
          <w:sz w:val="28"/>
          <w:szCs w:val="28"/>
          <w:lang w:val="en-GB"/>
        </w:rPr>
        <w:t xml:space="preserve">has transmitted, with </w:t>
      </w:r>
      <w:r w:rsidR="002E0C1C" w:rsidRPr="00EE08C7">
        <w:rPr>
          <w:rFonts w:ascii="Times New Roman" w:eastAsia="Times New Roman" w:hAnsi="Times New Roman" w:cs="Times New Roman"/>
          <w:sz w:val="28"/>
          <w:szCs w:val="28"/>
          <w:lang w:val="en-GB"/>
        </w:rPr>
        <w:t>L</w:t>
      </w:r>
      <w:r w:rsidRPr="00EE08C7">
        <w:rPr>
          <w:rFonts w:ascii="Times New Roman" w:eastAsia="Times New Roman" w:hAnsi="Times New Roman" w:cs="Times New Roman"/>
          <w:sz w:val="28"/>
          <w:szCs w:val="28"/>
          <w:lang w:val="en-GB"/>
        </w:rPr>
        <w:t xml:space="preserve">etter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135 of 8 January 2019 to the</w:t>
      </w:r>
      <w:r w:rsidR="002E0C1C" w:rsidRPr="00EE08C7">
        <w:rPr>
          <w:rFonts w:ascii="Times New Roman" w:eastAsia="Times New Roman" w:hAnsi="Times New Roman" w:cs="Times New Roman"/>
          <w:sz w:val="28"/>
          <w:szCs w:val="28"/>
          <w:lang w:val="en-GB"/>
        </w:rPr>
        <w:t xml:space="preserve"> Constitutional Court, its view</w:t>
      </w:r>
      <w:r w:rsidRPr="00EE08C7">
        <w:rPr>
          <w:rFonts w:ascii="Times New Roman" w:eastAsia="Times New Roman" w:hAnsi="Times New Roman" w:cs="Times New Roman"/>
          <w:sz w:val="28"/>
          <w:szCs w:val="28"/>
          <w:lang w:val="en-GB"/>
        </w:rPr>
        <w:t xml:space="preserve"> on the </w:t>
      </w:r>
      <w:r w:rsidR="002E0C1C" w:rsidRPr="00EE08C7">
        <w:rPr>
          <w:rFonts w:ascii="Times New Roman" w:eastAsia="Times New Roman" w:hAnsi="Times New Roman" w:cs="Times New Roman"/>
          <w:sz w:val="28"/>
          <w:szCs w:val="28"/>
          <w:lang w:val="en-GB"/>
        </w:rPr>
        <w:t xml:space="preserve">referral in </w:t>
      </w:r>
      <w:r w:rsidRPr="00EE08C7">
        <w:rPr>
          <w:rFonts w:ascii="Times New Roman" w:eastAsia="Times New Roman" w:hAnsi="Times New Roman" w:cs="Times New Roman"/>
          <w:sz w:val="28"/>
          <w:szCs w:val="28"/>
          <w:lang w:val="en-GB"/>
        </w:rPr>
        <w:t xml:space="preserve">the Court’s Case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002E0C1C" w:rsidRPr="00EE08C7">
        <w:rPr>
          <w:rFonts w:ascii="Times New Roman" w:eastAsia="Times New Roman" w:hAnsi="Times New Roman" w:cs="Times New Roman"/>
          <w:sz w:val="28"/>
          <w:szCs w:val="28"/>
          <w:lang w:val="en-GB"/>
        </w:rPr>
        <w:t>2277A/2018.</w:t>
      </w:r>
    </w:p>
    <w:p w:rsidR="00F51E78"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hAnsi="Times New Roman" w:cs="Times New Roman"/>
          <w:sz w:val="28"/>
          <w:szCs w:val="28"/>
          <w:lang w:val="en-GB"/>
        </w:rPr>
        <w:t>As</w:t>
      </w:r>
      <w:r w:rsidRPr="00EE08C7">
        <w:rPr>
          <w:rFonts w:ascii="Times New Roman" w:eastAsia="Times New Roman" w:hAnsi="Times New Roman" w:cs="Times New Roman"/>
          <w:sz w:val="28"/>
          <w:szCs w:val="28"/>
          <w:lang w:val="en-GB"/>
        </w:rPr>
        <w:t xml:space="preserve"> regards the request, based on</w:t>
      </w:r>
      <w:r w:rsidRPr="00EE08C7">
        <w:rPr>
          <w:lang w:val="en-GB"/>
        </w:rPr>
        <w:t xml:space="preserve"> </w:t>
      </w:r>
      <w:r w:rsidRPr="00EE08C7">
        <w:rPr>
          <w:rFonts w:ascii="Times New Roman" w:hAnsi="Times New Roman" w:cs="Times New Roman"/>
          <w:sz w:val="28"/>
          <w:szCs w:val="28"/>
          <w:lang w:val="en-GB"/>
        </w:rPr>
        <w:t>Article 267</w:t>
      </w:r>
      <w:r w:rsidRPr="00EE08C7">
        <w:rPr>
          <w:rFonts w:ascii="Times New Roman" w:eastAsia="Times New Roman" w:hAnsi="Times New Roman" w:cs="Times New Roman"/>
          <w:sz w:val="28"/>
          <w:szCs w:val="28"/>
          <w:lang w:val="en-GB"/>
        </w:rPr>
        <w:t xml:space="preserve"> of the T</w:t>
      </w:r>
      <w:r w:rsidR="00674EF1" w:rsidRPr="00EE08C7">
        <w:rPr>
          <w:rFonts w:ascii="Times New Roman" w:eastAsia="Times New Roman" w:hAnsi="Times New Roman" w:cs="Times New Roman"/>
          <w:sz w:val="28"/>
          <w:szCs w:val="28"/>
          <w:lang w:val="en-GB"/>
        </w:rPr>
        <w:t>FEU</w:t>
      </w:r>
      <w:r w:rsidRPr="00EE08C7">
        <w:rPr>
          <w:rFonts w:ascii="Times New Roman" w:eastAsia="Times New Roman" w:hAnsi="Times New Roman" w:cs="Times New Roman"/>
          <w:sz w:val="28"/>
          <w:szCs w:val="28"/>
          <w:lang w:val="en-GB"/>
        </w:rPr>
        <w:t xml:space="preserve">, to address </w:t>
      </w:r>
      <w:r w:rsidR="008D769C" w:rsidRPr="00EE08C7">
        <w:rPr>
          <w:rFonts w:ascii="Times New Roman" w:eastAsia="Times New Roman" w:hAnsi="Times New Roman" w:cs="Times New Roman"/>
          <w:sz w:val="28"/>
          <w:szCs w:val="28"/>
          <w:lang w:val="en-GB"/>
        </w:rPr>
        <w:t xml:space="preserve">CJEU </w:t>
      </w:r>
      <w:r w:rsidRPr="00EE08C7">
        <w:rPr>
          <w:rFonts w:ascii="Times New Roman" w:eastAsia="Times New Roman" w:hAnsi="Times New Roman" w:cs="Times New Roman"/>
          <w:sz w:val="28"/>
          <w:szCs w:val="28"/>
          <w:lang w:val="en-GB"/>
        </w:rPr>
        <w:t xml:space="preserve">a set of preliminary questions, the President of the Senate states that, according to the case-law of the Court of Justice of the European Union, the procedure laid down in Article 267 is a tool for cooperation between </w:t>
      </w:r>
      <w:r w:rsidR="008D769C" w:rsidRPr="00EE08C7">
        <w:rPr>
          <w:rFonts w:ascii="Times New Roman" w:eastAsia="Times New Roman" w:hAnsi="Times New Roman" w:cs="Times New Roman"/>
          <w:sz w:val="28"/>
          <w:szCs w:val="28"/>
          <w:lang w:val="en-GB"/>
        </w:rPr>
        <w:t xml:space="preserve">this court </w:t>
      </w:r>
      <w:r w:rsidRPr="00EE08C7">
        <w:rPr>
          <w:rFonts w:ascii="Times New Roman" w:eastAsia="Times New Roman" w:hAnsi="Times New Roman" w:cs="Times New Roman"/>
          <w:sz w:val="28"/>
          <w:szCs w:val="28"/>
          <w:lang w:val="en-GB"/>
        </w:rPr>
        <w:t>and the national courts, by which the CJEU provides the latter with the elements of interpretation of Union law necessary to resolve the cases brought before them (</w:t>
      </w:r>
      <w:r w:rsidR="008D769C" w:rsidRPr="00EE08C7">
        <w:rPr>
          <w:rFonts w:ascii="Times New Roman" w:eastAsia="Times New Roman" w:hAnsi="Times New Roman" w:cs="Times New Roman"/>
          <w:sz w:val="28"/>
          <w:szCs w:val="28"/>
          <w:lang w:val="en-GB"/>
        </w:rPr>
        <w:t>J</w:t>
      </w:r>
      <w:r w:rsidRPr="00EE08C7">
        <w:rPr>
          <w:rFonts w:ascii="Times New Roman" w:eastAsia="Times New Roman" w:hAnsi="Times New Roman" w:cs="Times New Roman"/>
          <w:sz w:val="28"/>
          <w:szCs w:val="28"/>
          <w:lang w:val="en-GB"/>
        </w:rPr>
        <w:t xml:space="preserve">udgment of 16 July 1992 in </w:t>
      </w:r>
      <w:r w:rsidRPr="00EE08C7">
        <w:rPr>
          <w:rFonts w:ascii="Times New Roman" w:eastAsia="Times New Roman" w:hAnsi="Times New Roman" w:cs="Times New Roman"/>
          <w:i/>
          <w:sz w:val="28"/>
          <w:szCs w:val="28"/>
          <w:lang w:val="en-GB"/>
        </w:rPr>
        <w:t>Case C-83/91 Wienand Meilicke and ADV/</w:t>
      </w:r>
      <w:r w:rsidR="008D769C" w:rsidRPr="00EE08C7">
        <w:rPr>
          <w:rFonts w:ascii="Times New Roman" w:eastAsia="Times New Roman" w:hAnsi="Times New Roman" w:cs="Times New Roman"/>
          <w:i/>
          <w:sz w:val="28"/>
          <w:szCs w:val="28"/>
          <w:lang w:val="en-GB"/>
        </w:rPr>
        <w:t xml:space="preserve">ORGA </w:t>
      </w:r>
      <w:r w:rsidRPr="00EE08C7">
        <w:rPr>
          <w:rFonts w:ascii="Times New Roman" w:eastAsia="Times New Roman" w:hAnsi="Times New Roman" w:cs="Times New Roman"/>
          <w:i/>
          <w:sz w:val="28"/>
          <w:szCs w:val="28"/>
          <w:lang w:val="en-GB"/>
        </w:rPr>
        <w:t>AG</w:t>
      </w:r>
      <w:r w:rsidRPr="00EE08C7">
        <w:rPr>
          <w:rFonts w:ascii="Times New Roman" w:eastAsia="Times New Roman" w:hAnsi="Times New Roman" w:cs="Times New Roman"/>
          <w:sz w:val="28"/>
          <w:szCs w:val="28"/>
          <w:lang w:val="en-GB"/>
        </w:rPr>
        <w:t>, par.22).</w:t>
      </w:r>
      <w:r w:rsidRPr="00EE08C7">
        <w:rPr>
          <w:lang w:val="en-GB"/>
        </w:rPr>
        <w:t xml:space="preserve"> </w:t>
      </w:r>
      <w:r w:rsidRPr="00EE08C7">
        <w:rPr>
          <w:rFonts w:ascii="Times New Roman" w:eastAsia="Times New Roman" w:hAnsi="Times New Roman" w:cs="Times New Roman"/>
          <w:sz w:val="28"/>
          <w:szCs w:val="28"/>
          <w:lang w:val="en-GB"/>
        </w:rPr>
        <w:t xml:space="preserve">Having considered the content of the referral, </w:t>
      </w:r>
      <w:r w:rsidR="008D769C" w:rsidRPr="00EE08C7">
        <w:rPr>
          <w:rFonts w:ascii="Times New Roman" w:eastAsia="Times New Roman" w:hAnsi="Times New Roman" w:cs="Times New Roman"/>
          <w:sz w:val="28"/>
          <w:szCs w:val="28"/>
          <w:lang w:val="en-GB"/>
        </w:rPr>
        <w:t xml:space="preserve">it appreciates </w:t>
      </w:r>
      <w:r w:rsidRPr="00EE08C7">
        <w:rPr>
          <w:rFonts w:ascii="Times New Roman" w:eastAsia="Times New Roman" w:hAnsi="Times New Roman" w:cs="Times New Roman"/>
          <w:sz w:val="28"/>
          <w:szCs w:val="28"/>
          <w:lang w:val="en-GB"/>
        </w:rPr>
        <w:t>that its signatories are not concerned, in particular, with the review of the constitutionality of the Law approving</w:t>
      </w:r>
      <w:bookmarkStart w:id="12" w:name="_Hlk535853375"/>
      <w:r w:rsidRPr="00EE08C7">
        <w:rPr>
          <w:rFonts w:ascii="Times New Roman" w:eastAsia="Times New Roman" w:hAnsi="Times New Roman" w:cs="Times New Roman"/>
          <w:sz w:val="28"/>
          <w:szCs w:val="28"/>
          <w:lang w:val="en-GB"/>
        </w:rPr>
        <w:t xml:space="preserve"> Emergency Government Ordinance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Pr="00EE08C7">
        <w:rPr>
          <w:rFonts w:ascii="Times New Roman" w:hAnsi="Times New Roman" w:cs="Times New Roman"/>
          <w:sz w:val="28"/>
          <w:szCs w:val="28"/>
          <w:lang w:val="en-GB"/>
        </w:rPr>
        <w:t>90/2018</w:t>
      </w:r>
      <w:bookmarkEnd w:id="12"/>
      <w:r w:rsidRPr="00EE08C7">
        <w:rPr>
          <w:rFonts w:ascii="Times New Roman" w:eastAsia="Times New Roman" w:hAnsi="Times New Roman" w:cs="Times New Roman"/>
          <w:sz w:val="28"/>
          <w:szCs w:val="28"/>
          <w:lang w:val="en-GB"/>
        </w:rPr>
        <w:t xml:space="preserve">, but in particular that of </w:t>
      </w:r>
      <w:r w:rsidR="00F51E7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addressing</w:t>
      </w:r>
      <w:r w:rsidR="00F51E78" w:rsidRPr="00EE08C7">
        <w:rPr>
          <w:rFonts w:ascii="Times New Roman" w:eastAsia="Times New Roman" w:hAnsi="Times New Roman" w:cs="Times New Roman"/>
          <w:sz w:val="28"/>
          <w:szCs w:val="28"/>
          <w:lang w:val="en-GB"/>
        </w:rPr>
        <w:t>, by</w:t>
      </w:r>
      <w:r w:rsidRPr="00EE08C7">
        <w:rPr>
          <w:rFonts w:ascii="Times New Roman" w:eastAsia="Times New Roman" w:hAnsi="Times New Roman" w:cs="Times New Roman"/>
          <w:sz w:val="28"/>
          <w:szCs w:val="28"/>
          <w:lang w:val="en-GB"/>
        </w:rPr>
        <w:t xml:space="preserve"> </w:t>
      </w:r>
      <w:r w:rsidRPr="00EE08C7">
        <w:rPr>
          <w:rFonts w:ascii="Times New Roman" w:hAnsi="Times New Roman" w:cs="Times New Roman"/>
          <w:sz w:val="28"/>
          <w:szCs w:val="28"/>
          <w:lang w:val="en-GB"/>
        </w:rPr>
        <w:t>the Constitutional Court</w:t>
      </w:r>
      <w:r w:rsidR="00F51E78" w:rsidRPr="00EE08C7">
        <w:rPr>
          <w:rFonts w:ascii="Times New Roman" w:hAnsi="Times New Roman" w:cs="Times New Roman"/>
          <w:sz w:val="28"/>
          <w:szCs w:val="28"/>
          <w:lang w:val="en-GB"/>
        </w:rPr>
        <w:t xml:space="preserve">, of </w:t>
      </w:r>
      <w:r w:rsidR="00BF7E59">
        <w:rPr>
          <w:rFonts w:ascii="Times New Roman" w:hAnsi="Times New Roman" w:cs="Times New Roman"/>
          <w:sz w:val="28"/>
          <w:szCs w:val="28"/>
          <w:lang w:val="en-GB"/>
        </w:rPr>
        <w:t>four</w:t>
      </w:r>
      <w:r w:rsidR="00F51E78" w:rsidRPr="00EE08C7">
        <w:rPr>
          <w:rFonts w:ascii="Times New Roman" w:hAnsi="Times New Roman" w:cs="Times New Roman"/>
          <w:sz w:val="28"/>
          <w:szCs w:val="28"/>
          <w:lang w:val="en-GB"/>
        </w:rPr>
        <w:t xml:space="preserve"> preliminary questions to </w:t>
      </w:r>
      <w:r w:rsidR="00BF7E59">
        <w:rPr>
          <w:rFonts w:ascii="Times New Roman" w:hAnsi="Times New Roman" w:cs="Times New Roman"/>
          <w:sz w:val="28"/>
          <w:szCs w:val="28"/>
          <w:lang w:val="en-GB"/>
        </w:rPr>
        <w:t xml:space="preserve">the </w:t>
      </w:r>
      <w:r w:rsidR="00F51E78" w:rsidRPr="00EE08C7">
        <w:rPr>
          <w:rFonts w:ascii="Times New Roman" w:hAnsi="Times New Roman" w:cs="Times New Roman"/>
          <w:sz w:val="28"/>
          <w:szCs w:val="28"/>
          <w:lang w:val="en-GB"/>
        </w:rPr>
        <w:t xml:space="preserve">CJEU. The </w:t>
      </w:r>
      <w:r w:rsidRPr="00EE08C7">
        <w:rPr>
          <w:rFonts w:ascii="Times New Roman" w:hAnsi="Times New Roman" w:cs="Times New Roman"/>
          <w:sz w:val="28"/>
          <w:szCs w:val="28"/>
          <w:lang w:val="en-GB"/>
        </w:rPr>
        <w:t>4 preliminary questions refer to the legal force of the European Commission’s reports under the Cooperation and Verification Mechanism (</w:t>
      </w:r>
      <w:r w:rsidR="00F51E78" w:rsidRPr="00EE08C7">
        <w:rPr>
          <w:rFonts w:ascii="Times New Roman" w:hAnsi="Times New Roman" w:cs="Times New Roman"/>
          <w:sz w:val="28"/>
          <w:szCs w:val="28"/>
          <w:lang w:val="en-GB"/>
        </w:rPr>
        <w:t>CV</w:t>
      </w:r>
      <w:r w:rsidR="00BF7E59" w:rsidRPr="00EE08C7">
        <w:rPr>
          <w:rFonts w:ascii="Times New Roman" w:hAnsi="Times New Roman" w:cs="Times New Roman"/>
          <w:sz w:val="28"/>
          <w:szCs w:val="28"/>
          <w:lang w:val="en-GB"/>
        </w:rPr>
        <w:t>M</w:t>
      </w:r>
      <w:r w:rsidRPr="00EE08C7">
        <w:rPr>
          <w:rFonts w:ascii="Times New Roman" w:hAnsi="Times New Roman" w:cs="Times New Roman"/>
          <w:sz w:val="28"/>
          <w:szCs w:val="28"/>
          <w:lang w:val="en-GB"/>
        </w:rPr>
        <w:t xml:space="preserve">) for the legal order of the Romanian State and, within this framework, of the </w:t>
      </w:r>
      <w:r w:rsidRPr="00EE08C7">
        <w:rPr>
          <w:rFonts w:ascii="Times New Roman" w:hAnsi="Times New Roman" w:cs="Times New Roman"/>
          <w:sz w:val="28"/>
          <w:szCs w:val="28"/>
          <w:lang w:val="en-GB"/>
        </w:rPr>
        <w:lastRenderedPageBreak/>
        <w:t xml:space="preserve">Report of 13 November 2018, which contains a number of recommendations. The purpose of the </w:t>
      </w:r>
      <w:r w:rsidR="00F51E78" w:rsidRPr="00EE08C7">
        <w:rPr>
          <w:rFonts w:ascii="Times New Roman" w:hAnsi="Times New Roman" w:cs="Times New Roman"/>
          <w:sz w:val="28"/>
          <w:szCs w:val="28"/>
          <w:lang w:val="en-GB"/>
        </w:rPr>
        <w:t xml:space="preserve">referral’s authors </w:t>
      </w:r>
      <w:r w:rsidRPr="00EE08C7">
        <w:rPr>
          <w:rFonts w:ascii="Times New Roman" w:hAnsi="Times New Roman" w:cs="Times New Roman"/>
          <w:sz w:val="28"/>
          <w:szCs w:val="28"/>
          <w:lang w:val="en-GB"/>
        </w:rPr>
        <w:t xml:space="preserve">is </w:t>
      </w:r>
      <w:r w:rsidR="00F51E78"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to block the operation of the </w:t>
      </w:r>
      <w:r w:rsidR="00F51E78" w:rsidRPr="00EE08C7">
        <w:rPr>
          <w:rFonts w:ascii="Times New Roman" w:hAnsi="Times New Roman" w:cs="Times New Roman"/>
          <w:sz w:val="28"/>
          <w:szCs w:val="28"/>
          <w:lang w:val="en-GB"/>
        </w:rPr>
        <w:t>S</w:t>
      </w:r>
      <w:r w:rsidRPr="00EE08C7">
        <w:rPr>
          <w:rFonts w:ascii="Times New Roman" w:hAnsi="Times New Roman" w:cs="Times New Roman"/>
          <w:sz w:val="28"/>
          <w:szCs w:val="28"/>
          <w:lang w:val="en-GB"/>
        </w:rPr>
        <w:t xml:space="preserve">ection for the investigation of </w:t>
      </w:r>
      <w:r w:rsidR="00F51E78" w:rsidRPr="00EE08C7">
        <w:rPr>
          <w:rFonts w:ascii="Times New Roman" w:hAnsi="Times New Roman" w:cs="Times New Roman"/>
          <w:sz w:val="28"/>
          <w:szCs w:val="28"/>
          <w:lang w:val="en-GB"/>
        </w:rPr>
        <w:t xml:space="preserve">justice-related </w:t>
      </w:r>
      <w:r w:rsidRPr="00EE08C7">
        <w:rPr>
          <w:rFonts w:ascii="Times New Roman" w:hAnsi="Times New Roman" w:cs="Times New Roman"/>
          <w:sz w:val="28"/>
          <w:szCs w:val="28"/>
          <w:lang w:val="en-GB"/>
        </w:rPr>
        <w:t>criminal offences provided for in Article</w:t>
      </w:r>
      <w:r w:rsidR="00F51E78" w:rsidRPr="00EE08C7">
        <w:rPr>
          <w:rFonts w:ascii="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88</w:t>
      </w:r>
      <w:r w:rsidRPr="00EE08C7">
        <w:rPr>
          <w:rFonts w:ascii="Times New Roman" w:eastAsia="Times New Roman" w:hAnsi="Times New Roman" w:cs="Times New Roman"/>
          <w:sz w:val="28"/>
          <w:szCs w:val="28"/>
          <w:vertAlign w:val="superscript"/>
          <w:lang w:val="en-GB"/>
        </w:rPr>
        <w:t>1</w:t>
      </w:r>
      <w:r w:rsidRPr="00EE08C7">
        <w:rPr>
          <w:rFonts w:ascii="Times New Roman" w:hAnsi="Times New Roman" w:cs="Times New Roman"/>
          <w:sz w:val="28"/>
          <w:szCs w:val="28"/>
          <w:lang w:val="en-GB"/>
        </w:rPr>
        <w:t xml:space="preserve"> </w:t>
      </w:r>
      <w:r w:rsidR="00BF7E59">
        <w:rPr>
          <w:rFonts w:ascii="Times New Roman" w:hAnsi="Times New Roman" w:cs="Times New Roman"/>
          <w:sz w:val="28"/>
          <w:szCs w:val="28"/>
          <w:lang w:val="en-GB"/>
        </w:rPr>
        <w:t>to</w:t>
      </w:r>
      <w:r w:rsidRPr="00EE08C7">
        <w:rPr>
          <w:rFonts w:ascii="Times New Roman" w:hAnsi="Times New Roman" w:cs="Times New Roman"/>
          <w:sz w:val="28"/>
          <w:szCs w:val="28"/>
          <w:lang w:val="en-GB"/>
        </w:rPr>
        <w:t xml:space="preserve"> 88</w:t>
      </w:r>
      <w:r w:rsidRPr="00EE08C7">
        <w:rPr>
          <w:rFonts w:ascii="Times New Roman" w:eastAsia="Times New Roman" w:hAnsi="Times New Roman" w:cs="Times New Roman"/>
          <w:sz w:val="28"/>
          <w:szCs w:val="28"/>
          <w:vertAlign w:val="superscript"/>
          <w:lang w:val="en-GB"/>
        </w:rPr>
        <w:t>9</w:t>
      </w:r>
      <w:r w:rsidRPr="00EE08C7">
        <w:rPr>
          <w:rFonts w:ascii="Times New Roman" w:eastAsia="Times New Roman" w:hAnsi="Times New Roman" w:cs="Times New Roman"/>
          <w:sz w:val="28"/>
          <w:szCs w:val="28"/>
          <w:lang w:val="en-GB"/>
        </w:rPr>
        <w:t xml:space="preserve">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304/2004 on</w:t>
      </w:r>
      <w:r w:rsidR="00BF7E59">
        <w:rPr>
          <w:rFonts w:ascii="Times New Roman" w:eastAsia="Times New Roman" w:hAnsi="Times New Roman" w:cs="Times New Roman"/>
          <w:sz w:val="28"/>
          <w:szCs w:val="28"/>
          <w:lang w:val="en-GB"/>
        </w:rPr>
        <w:t xml:space="preserve"> the</w:t>
      </w:r>
      <w:r w:rsidRPr="00EE08C7">
        <w:rPr>
          <w:rFonts w:ascii="Times New Roman" w:eastAsia="Times New Roman" w:hAnsi="Times New Roman" w:cs="Times New Roman"/>
          <w:sz w:val="28"/>
          <w:szCs w:val="28"/>
          <w:lang w:val="en-GB"/>
        </w:rPr>
        <w:t xml:space="preserve"> </w:t>
      </w:r>
      <w:r w:rsidR="00F51E78" w:rsidRPr="00EE08C7">
        <w:rPr>
          <w:rFonts w:ascii="Times New Roman" w:eastAsia="Times New Roman" w:hAnsi="Times New Roman" w:cs="Times New Roman"/>
          <w:sz w:val="28"/>
          <w:szCs w:val="28"/>
          <w:lang w:val="en-GB"/>
        </w:rPr>
        <w:t xml:space="preserve">judicial </w:t>
      </w:r>
      <w:r w:rsidRPr="00EE08C7">
        <w:rPr>
          <w:rFonts w:ascii="Times New Roman" w:eastAsia="Times New Roman" w:hAnsi="Times New Roman" w:cs="Times New Roman"/>
          <w:sz w:val="28"/>
          <w:szCs w:val="28"/>
          <w:lang w:val="en-GB"/>
        </w:rPr>
        <w:t xml:space="preserve">organisation, as amended and supplemented by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207/2018, published in the Official Gazette, Part I,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636 of 20 July 2018.</w:t>
      </w:r>
    </w:p>
    <w:p w:rsidR="0021723C" w:rsidRPr="00EE08C7" w:rsidRDefault="0021723C" w:rsidP="00F51E78">
      <w:pPr>
        <w:pStyle w:val="ListParagraph"/>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Thus,</w:t>
      </w:r>
      <w:r w:rsidR="00F51E78"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the signatories of the referral extract extensive excerpts from the said report, where reference</w:t>
      </w:r>
      <w:r w:rsidR="00F51E78"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w:t>
      </w:r>
      <w:r w:rsidR="00F51E78" w:rsidRPr="00EE08C7">
        <w:rPr>
          <w:rFonts w:ascii="Times New Roman" w:eastAsia="Times New Roman" w:hAnsi="Times New Roman" w:cs="Times New Roman"/>
          <w:sz w:val="28"/>
          <w:szCs w:val="28"/>
          <w:lang w:val="en-GB"/>
        </w:rPr>
        <w:t xml:space="preserve">are </w:t>
      </w:r>
      <w:r w:rsidRPr="00EE08C7">
        <w:rPr>
          <w:rFonts w:ascii="Times New Roman" w:eastAsia="Times New Roman" w:hAnsi="Times New Roman" w:cs="Times New Roman"/>
          <w:sz w:val="28"/>
          <w:szCs w:val="28"/>
          <w:lang w:val="en-GB"/>
        </w:rPr>
        <w:t xml:space="preserve">made to the Section for the </w:t>
      </w:r>
      <w:r w:rsidR="00F51E78"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F51E78" w:rsidRPr="00EE08C7">
        <w:rPr>
          <w:rFonts w:ascii="Times New Roman" w:eastAsia="Times New Roman" w:hAnsi="Times New Roman" w:cs="Times New Roman"/>
          <w:sz w:val="28"/>
          <w:szCs w:val="28"/>
          <w:lang w:val="en-GB"/>
        </w:rPr>
        <w:t>justice-related criminal offences</w:t>
      </w:r>
      <w:r w:rsidRPr="00EE08C7">
        <w:rPr>
          <w:rFonts w:ascii="Times New Roman" w:eastAsia="Times New Roman" w:hAnsi="Times New Roman" w:cs="Times New Roman"/>
          <w:sz w:val="28"/>
          <w:szCs w:val="28"/>
          <w:lang w:val="en-GB"/>
        </w:rPr>
        <w:t xml:space="preserve">, as if the report would contain final judgments and clear conclusions which would prove that the </w:t>
      </w:r>
      <w:r w:rsidR="00EF5DCF" w:rsidRPr="00EE08C7">
        <w:rPr>
          <w:rFonts w:ascii="Times New Roman" w:eastAsia="Times New Roman" w:hAnsi="Times New Roman" w:cs="Times New Roman"/>
          <w:sz w:val="28"/>
          <w:szCs w:val="28"/>
          <w:lang w:val="en-GB"/>
        </w:rPr>
        <w:t xml:space="preserve">respective </w:t>
      </w:r>
      <w:r w:rsidRPr="00EE08C7">
        <w:rPr>
          <w:rFonts w:ascii="Times New Roman" w:eastAsia="Times New Roman" w:hAnsi="Times New Roman" w:cs="Times New Roman"/>
          <w:sz w:val="28"/>
          <w:szCs w:val="28"/>
          <w:lang w:val="en-GB"/>
        </w:rPr>
        <w:t xml:space="preserve">Section would be contrary to the recommendations set out in the Report”. The </w:t>
      </w:r>
      <w:r w:rsidR="00EF5DCF" w:rsidRPr="00EE08C7">
        <w:rPr>
          <w:rFonts w:ascii="Times New Roman" w:eastAsia="Times New Roman" w:hAnsi="Times New Roman" w:cs="Times New Roman"/>
          <w:sz w:val="28"/>
          <w:szCs w:val="28"/>
          <w:lang w:val="en-GB"/>
        </w:rPr>
        <w:t>appreciations</w:t>
      </w:r>
      <w:r w:rsidRPr="00EE08C7">
        <w:rPr>
          <w:rFonts w:ascii="Times New Roman" w:eastAsia="Times New Roman" w:hAnsi="Times New Roman" w:cs="Times New Roman"/>
          <w:sz w:val="28"/>
          <w:szCs w:val="28"/>
          <w:lang w:val="en-GB"/>
        </w:rPr>
        <w:t>, however, are in fact</w:t>
      </w:r>
      <w:r w:rsidR="00EF5DCF"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assumptions, presumptions, hypothetical situations and </w:t>
      </w:r>
      <w:r w:rsidR="00EF5DCF" w:rsidRPr="00EE08C7">
        <w:rPr>
          <w:rFonts w:ascii="Times New Roman" w:eastAsia="Times New Roman" w:hAnsi="Times New Roman" w:cs="Times New Roman"/>
          <w:sz w:val="28"/>
          <w:szCs w:val="28"/>
          <w:lang w:val="en-GB"/>
        </w:rPr>
        <w:t>there is no final and certain conclusion</w:t>
      </w:r>
      <w:r w:rsidRPr="00EE08C7">
        <w:rPr>
          <w:rFonts w:ascii="Times New Roman" w:eastAsia="Times New Roman" w:hAnsi="Times New Roman" w:cs="Times New Roman"/>
          <w:sz w:val="28"/>
          <w:szCs w:val="28"/>
          <w:lang w:val="en-GB"/>
        </w:rPr>
        <w:t xml:space="preserve"> that the </w:t>
      </w:r>
      <w:r w:rsidR="00EF5DCF" w:rsidRPr="00EE08C7">
        <w:rPr>
          <w:rFonts w:ascii="Times New Roman" w:eastAsia="Times New Roman" w:hAnsi="Times New Roman" w:cs="Times New Roman"/>
          <w:sz w:val="28"/>
          <w:szCs w:val="28"/>
          <w:lang w:val="en-GB"/>
        </w:rPr>
        <w:t xml:space="preserve">setting up </w:t>
      </w:r>
      <w:r w:rsidRPr="00EE08C7">
        <w:rPr>
          <w:rFonts w:ascii="Times New Roman" w:eastAsia="Times New Roman" w:hAnsi="Times New Roman" w:cs="Times New Roman"/>
          <w:sz w:val="28"/>
          <w:szCs w:val="28"/>
          <w:lang w:val="en-GB"/>
        </w:rPr>
        <w:t xml:space="preserve">of the </w:t>
      </w:r>
      <w:r w:rsidR="00EF5DCF" w:rsidRPr="00EE08C7">
        <w:rPr>
          <w:rFonts w:ascii="Times New Roman" w:eastAsia="Times New Roman" w:hAnsi="Times New Roman" w:cs="Times New Roman"/>
          <w:sz w:val="28"/>
          <w:szCs w:val="28"/>
          <w:lang w:val="en-GB"/>
        </w:rPr>
        <w:t xml:space="preserve">Section </w:t>
      </w:r>
      <w:r w:rsidRPr="00EE08C7">
        <w:rPr>
          <w:rFonts w:ascii="Times New Roman" w:eastAsia="Times New Roman" w:hAnsi="Times New Roman" w:cs="Times New Roman"/>
          <w:sz w:val="28"/>
          <w:szCs w:val="28"/>
          <w:lang w:val="en-GB"/>
        </w:rPr>
        <w:t xml:space="preserve">for the investigation of </w:t>
      </w:r>
      <w:r w:rsidR="00EF5DCF" w:rsidRPr="00EE08C7">
        <w:rPr>
          <w:rFonts w:ascii="Times New Roman" w:eastAsia="Times New Roman" w:hAnsi="Times New Roman" w:cs="Times New Roman"/>
          <w:sz w:val="28"/>
          <w:szCs w:val="28"/>
          <w:lang w:val="en-GB"/>
        </w:rPr>
        <w:t xml:space="preserve">justice-related </w:t>
      </w:r>
      <w:r w:rsidRPr="00EE08C7">
        <w:rPr>
          <w:rFonts w:ascii="Times New Roman" w:eastAsia="Times New Roman" w:hAnsi="Times New Roman" w:cs="Times New Roman"/>
          <w:sz w:val="28"/>
          <w:szCs w:val="28"/>
          <w:lang w:val="en-GB"/>
        </w:rPr>
        <w:t xml:space="preserve">criminal offences would be in breach of the principles of the rule of law and the independence of the judiciary”, which was ruled by the Constitutional Court and found not to be contrary to </w:t>
      </w:r>
      <w:r w:rsidR="00202330"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constitutional provisions. </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The fears expressed by the referral</w:t>
      </w:r>
      <w:r w:rsidR="00C134A5"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authors</w:t>
      </w:r>
      <w:r w:rsidR="00C134A5"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have more </w:t>
      </w:r>
      <w:r w:rsidR="00C134A5" w:rsidRPr="00EE08C7">
        <w:rPr>
          <w:rFonts w:ascii="Times New Roman" w:eastAsia="Times New Roman" w:hAnsi="Times New Roman" w:cs="Times New Roman"/>
          <w:sz w:val="28"/>
          <w:szCs w:val="28"/>
          <w:lang w:val="en-GB"/>
        </w:rPr>
        <w:t xml:space="preserve">the value of some </w:t>
      </w:r>
      <w:r w:rsidRPr="00EE08C7">
        <w:rPr>
          <w:rFonts w:ascii="Times New Roman" w:eastAsia="Times New Roman" w:hAnsi="Times New Roman" w:cs="Times New Roman"/>
          <w:sz w:val="28"/>
          <w:szCs w:val="28"/>
          <w:lang w:val="en-GB"/>
        </w:rPr>
        <w:t>working hypothes</w:t>
      </w:r>
      <w:r w:rsidR="00C134A5" w:rsidRPr="00EE08C7">
        <w:rPr>
          <w:rFonts w:ascii="Times New Roman" w:eastAsia="Times New Roman" w:hAnsi="Times New Roman" w:cs="Times New Roman"/>
          <w:sz w:val="28"/>
          <w:szCs w:val="28"/>
          <w:lang w:val="en-GB"/>
        </w:rPr>
        <w:t>e</w:t>
      </w:r>
      <w:r w:rsidRPr="00EE08C7">
        <w:rPr>
          <w:rFonts w:ascii="Times New Roman" w:eastAsia="Times New Roman" w:hAnsi="Times New Roman" w:cs="Times New Roman"/>
          <w:sz w:val="28"/>
          <w:szCs w:val="28"/>
          <w:lang w:val="en-GB"/>
        </w:rPr>
        <w:t>s,</w:t>
      </w:r>
      <w:r w:rsidR="00C134A5" w:rsidRPr="00EE08C7">
        <w:rPr>
          <w:rFonts w:ascii="Times New Roman" w:eastAsia="Times New Roman" w:hAnsi="Times New Roman" w:cs="Times New Roman"/>
          <w:sz w:val="28"/>
          <w:szCs w:val="28"/>
          <w:lang w:val="en-GB"/>
        </w:rPr>
        <w:t xml:space="preserve"> of some</w:t>
      </w:r>
      <w:r w:rsidRPr="00EE08C7">
        <w:rPr>
          <w:rFonts w:ascii="Times New Roman" w:eastAsia="Times New Roman" w:hAnsi="Times New Roman" w:cs="Times New Roman"/>
          <w:sz w:val="28"/>
          <w:szCs w:val="28"/>
          <w:lang w:val="en-GB"/>
        </w:rPr>
        <w:t xml:space="preserve"> subjective presumption</w:t>
      </w:r>
      <w:r w:rsidR="00C134A5"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not backed up by concrete arguments, which in fact diminishes their relevance, even in diplomatic language. It is a matter of unfounded allegations, all the more so since in practice the </w:t>
      </w:r>
      <w:r w:rsidR="00C134A5" w:rsidRPr="00EE08C7">
        <w:rPr>
          <w:rFonts w:ascii="Times New Roman" w:eastAsia="Times New Roman" w:hAnsi="Times New Roman" w:cs="Times New Roman"/>
          <w:sz w:val="28"/>
          <w:szCs w:val="28"/>
          <w:lang w:val="en-GB"/>
        </w:rPr>
        <w:t xml:space="preserve">respective Section </w:t>
      </w:r>
      <w:r w:rsidRPr="00EE08C7">
        <w:rPr>
          <w:rFonts w:ascii="Times New Roman" w:eastAsia="Times New Roman" w:hAnsi="Times New Roman" w:cs="Times New Roman"/>
          <w:sz w:val="28"/>
          <w:szCs w:val="28"/>
          <w:lang w:val="en-GB"/>
        </w:rPr>
        <w:t>is merely a formal structure at the start of the activity itself within the Public Ministry</w:t>
      </w:r>
      <w:r w:rsidR="009316B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In these circumstances, it is clear that the request from the authors of the referral </w:t>
      </w:r>
      <w:r w:rsidR="00D3018F"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is forced and disregards the decision of the constitutional </w:t>
      </w:r>
      <w:r w:rsidR="00D355F8" w:rsidRPr="00EE08C7">
        <w:rPr>
          <w:rFonts w:ascii="Times New Roman" w:eastAsia="Times New Roman" w:hAnsi="Times New Roman" w:cs="Times New Roman"/>
          <w:sz w:val="28"/>
          <w:szCs w:val="28"/>
          <w:lang w:val="en-GB"/>
        </w:rPr>
        <w:t xml:space="preserve">court </w:t>
      </w:r>
      <w:r w:rsidRPr="00EE08C7">
        <w:rPr>
          <w:rFonts w:ascii="Times New Roman" w:eastAsia="Times New Roman" w:hAnsi="Times New Roman" w:cs="Times New Roman"/>
          <w:sz w:val="28"/>
          <w:szCs w:val="28"/>
          <w:lang w:val="en-GB"/>
        </w:rPr>
        <w:t xml:space="preserve">by which it confirmed the regularity of the </w:t>
      </w:r>
      <w:r w:rsidR="00D355F8" w:rsidRPr="00EE08C7">
        <w:rPr>
          <w:rFonts w:ascii="Times New Roman" w:eastAsia="Times New Roman" w:hAnsi="Times New Roman" w:cs="Times New Roman"/>
          <w:sz w:val="28"/>
          <w:szCs w:val="28"/>
          <w:lang w:val="en-GB"/>
        </w:rPr>
        <w:t xml:space="preserve">setting up </w:t>
      </w:r>
      <w:r w:rsidRPr="00EE08C7">
        <w:rPr>
          <w:rFonts w:ascii="Times New Roman" w:eastAsia="Times New Roman" w:hAnsi="Times New Roman" w:cs="Times New Roman"/>
          <w:sz w:val="28"/>
          <w:szCs w:val="28"/>
          <w:lang w:val="en-GB"/>
        </w:rPr>
        <w:t xml:space="preserve">of the </w:t>
      </w:r>
      <w:r w:rsidR="00D355F8" w:rsidRPr="00EE08C7">
        <w:rPr>
          <w:rFonts w:ascii="Times New Roman" w:eastAsia="Times New Roman" w:hAnsi="Times New Roman" w:cs="Times New Roman"/>
          <w:sz w:val="28"/>
          <w:szCs w:val="28"/>
          <w:lang w:val="en-GB"/>
        </w:rPr>
        <w:t xml:space="preserve">Section </w:t>
      </w:r>
      <w:r w:rsidRPr="00EE08C7">
        <w:rPr>
          <w:rFonts w:ascii="Times New Roman" w:eastAsia="Times New Roman" w:hAnsi="Times New Roman" w:cs="Times New Roman"/>
          <w:sz w:val="28"/>
          <w:szCs w:val="28"/>
          <w:lang w:val="en-GB"/>
        </w:rPr>
        <w:t>for the investigation of justice</w:t>
      </w:r>
      <w:r w:rsidR="00D355F8" w:rsidRPr="00EE08C7">
        <w:rPr>
          <w:rFonts w:ascii="Times New Roman" w:eastAsia="Times New Roman" w:hAnsi="Times New Roman" w:cs="Times New Roman"/>
          <w:sz w:val="28"/>
          <w:szCs w:val="28"/>
          <w:lang w:val="en-GB"/>
        </w:rPr>
        <w:t>-related criminal offences</w:t>
      </w:r>
      <w:r w:rsidRPr="00EE08C7">
        <w:rPr>
          <w:rFonts w:ascii="Times New Roman" w:eastAsia="Times New Roman" w:hAnsi="Times New Roman" w:cs="Times New Roman"/>
          <w:sz w:val="28"/>
          <w:szCs w:val="28"/>
          <w:lang w:val="en-GB"/>
        </w:rPr>
        <w:t xml:space="preserve">. In a forced manner, </w:t>
      </w:r>
      <w:r w:rsidR="00D355F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signatories of objection of unconstitutionality attempt to accredit the idea that the setting up of this prosecutor’s office </w:t>
      </w:r>
      <w:r w:rsidR="00D355F8" w:rsidRPr="00EE08C7">
        <w:rPr>
          <w:rFonts w:ascii="Times New Roman" w:eastAsia="Times New Roman" w:hAnsi="Times New Roman" w:cs="Times New Roman"/>
          <w:sz w:val="28"/>
          <w:szCs w:val="28"/>
          <w:lang w:val="en-GB"/>
        </w:rPr>
        <w:t xml:space="preserve">section </w:t>
      </w:r>
      <w:r w:rsidRPr="00EE08C7">
        <w:rPr>
          <w:rFonts w:ascii="Times New Roman" w:eastAsia="Times New Roman" w:hAnsi="Times New Roman" w:cs="Times New Roman"/>
          <w:sz w:val="28"/>
          <w:szCs w:val="28"/>
          <w:lang w:val="en-GB"/>
        </w:rPr>
        <w:t>would pose a risk of political influence on the criminal investigation of some judges”</w:t>
      </w:r>
      <w:r w:rsidR="00D355F8"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The </w:t>
      </w:r>
      <w:r w:rsidR="00D355F8" w:rsidRPr="00EE08C7">
        <w:rPr>
          <w:rFonts w:ascii="Times New Roman" w:eastAsia="Times New Roman" w:hAnsi="Times New Roman" w:cs="Times New Roman"/>
          <w:sz w:val="28"/>
          <w:szCs w:val="28"/>
          <w:lang w:val="en-GB"/>
        </w:rPr>
        <w:t>statement</w:t>
      </w:r>
      <w:r w:rsidRPr="00EE08C7">
        <w:rPr>
          <w:rFonts w:ascii="Times New Roman" w:eastAsia="Times New Roman" w:hAnsi="Times New Roman" w:cs="Times New Roman"/>
          <w:sz w:val="28"/>
          <w:szCs w:val="28"/>
          <w:lang w:val="en-GB"/>
        </w:rPr>
        <w:t xml:space="preserve"> of </w:t>
      </w:r>
      <w:r w:rsidR="00D355F8" w:rsidRPr="00EE08C7">
        <w:rPr>
          <w:rFonts w:ascii="Times New Roman" w:eastAsia="Times New Roman" w:hAnsi="Times New Roman" w:cs="Times New Roman"/>
          <w:sz w:val="28"/>
          <w:szCs w:val="28"/>
          <w:lang w:val="en-GB"/>
        </w:rPr>
        <w:t xml:space="preserve">the referral’s authors </w:t>
      </w:r>
      <w:r w:rsidRPr="00EE08C7">
        <w:rPr>
          <w:rFonts w:ascii="Times New Roman" w:eastAsia="Times New Roman" w:hAnsi="Times New Roman" w:cs="Times New Roman"/>
          <w:sz w:val="28"/>
          <w:szCs w:val="28"/>
          <w:lang w:val="en-GB"/>
        </w:rPr>
        <w:t xml:space="preserve">is unfounded, as the procedure for appointing </w:t>
      </w:r>
      <w:r w:rsidR="00D355F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members and </w:t>
      </w:r>
      <w:r w:rsidR="00D355F8"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management </w:t>
      </w:r>
      <w:r w:rsidR="00D355F8" w:rsidRPr="00EE08C7">
        <w:rPr>
          <w:rFonts w:ascii="Times New Roman" w:eastAsia="Times New Roman" w:hAnsi="Times New Roman" w:cs="Times New Roman"/>
          <w:sz w:val="28"/>
          <w:szCs w:val="28"/>
          <w:lang w:val="en-GB"/>
        </w:rPr>
        <w:t xml:space="preserve">of </w:t>
      </w:r>
      <w:r w:rsidR="00D355F8" w:rsidRPr="00EE08C7">
        <w:rPr>
          <w:rFonts w:ascii="Times New Roman" w:eastAsia="Times New Roman" w:hAnsi="Times New Roman" w:cs="Times New Roman"/>
          <w:sz w:val="28"/>
          <w:szCs w:val="28"/>
          <w:lang w:val="en-GB"/>
        </w:rPr>
        <w:lastRenderedPageBreak/>
        <w:t xml:space="preserve">this institution </w:t>
      </w:r>
      <w:r w:rsidRPr="00EE08C7">
        <w:rPr>
          <w:rFonts w:ascii="Times New Roman" w:eastAsia="Times New Roman" w:hAnsi="Times New Roman" w:cs="Times New Roman"/>
          <w:sz w:val="28"/>
          <w:szCs w:val="28"/>
          <w:lang w:val="en-GB"/>
        </w:rPr>
        <w:t xml:space="preserve">takes place exclusively within the framework of the Superior Council of Magistracy, which, in accordance with Article 133 (1) of the Constitution, is the guarantor of the independence of </w:t>
      </w:r>
      <w:r w:rsidR="00D355F8" w:rsidRPr="00EE08C7">
        <w:rPr>
          <w:rFonts w:ascii="Times New Roman" w:eastAsia="Times New Roman" w:hAnsi="Times New Roman" w:cs="Times New Roman"/>
          <w:sz w:val="28"/>
          <w:szCs w:val="28"/>
          <w:lang w:val="en-GB"/>
        </w:rPr>
        <w:t xml:space="preserve">justice </w:t>
      </w:r>
      <w:r w:rsidRPr="00EE08C7">
        <w:rPr>
          <w:rFonts w:ascii="Times New Roman" w:eastAsia="Times New Roman" w:hAnsi="Times New Roman" w:cs="Times New Roman"/>
          <w:sz w:val="28"/>
          <w:szCs w:val="28"/>
          <w:lang w:val="en-GB"/>
        </w:rPr>
        <w:t xml:space="preserve">and carries out </w:t>
      </w:r>
      <w:r w:rsidR="00D355F8" w:rsidRPr="00EE08C7">
        <w:rPr>
          <w:rFonts w:ascii="Times New Roman" w:eastAsia="Times New Roman" w:hAnsi="Times New Roman" w:cs="Times New Roman"/>
          <w:sz w:val="28"/>
          <w:szCs w:val="28"/>
          <w:lang w:val="en-GB"/>
        </w:rPr>
        <w:t xml:space="preserve">its </w:t>
      </w:r>
      <w:r w:rsidRPr="00EE08C7">
        <w:rPr>
          <w:rFonts w:ascii="Times New Roman" w:eastAsia="Times New Roman" w:hAnsi="Times New Roman" w:cs="Times New Roman"/>
          <w:sz w:val="28"/>
          <w:szCs w:val="28"/>
          <w:lang w:val="en-GB"/>
        </w:rPr>
        <w:t>duties outside any political influence.</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 xml:space="preserve">On the other hand, </w:t>
      </w:r>
      <w:r w:rsidRPr="00EE08C7">
        <w:rPr>
          <w:rFonts w:ascii="Times New Roman" w:hAnsi="Times New Roman" w:cs="Times New Roman"/>
          <w:sz w:val="28"/>
          <w:szCs w:val="28"/>
          <w:lang w:val="en-GB"/>
        </w:rPr>
        <w:t>the</w:t>
      </w:r>
      <w:bookmarkStart w:id="13" w:name="_Hlk535854210"/>
      <w:r w:rsidRPr="00EE08C7">
        <w:rPr>
          <w:rFonts w:ascii="Times New Roman" w:eastAsia="Times New Roman" w:hAnsi="Times New Roman" w:cs="Times New Roman"/>
          <w:sz w:val="28"/>
          <w:szCs w:val="28"/>
          <w:lang w:val="en-GB"/>
        </w:rPr>
        <w:t xml:space="preserve"> President of the Senate </w:t>
      </w:r>
      <w:bookmarkEnd w:id="13"/>
      <w:r w:rsidRPr="00EE08C7">
        <w:rPr>
          <w:rFonts w:ascii="Times New Roman" w:eastAsia="Times New Roman" w:hAnsi="Times New Roman" w:cs="Times New Roman"/>
          <w:sz w:val="28"/>
          <w:szCs w:val="28"/>
          <w:lang w:val="en-GB"/>
        </w:rPr>
        <w:t xml:space="preserve">stresses that the amendment of Law </w:t>
      </w:r>
      <w:r w:rsidR="00BF7E59">
        <w:rPr>
          <w:rFonts w:ascii="Times New Roman" w:eastAsia="Times New Roman" w:hAnsi="Times New Roman" w:cs="Times New Roman"/>
          <w:sz w:val="28"/>
          <w:szCs w:val="28"/>
          <w:lang w:val="en-GB"/>
        </w:rPr>
        <w:t>no.</w:t>
      </w:r>
      <w:r w:rsidR="00035AB8"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304/2004, for the purposes of setting up the Section for the </w:t>
      </w:r>
      <w:r w:rsidR="00035AB8"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035AB8" w:rsidRPr="00EE08C7">
        <w:rPr>
          <w:rFonts w:ascii="Times New Roman" w:eastAsia="Times New Roman" w:hAnsi="Times New Roman" w:cs="Times New Roman"/>
          <w:sz w:val="28"/>
          <w:szCs w:val="28"/>
          <w:lang w:val="en-GB"/>
        </w:rPr>
        <w:t>j</w:t>
      </w:r>
      <w:r w:rsidRPr="00EE08C7">
        <w:rPr>
          <w:rFonts w:ascii="Times New Roman" w:eastAsia="Times New Roman" w:hAnsi="Times New Roman" w:cs="Times New Roman"/>
          <w:sz w:val="28"/>
          <w:szCs w:val="28"/>
          <w:lang w:val="en-GB"/>
        </w:rPr>
        <w:t>ustice</w:t>
      </w:r>
      <w:r w:rsidR="00035AB8" w:rsidRPr="00EE08C7">
        <w:rPr>
          <w:rFonts w:ascii="Times New Roman" w:eastAsia="Times New Roman" w:hAnsi="Times New Roman" w:cs="Times New Roman"/>
          <w:sz w:val="28"/>
          <w:szCs w:val="28"/>
          <w:lang w:val="en-GB"/>
        </w:rPr>
        <w:t>-related criminal offences</w:t>
      </w:r>
      <w:r w:rsidRPr="00EE08C7">
        <w:rPr>
          <w:rFonts w:ascii="Times New Roman" w:eastAsia="Times New Roman" w:hAnsi="Times New Roman" w:cs="Times New Roman"/>
          <w:sz w:val="28"/>
          <w:szCs w:val="28"/>
          <w:lang w:val="en-GB"/>
        </w:rPr>
        <w:t>, is a matter of criminal policy</w:t>
      </w:r>
      <w:r w:rsidR="00035AB8"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over which the Romanian State retains its full sovereignty in the national constitutional order, which excludes the competence of </w:t>
      </w:r>
      <w:r w:rsidR="00035AB8" w:rsidRPr="00EE08C7">
        <w:rPr>
          <w:rFonts w:ascii="Times New Roman" w:eastAsia="Times New Roman" w:hAnsi="Times New Roman" w:cs="Times New Roman"/>
          <w:sz w:val="28"/>
          <w:szCs w:val="28"/>
          <w:lang w:val="en-GB"/>
        </w:rPr>
        <w:t xml:space="preserve">CJEU. </w:t>
      </w:r>
      <w:r w:rsidR="004D2774" w:rsidRPr="00EE08C7">
        <w:rPr>
          <w:rFonts w:ascii="Times New Roman" w:eastAsia="Times New Roman" w:hAnsi="Times New Roman" w:cs="Times New Roman"/>
          <w:sz w:val="28"/>
          <w:szCs w:val="28"/>
          <w:lang w:val="en-GB"/>
        </w:rPr>
        <w:t>The critic</w:t>
      </w:r>
      <w:r w:rsidR="00433613" w:rsidRPr="00EE08C7">
        <w:rPr>
          <w:rFonts w:ascii="Times New Roman" w:eastAsia="Times New Roman" w:hAnsi="Times New Roman" w:cs="Times New Roman"/>
          <w:sz w:val="28"/>
          <w:szCs w:val="28"/>
          <w:lang w:val="en-GB"/>
        </w:rPr>
        <w:t>ism</w:t>
      </w:r>
      <w:r w:rsidR="004D2774" w:rsidRPr="00EE08C7">
        <w:rPr>
          <w:rFonts w:ascii="Times New Roman" w:eastAsia="Times New Roman" w:hAnsi="Times New Roman" w:cs="Times New Roman"/>
          <w:sz w:val="28"/>
          <w:szCs w:val="28"/>
          <w:lang w:val="en-GB"/>
        </w:rPr>
        <w:t xml:space="preserve"> brought to the </w:t>
      </w:r>
      <w:r w:rsidRPr="00EE08C7">
        <w:rPr>
          <w:rFonts w:ascii="Times New Roman" w:eastAsia="Times New Roman" w:hAnsi="Times New Roman" w:cs="Times New Roman"/>
          <w:sz w:val="28"/>
          <w:szCs w:val="28"/>
          <w:lang w:val="en-GB"/>
        </w:rPr>
        <w:t xml:space="preserve">law under </w:t>
      </w:r>
      <w:r w:rsidR="004D2774" w:rsidRPr="00EE08C7">
        <w:rPr>
          <w:rFonts w:ascii="Times New Roman" w:eastAsia="Times New Roman" w:hAnsi="Times New Roman" w:cs="Times New Roman"/>
          <w:sz w:val="28"/>
          <w:szCs w:val="28"/>
          <w:lang w:val="en-GB"/>
        </w:rPr>
        <w:t xml:space="preserve">the </w:t>
      </w:r>
      <w:r w:rsidR="004D2774" w:rsidRPr="00EE08C7">
        <w:rPr>
          <w:rFonts w:ascii="Times New Roman" w:eastAsia="Times New Roman" w:hAnsi="Times New Roman" w:cs="Times New Roman"/>
          <w:i/>
          <w:sz w:val="28"/>
          <w:szCs w:val="28"/>
          <w:lang w:val="en-GB"/>
        </w:rPr>
        <w:t>a</w:t>
      </w:r>
      <w:r w:rsidR="004D2774"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i/>
          <w:sz w:val="28"/>
          <w:szCs w:val="28"/>
          <w:lang w:val="en-GB"/>
        </w:rPr>
        <w:t xml:space="preserve">priori </w:t>
      </w:r>
      <w:r w:rsidR="004D2774" w:rsidRPr="00EE08C7">
        <w:rPr>
          <w:rFonts w:ascii="Times New Roman" w:eastAsia="Times New Roman" w:hAnsi="Times New Roman" w:cs="Times New Roman"/>
          <w:sz w:val="28"/>
          <w:szCs w:val="28"/>
          <w:lang w:val="en-GB"/>
        </w:rPr>
        <w:t>constitutional</w:t>
      </w:r>
      <w:r w:rsidR="004D2774" w:rsidRPr="00EE08C7">
        <w:rPr>
          <w:rFonts w:ascii="Times New Roman" w:eastAsia="Times New Roman" w:hAnsi="Times New Roman" w:cs="Times New Roman"/>
          <w:i/>
          <w:sz w:val="28"/>
          <w:szCs w:val="28"/>
          <w:lang w:val="en-GB"/>
        </w:rPr>
        <w:t xml:space="preserve"> </w:t>
      </w:r>
      <w:r w:rsidR="004D2774" w:rsidRPr="00EE08C7">
        <w:rPr>
          <w:rFonts w:ascii="Times New Roman" w:eastAsia="Times New Roman" w:hAnsi="Times New Roman" w:cs="Times New Roman"/>
          <w:sz w:val="28"/>
          <w:szCs w:val="28"/>
          <w:lang w:val="en-GB"/>
        </w:rPr>
        <w:t>review</w:t>
      </w:r>
      <w:r w:rsidR="004D2774" w:rsidRPr="00EE08C7">
        <w:rPr>
          <w:rFonts w:ascii="Times New Roman" w:eastAsia="Times New Roman" w:hAnsi="Times New Roman" w:cs="Times New Roman"/>
          <w:i/>
          <w:sz w:val="28"/>
          <w:szCs w:val="28"/>
          <w:lang w:val="en-GB"/>
        </w:rPr>
        <w:t xml:space="preserve"> </w:t>
      </w:r>
      <w:r w:rsidR="004D2774" w:rsidRPr="00EE08C7">
        <w:rPr>
          <w:rFonts w:ascii="Times New Roman" w:eastAsia="Times New Roman" w:hAnsi="Times New Roman" w:cs="Times New Roman"/>
          <w:sz w:val="28"/>
          <w:szCs w:val="28"/>
          <w:lang w:val="en-GB"/>
        </w:rPr>
        <w:t>procedure</w:t>
      </w:r>
      <w:r w:rsidR="004D2774" w:rsidRPr="00EE08C7">
        <w:rPr>
          <w:rFonts w:ascii="Times New Roman" w:eastAsia="Times New Roman" w:hAnsi="Times New Roman" w:cs="Times New Roman"/>
          <w:i/>
          <w:sz w:val="28"/>
          <w:szCs w:val="28"/>
          <w:lang w:val="en-GB"/>
        </w:rPr>
        <w:t xml:space="preserve"> </w:t>
      </w:r>
      <w:r w:rsidR="004D2774" w:rsidRPr="00EE08C7">
        <w:rPr>
          <w:rFonts w:ascii="Times New Roman" w:eastAsia="Times New Roman" w:hAnsi="Times New Roman" w:cs="Times New Roman"/>
          <w:sz w:val="28"/>
          <w:szCs w:val="28"/>
          <w:lang w:val="en-GB"/>
        </w:rPr>
        <w:t>and, indirectly,</w:t>
      </w:r>
      <w:r w:rsidR="004D2774" w:rsidRPr="00EE08C7">
        <w:rPr>
          <w:rFonts w:ascii="Times New Roman" w:eastAsia="Times New Roman" w:hAnsi="Times New Roman" w:cs="Times New Roman"/>
          <w:i/>
          <w:sz w:val="28"/>
          <w:szCs w:val="28"/>
          <w:lang w:val="en-GB"/>
        </w:rPr>
        <w:t xml:space="preserve"> </w:t>
      </w:r>
      <w:r w:rsidRPr="00EE08C7">
        <w:rPr>
          <w:rFonts w:ascii="Times New Roman" w:eastAsia="Times New Roman" w:hAnsi="Times New Roman" w:cs="Times New Roman"/>
          <w:sz w:val="28"/>
          <w:szCs w:val="28"/>
          <w:lang w:val="en-GB"/>
        </w:rPr>
        <w:t xml:space="preserve">of </w:t>
      </w:r>
      <w:r w:rsidRPr="00EE08C7">
        <w:rPr>
          <w:rFonts w:ascii="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Government Emergency Ordinance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004D2774" w:rsidRPr="00EE08C7">
        <w:rPr>
          <w:rFonts w:ascii="Times New Roman" w:eastAsia="Times New Roman" w:hAnsi="Times New Roman" w:cs="Times New Roman"/>
          <w:sz w:val="28"/>
          <w:szCs w:val="28"/>
          <w:lang w:val="en-GB"/>
        </w:rPr>
        <w:t>90/2018, do</w:t>
      </w:r>
      <w:r w:rsidR="00433613" w:rsidRPr="00EE08C7">
        <w:rPr>
          <w:rFonts w:ascii="Times New Roman" w:eastAsia="Times New Roman" w:hAnsi="Times New Roman" w:cs="Times New Roman"/>
          <w:sz w:val="28"/>
          <w:szCs w:val="28"/>
          <w:lang w:val="en-GB"/>
        </w:rPr>
        <w:t>es</w:t>
      </w:r>
      <w:r w:rsidRPr="00EE08C7">
        <w:rPr>
          <w:rFonts w:ascii="Times New Roman" w:eastAsia="Times New Roman" w:hAnsi="Times New Roman" w:cs="Times New Roman"/>
          <w:sz w:val="28"/>
          <w:szCs w:val="28"/>
          <w:lang w:val="en-GB"/>
        </w:rPr>
        <w:t xml:space="preserve"> not concern individual rights, which would be hypothetical</w:t>
      </w:r>
      <w:r w:rsidR="004D2774" w:rsidRPr="00EE08C7">
        <w:rPr>
          <w:rFonts w:ascii="Times New Roman" w:eastAsia="Times New Roman" w:hAnsi="Times New Roman" w:cs="Times New Roman"/>
          <w:sz w:val="28"/>
          <w:szCs w:val="28"/>
          <w:lang w:val="en-GB"/>
        </w:rPr>
        <w:t>ly violated</w:t>
      </w:r>
      <w:r w:rsidRPr="00EE08C7">
        <w:rPr>
          <w:rFonts w:ascii="Times New Roman" w:eastAsia="Times New Roman" w:hAnsi="Times New Roman" w:cs="Times New Roman"/>
          <w:sz w:val="28"/>
          <w:szCs w:val="28"/>
          <w:lang w:val="en-GB"/>
        </w:rPr>
        <w:t xml:space="preserve"> by the </w:t>
      </w:r>
      <w:r w:rsidR="004D2774" w:rsidRPr="00EE08C7">
        <w:rPr>
          <w:rFonts w:ascii="Times New Roman" w:eastAsia="Times New Roman" w:hAnsi="Times New Roman" w:cs="Times New Roman"/>
          <w:sz w:val="28"/>
          <w:szCs w:val="28"/>
          <w:lang w:val="en-GB"/>
        </w:rPr>
        <w:t xml:space="preserve">setting up </w:t>
      </w:r>
      <w:r w:rsidRPr="00EE08C7">
        <w:rPr>
          <w:rFonts w:ascii="Times New Roman" w:eastAsia="Times New Roman" w:hAnsi="Times New Roman" w:cs="Times New Roman"/>
          <w:sz w:val="28"/>
          <w:szCs w:val="28"/>
          <w:lang w:val="en-GB"/>
        </w:rPr>
        <w:t xml:space="preserve">of the </w:t>
      </w:r>
      <w:r w:rsidR="004D2774" w:rsidRPr="00EE08C7">
        <w:rPr>
          <w:rFonts w:ascii="Times New Roman" w:eastAsia="Times New Roman" w:hAnsi="Times New Roman" w:cs="Times New Roman"/>
          <w:sz w:val="28"/>
          <w:szCs w:val="28"/>
          <w:lang w:val="en-GB"/>
        </w:rPr>
        <w:t xml:space="preserve">respective </w:t>
      </w:r>
      <w:r w:rsidRPr="00EE08C7">
        <w:rPr>
          <w:rFonts w:ascii="Times New Roman" w:eastAsia="Times New Roman" w:hAnsi="Times New Roman" w:cs="Times New Roman"/>
          <w:sz w:val="28"/>
          <w:szCs w:val="28"/>
          <w:lang w:val="en-GB"/>
        </w:rPr>
        <w:t xml:space="preserve">section. Therefore, the request for </w:t>
      </w:r>
      <w:r w:rsidR="004D2774" w:rsidRPr="00EE08C7">
        <w:rPr>
          <w:rFonts w:ascii="Times New Roman" w:eastAsia="Times New Roman" w:hAnsi="Times New Roman" w:cs="Times New Roman"/>
          <w:sz w:val="28"/>
          <w:szCs w:val="28"/>
          <w:lang w:val="en-GB"/>
        </w:rPr>
        <w:t xml:space="preserve">preliminary </w:t>
      </w:r>
      <w:r w:rsidRPr="00EE08C7">
        <w:rPr>
          <w:rFonts w:ascii="Times New Roman" w:eastAsia="Times New Roman" w:hAnsi="Times New Roman" w:cs="Times New Roman"/>
          <w:sz w:val="28"/>
          <w:szCs w:val="28"/>
          <w:lang w:val="en-GB"/>
        </w:rPr>
        <w:t>questions is manifestly inadmissible.</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Moreover, </w:t>
      </w:r>
      <w:r w:rsidR="00CB5C7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even the </w:t>
      </w:r>
      <w:bookmarkStart w:id="14" w:name="_Hlk535854598"/>
      <w:r w:rsidRPr="00EE08C7">
        <w:rPr>
          <w:rFonts w:ascii="Times New Roman" w:eastAsia="Times New Roman" w:hAnsi="Times New Roman" w:cs="Times New Roman"/>
          <w:sz w:val="28"/>
          <w:szCs w:val="28"/>
          <w:lang w:val="en-GB"/>
        </w:rPr>
        <w:t xml:space="preserve">Court of Justice of the European Union </w:t>
      </w:r>
      <w:bookmarkEnd w:id="14"/>
      <w:r w:rsidRPr="00EE08C7">
        <w:rPr>
          <w:rFonts w:ascii="Times New Roman" w:eastAsia="Times New Roman" w:hAnsi="Times New Roman" w:cs="Times New Roman"/>
          <w:sz w:val="28"/>
          <w:szCs w:val="28"/>
          <w:lang w:val="en-GB"/>
        </w:rPr>
        <w:t>has ruled that its function under preliminary references is to contribute to the administration of justice in the Member State</w:t>
      </w:r>
      <w:r w:rsidR="00CB5C71" w:rsidRPr="00EE08C7">
        <w:rPr>
          <w:rFonts w:ascii="Times New Roman" w:eastAsia="Times New Roman" w:hAnsi="Times New Roman" w:cs="Times New Roman"/>
          <w:sz w:val="28"/>
          <w:szCs w:val="28"/>
          <w:lang w:val="en-GB"/>
        </w:rPr>
        <w:t xml:space="preserve">s, and not to express advisory opinions </w:t>
      </w:r>
      <w:r w:rsidRPr="00EE08C7">
        <w:rPr>
          <w:rFonts w:ascii="Times New Roman" w:eastAsia="Times New Roman" w:hAnsi="Times New Roman" w:cs="Times New Roman"/>
          <w:sz w:val="28"/>
          <w:szCs w:val="28"/>
          <w:lang w:val="en-GB"/>
        </w:rPr>
        <w:t>on gen</w:t>
      </w:r>
      <w:r w:rsidR="00CB5C71" w:rsidRPr="00EE08C7">
        <w:rPr>
          <w:rFonts w:ascii="Times New Roman" w:eastAsia="Times New Roman" w:hAnsi="Times New Roman" w:cs="Times New Roman"/>
          <w:sz w:val="28"/>
          <w:szCs w:val="28"/>
          <w:lang w:val="en-GB"/>
        </w:rPr>
        <w:t>eral or hypothetical questions” (</w:t>
      </w:r>
      <w:r w:rsidRPr="00EE08C7">
        <w:rPr>
          <w:rFonts w:ascii="Times New Roman" w:eastAsia="Times New Roman" w:hAnsi="Times New Roman" w:cs="Times New Roman"/>
          <w:sz w:val="28"/>
          <w:szCs w:val="28"/>
          <w:lang w:val="en-GB"/>
        </w:rPr>
        <w:t xml:space="preserve">see the Constitutional Court’s recitals </w:t>
      </w:r>
      <w:r w:rsidR="00CB5C71" w:rsidRPr="00EE08C7">
        <w:rPr>
          <w:rFonts w:ascii="Times New Roman" w:eastAsia="Times New Roman" w:hAnsi="Times New Roman" w:cs="Times New Roman"/>
          <w:sz w:val="28"/>
          <w:szCs w:val="28"/>
          <w:lang w:val="en-GB"/>
        </w:rPr>
        <w:t xml:space="preserve">in </w:t>
      </w:r>
      <w:r w:rsidRPr="00EE08C7">
        <w:rPr>
          <w:rFonts w:ascii="Times New Roman" w:eastAsia="Times New Roman" w:hAnsi="Times New Roman" w:cs="Times New Roman"/>
          <w:sz w:val="28"/>
          <w:szCs w:val="28"/>
          <w:lang w:val="en-GB"/>
        </w:rPr>
        <w:t xml:space="preserve">Decision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533 of 18 July 2018, published in </w:t>
      </w:r>
      <w:r w:rsidR="00CB5C71"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Official Gazette of Romania</w:t>
      </w:r>
      <w:r w:rsidR="00CB5C7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Part I</w:t>
      </w:r>
      <w:r w:rsidR="00CB5C7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673 of 2 August 2018).</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 xml:space="preserve">With regard </w:t>
      </w:r>
      <w:r w:rsidR="00CB5C71" w:rsidRPr="00EE08C7">
        <w:rPr>
          <w:rFonts w:ascii="Times New Roman" w:eastAsia="Times New Roman" w:hAnsi="Times New Roman" w:cs="Times New Roman"/>
          <w:sz w:val="28"/>
          <w:szCs w:val="28"/>
          <w:lang w:val="en-GB"/>
        </w:rPr>
        <w:t xml:space="preserve">to the outstanding </w:t>
      </w:r>
      <w:r w:rsidR="00433613" w:rsidRPr="00EE08C7">
        <w:rPr>
          <w:rFonts w:ascii="Times New Roman" w:eastAsia="Times New Roman" w:hAnsi="Times New Roman" w:cs="Times New Roman"/>
          <w:sz w:val="28"/>
          <w:szCs w:val="28"/>
          <w:lang w:val="en-GB"/>
        </w:rPr>
        <w:t>criticism</w:t>
      </w:r>
      <w:r w:rsidRPr="00EE08C7">
        <w:rPr>
          <w:rFonts w:ascii="Times New Roman" w:eastAsia="Times New Roman" w:hAnsi="Times New Roman" w:cs="Times New Roman"/>
          <w:sz w:val="28"/>
          <w:szCs w:val="28"/>
          <w:lang w:val="en-GB"/>
        </w:rPr>
        <w:t xml:space="preserve"> of </w:t>
      </w:r>
      <w:r w:rsidR="00CB5C71" w:rsidRPr="00EE08C7">
        <w:rPr>
          <w:rFonts w:ascii="Times New Roman" w:eastAsia="Times New Roman" w:hAnsi="Times New Roman" w:cs="Times New Roman"/>
          <w:sz w:val="28"/>
          <w:szCs w:val="28"/>
          <w:lang w:val="en-GB"/>
        </w:rPr>
        <w:t xml:space="preserve">extrinsic </w:t>
      </w:r>
      <w:r w:rsidRPr="00EE08C7">
        <w:rPr>
          <w:rFonts w:ascii="Times New Roman" w:eastAsia="Times New Roman" w:hAnsi="Times New Roman" w:cs="Times New Roman"/>
          <w:sz w:val="28"/>
          <w:szCs w:val="28"/>
          <w:lang w:val="en-GB"/>
        </w:rPr>
        <w:t>unconstitutionality brought to the Law appr</w:t>
      </w:r>
      <w:r w:rsidR="00CB5C71" w:rsidRPr="00EE08C7">
        <w:rPr>
          <w:rFonts w:ascii="Times New Roman" w:eastAsia="Times New Roman" w:hAnsi="Times New Roman" w:cs="Times New Roman"/>
          <w:sz w:val="28"/>
          <w:szCs w:val="28"/>
          <w:lang w:val="en-GB"/>
        </w:rPr>
        <w:t>oving Government Emergency Ordinance</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the President of the Senate </w:t>
      </w:r>
      <w:r w:rsidR="00CB5C71" w:rsidRPr="00EE08C7">
        <w:rPr>
          <w:rFonts w:ascii="Times New Roman" w:eastAsia="Times New Roman" w:hAnsi="Times New Roman" w:cs="Times New Roman"/>
          <w:sz w:val="28"/>
          <w:szCs w:val="28"/>
          <w:lang w:val="en-GB"/>
        </w:rPr>
        <w:t xml:space="preserve">states </w:t>
      </w:r>
      <w:r w:rsidRPr="00EE08C7">
        <w:rPr>
          <w:rFonts w:ascii="Times New Roman" w:eastAsia="Times New Roman" w:hAnsi="Times New Roman" w:cs="Times New Roman"/>
          <w:sz w:val="28"/>
          <w:szCs w:val="28"/>
          <w:lang w:val="en-GB"/>
        </w:rPr>
        <w:t xml:space="preserve">that the analysis of the explanatory memorandum accompanying the legislative act </w:t>
      </w:r>
      <w:r w:rsidR="00AB1C8D" w:rsidRPr="00EE08C7">
        <w:rPr>
          <w:rFonts w:ascii="Times New Roman" w:eastAsia="Times New Roman" w:hAnsi="Times New Roman" w:cs="Times New Roman"/>
          <w:sz w:val="28"/>
          <w:szCs w:val="28"/>
          <w:lang w:val="en-GB"/>
        </w:rPr>
        <w:t>provides</w:t>
      </w:r>
      <w:r w:rsidRPr="00EE08C7">
        <w:rPr>
          <w:rFonts w:ascii="Times New Roman" w:eastAsia="Times New Roman" w:hAnsi="Times New Roman" w:cs="Times New Roman"/>
          <w:sz w:val="28"/>
          <w:szCs w:val="28"/>
          <w:lang w:val="en-GB"/>
        </w:rPr>
        <w:t xml:space="preserve"> that the Government has presented and motivated in a very clear and comprehensive way the </w:t>
      </w:r>
      <w:r w:rsidR="00AB1C8D"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extraordinary situation</w:t>
      </w:r>
      <w:r w:rsidR="00AB1C8D"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envisaged in the adoption of the emergency ordinance and the negative social consequences of the late payment regulation in question. It also explains the reasons for the urgency of adopting the legislative act. The authors of </w:t>
      </w:r>
      <w:r w:rsidR="00FF4B7F"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objection of unconstitutionality </w:t>
      </w:r>
      <w:r w:rsidR="00FF4B7F" w:rsidRPr="00EE08C7">
        <w:rPr>
          <w:rFonts w:ascii="Times New Roman" w:eastAsia="Times New Roman" w:hAnsi="Times New Roman" w:cs="Times New Roman"/>
          <w:sz w:val="28"/>
          <w:szCs w:val="28"/>
          <w:lang w:val="en-GB"/>
        </w:rPr>
        <w:t>confound</w:t>
      </w:r>
      <w:r w:rsidRPr="00EE08C7">
        <w:rPr>
          <w:rFonts w:ascii="Times New Roman" w:eastAsia="Times New Roman" w:hAnsi="Times New Roman" w:cs="Times New Roman"/>
          <w:sz w:val="28"/>
          <w:szCs w:val="28"/>
          <w:lang w:val="en-GB"/>
        </w:rPr>
        <w:t xml:space="preserve"> the aim and objectives pursued by the Government by </w:t>
      </w:r>
      <w:r w:rsidRPr="00EE08C7">
        <w:rPr>
          <w:rFonts w:ascii="Times New Roman" w:eastAsia="Times New Roman" w:hAnsi="Times New Roman" w:cs="Times New Roman"/>
          <w:sz w:val="28"/>
          <w:szCs w:val="28"/>
          <w:lang w:val="en-GB"/>
        </w:rPr>
        <w:lastRenderedPageBreak/>
        <w:t>ado</w:t>
      </w:r>
      <w:r w:rsidR="00FF4B7F" w:rsidRPr="00EE08C7">
        <w:rPr>
          <w:rFonts w:ascii="Times New Roman" w:eastAsia="Times New Roman" w:hAnsi="Times New Roman" w:cs="Times New Roman"/>
          <w:sz w:val="28"/>
          <w:szCs w:val="28"/>
          <w:lang w:val="en-GB"/>
        </w:rPr>
        <w:t>pting Government Emergency Ordinance</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21/2004 on the National </w:t>
      </w:r>
      <w:r w:rsidR="00FF4B7F" w:rsidRPr="00EE08C7">
        <w:rPr>
          <w:rFonts w:ascii="Times New Roman" w:eastAsia="Times New Roman" w:hAnsi="Times New Roman" w:cs="Times New Roman"/>
          <w:sz w:val="28"/>
          <w:szCs w:val="28"/>
          <w:lang w:val="en-GB"/>
        </w:rPr>
        <w:t xml:space="preserve">System for </w:t>
      </w:r>
      <w:r w:rsidRPr="00EE08C7">
        <w:rPr>
          <w:rFonts w:ascii="Times New Roman" w:eastAsia="Times New Roman" w:hAnsi="Times New Roman" w:cs="Times New Roman"/>
          <w:sz w:val="28"/>
          <w:szCs w:val="28"/>
          <w:lang w:val="en-GB"/>
        </w:rPr>
        <w:t>Emergenc</w:t>
      </w:r>
      <w:r w:rsidR="00FF4B7F" w:rsidRPr="00EE08C7">
        <w:rPr>
          <w:rFonts w:ascii="Times New Roman" w:eastAsia="Times New Roman" w:hAnsi="Times New Roman" w:cs="Times New Roman"/>
          <w:sz w:val="28"/>
          <w:szCs w:val="28"/>
          <w:lang w:val="en-GB"/>
        </w:rPr>
        <w:t>y Situations Management and attempt</w:t>
      </w:r>
      <w:r w:rsidRPr="00EE08C7">
        <w:rPr>
          <w:rFonts w:ascii="Times New Roman" w:eastAsia="Times New Roman" w:hAnsi="Times New Roman" w:cs="Times New Roman"/>
          <w:sz w:val="28"/>
          <w:szCs w:val="28"/>
          <w:lang w:val="en-GB"/>
        </w:rPr>
        <w:t xml:space="preserve">, in an incorrect manner, to corroborate them with the provisions of Article 115 (4) of the Constitution, </w:t>
      </w:r>
      <w:r w:rsidR="00B323A1" w:rsidRPr="00EE08C7">
        <w:rPr>
          <w:rFonts w:ascii="Times New Roman" w:eastAsia="Times New Roman" w:hAnsi="Times New Roman" w:cs="Times New Roman"/>
          <w:sz w:val="28"/>
          <w:szCs w:val="28"/>
          <w:lang w:val="en-GB"/>
        </w:rPr>
        <w:t xml:space="preserve">in order to argue, </w:t>
      </w:r>
      <w:r w:rsidRPr="00EE08C7">
        <w:rPr>
          <w:rFonts w:ascii="Times New Roman" w:eastAsia="Times New Roman" w:hAnsi="Times New Roman" w:cs="Times New Roman"/>
          <w:sz w:val="28"/>
          <w:szCs w:val="28"/>
          <w:lang w:val="en-GB"/>
        </w:rPr>
        <w:t>on that basis</w:t>
      </w:r>
      <w:r w:rsidR="00B323A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that the Government </w:t>
      </w:r>
      <w:bookmarkStart w:id="15" w:name="_Hlk535853705"/>
      <w:r w:rsidRPr="00EE08C7">
        <w:rPr>
          <w:rFonts w:ascii="Times New Roman" w:eastAsia="Times New Roman" w:hAnsi="Times New Roman" w:cs="Times New Roman"/>
          <w:sz w:val="28"/>
          <w:szCs w:val="28"/>
          <w:lang w:val="en-GB"/>
        </w:rPr>
        <w:t>adopted Government Emergency Ord</w:t>
      </w:r>
      <w:r w:rsidR="00B323A1"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xml:space="preserve"> </w:t>
      </w:r>
      <w:bookmarkEnd w:id="15"/>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without</w:t>
      </w:r>
      <w:r w:rsidRPr="00EE08C7">
        <w:rPr>
          <w:rFonts w:ascii="Times New Roman" w:hAnsi="Times New Roman" w:cs="Times New Roman"/>
          <w:sz w:val="28"/>
          <w:szCs w:val="28"/>
          <w:lang w:val="en-GB"/>
        </w:rPr>
        <w:t xml:space="preserve"> taking account of the existing regulatory framework. Government Emergency Ordinance </w:t>
      </w:r>
      <w:r w:rsidR="00BF7E59">
        <w:rPr>
          <w:rFonts w:ascii="Times New Roman" w:hAnsi="Times New Roman" w:cs="Times New Roman"/>
          <w:sz w:val="28"/>
          <w:szCs w:val="28"/>
          <w:lang w:val="en-GB"/>
        </w:rPr>
        <w:t>no.</w:t>
      </w:r>
      <w:r w:rsidRPr="00EE08C7">
        <w:rPr>
          <w:rFonts w:ascii="Times New Roman" w:hAnsi="Times New Roman" w:cs="Times New Roman"/>
          <w:sz w:val="28"/>
          <w:szCs w:val="28"/>
          <w:lang w:val="en-GB"/>
        </w:rPr>
        <w:t xml:space="preserve"> 21/2004 was adopted, </w:t>
      </w:r>
      <w:r w:rsidRPr="00BF7E59">
        <w:rPr>
          <w:rFonts w:ascii="Times New Roman" w:hAnsi="Times New Roman" w:cs="Times New Roman"/>
          <w:i/>
          <w:sz w:val="28"/>
          <w:szCs w:val="28"/>
          <w:lang w:val="en-GB"/>
        </w:rPr>
        <w:t>inter alia</w:t>
      </w:r>
      <w:r w:rsidRPr="00EE08C7">
        <w:rPr>
          <w:rFonts w:ascii="Times New Roman" w:hAnsi="Times New Roman" w:cs="Times New Roman"/>
          <w:sz w:val="28"/>
          <w:szCs w:val="28"/>
          <w:lang w:val="en-GB"/>
        </w:rPr>
        <w:t xml:space="preserve">, in order to create an effective regulatory framework </w:t>
      </w:r>
      <w:r w:rsidR="00B323A1" w:rsidRPr="00EE08C7">
        <w:rPr>
          <w:rFonts w:ascii="Times New Roman" w:hAnsi="Times New Roman" w:cs="Times New Roman"/>
          <w:sz w:val="28"/>
          <w:szCs w:val="28"/>
          <w:lang w:val="en-GB"/>
        </w:rPr>
        <w:t xml:space="preserve">during </w:t>
      </w:r>
      <w:r w:rsidRPr="00EE08C7">
        <w:rPr>
          <w:rFonts w:ascii="Times New Roman" w:hAnsi="Times New Roman" w:cs="Times New Roman"/>
          <w:sz w:val="28"/>
          <w:szCs w:val="28"/>
          <w:lang w:val="en-GB"/>
        </w:rPr>
        <w:t xml:space="preserve">the proliferation of terrorist attacks on the international scene and in particular against the interests of </w:t>
      </w:r>
      <w:r w:rsidR="00B323A1" w:rsidRPr="00EE08C7">
        <w:rPr>
          <w:rFonts w:ascii="Times New Roman" w:hAnsi="Times New Roman" w:cs="Times New Roman"/>
          <w:sz w:val="28"/>
          <w:szCs w:val="28"/>
          <w:lang w:val="en-GB"/>
        </w:rPr>
        <w:t xml:space="preserve">NATO </w:t>
      </w:r>
      <w:r w:rsidRPr="00EE08C7">
        <w:rPr>
          <w:rFonts w:ascii="Times New Roman" w:hAnsi="Times New Roman" w:cs="Times New Roman"/>
          <w:sz w:val="28"/>
          <w:szCs w:val="28"/>
          <w:lang w:val="en-GB"/>
        </w:rPr>
        <w:t xml:space="preserve">Member States, the risks of non-military threats to national security. In this context, the </w:t>
      </w:r>
      <w:r w:rsidR="00007F89" w:rsidRPr="00EE08C7">
        <w:rPr>
          <w:rFonts w:ascii="Times New Roman" w:hAnsi="Times New Roman" w:cs="Times New Roman"/>
          <w:sz w:val="28"/>
          <w:szCs w:val="28"/>
          <w:lang w:val="en-GB"/>
        </w:rPr>
        <w:t xml:space="preserve">referred </w:t>
      </w:r>
      <w:r w:rsidRPr="00EE08C7">
        <w:rPr>
          <w:rFonts w:ascii="Times New Roman" w:hAnsi="Times New Roman" w:cs="Times New Roman"/>
          <w:sz w:val="28"/>
          <w:szCs w:val="28"/>
          <w:lang w:val="en-GB"/>
        </w:rPr>
        <w:t xml:space="preserve">legislative act </w:t>
      </w:r>
      <w:r w:rsidR="00007F89" w:rsidRPr="00EE08C7">
        <w:rPr>
          <w:rFonts w:ascii="Times New Roman" w:hAnsi="Times New Roman" w:cs="Times New Roman"/>
          <w:sz w:val="28"/>
          <w:szCs w:val="28"/>
          <w:lang w:val="en-GB"/>
        </w:rPr>
        <w:t>regulates “the s</w:t>
      </w:r>
      <w:r w:rsidRPr="00EE08C7">
        <w:rPr>
          <w:rFonts w:ascii="Times New Roman" w:hAnsi="Times New Roman" w:cs="Times New Roman"/>
          <w:sz w:val="28"/>
          <w:szCs w:val="28"/>
          <w:lang w:val="en-GB"/>
        </w:rPr>
        <w:t>tate of emergency</w:t>
      </w:r>
      <w:r w:rsidR="00007F8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w:t>
      </w:r>
      <w:r w:rsidR="00007F89" w:rsidRPr="00EE08C7">
        <w:rPr>
          <w:rFonts w:ascii="Times New Roman" w:hAnsi="Times New Roman" w:cs="Times New Roman"/>
          <w:sz w:val="28"/>
          <w:szCs w:val="28"/>
          <w:lang w:val="en-GB"/>
        </w:rPr>
        <w:t xml:space="preserve">this term having </w:t>
      </w:r>
      <w:r w:rsidRPr="00EE08C7">
        <w:rPr>
          <w:rFonts w:ascii="Times New Roman" w:hAnsi="Times New Roman" w:cs="Times New Roman"/>
          <w:sz w:val="28"/>
          <w:szCs w:val="28"/>
          <w:lang w:val="en-GB"/>
        </w:rPr>
        <w:t xml:space="preserve">no </w:t>
      </w:r>
      <w:r w:rsidR="00007F89" w:rsidRPr="00EE08C7">
        <w:rPr>
          <w:rFonts w:ascii="Times New Roman" w:hAnsi="Times New Roman" w:cs="Times New Roman"/>
          <w:sz w:val="28"/>
          <w:szCs w:val="28"/>
          <w:lang w:val="en-GB"/>
        </w:rPr>
        <w:t xml:space="preserve">connection to the </w:t>
      </w:r>
      <w:r w:rsidRPr="00EE08C7">
        <w:rPr>
          <w:rFonts w:ascii="Times New Roman" w:hAnsi="Times New Roman" w:cs="Times New Roman"/>
          <w:sz w:val="28"/>
          <w:szCs w:val="28"/>
          <w:lang w:val="en-GB"/>
        </w:rPr>
        <w:t xml:space="preserve">term </w:t>
      </w:r>
      <w:r w:rsidR="00007F8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emergency</w:t>
      </w:r>
      <w:r w:rsidR="00007F8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referred to in Article 115 (4) of the Constitution.</w:t>
      </w:r>
    </w:p>
    <w:p w:rsidR="0021723C" w:rsidRPr="00EE08C7" w:rsidRDefault="0021723C">
      <w:pPr>
        <w:pStyle w:val="ListParagraph"/>
        <w:numPr>
          <w:ilvl w:val="0"/>
          <w:numId w:val="2"/>
        </w:numPr>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As regards the objection of unconstitutionality expressed in relation to the provisions of Article 115 (6) of the Basic Law, since the provisio</w:t>
      </w:r>
      <w:r w:rsidR="000A102D" w:rsidRPr="00EE08C7">
        <w:rPr>
          <w:rFonts w:ascii="Times New Roman" w:eastAsia="Times New Roman" w:hAnsi="Times New Roman" w:cs="Times New Roman"/>
          <w:sz w:val="28"/>
          <w:szCs w:val="28"/>
          <w:lang w:val="en-GB"/>
        </w:rPr>
        <w:t>ns of Government Emergency Ordinance</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were to affect the Public </w:t>
      </w:r>
      <w:r w:rsidR="000A102D" w:rsidRPr="00EE08C7">
        <w:rPr>
          <w:rFonts w:ascii="Times New Roman" w:eastAsia="Times New Roman" w:hAnsi="Times New Roman" w:cs="Times New Roman"/>
          <w:sz w:val="28"/>
          <w:szCs w:val="28"/>
          <w:lang w:val="en-GB"/>
        </w:rPr>
        <w:t xml:space="preserve">Ministry </w:t>
      </w:r>
      <w:r w:rsidRPr="00EE08C7">
        <w:rPr>
          <w:rFonts w:ascii="Times New Roman" w:eastAsia="Times New Roman" w:hAnsi="Times New Roman" w:cs="Times New Roman"/>
          <w:sz w:val="28"/>
          <w:szCs w:val="28"/>
          <w:lang w:val="en-GB"/>
        </w:rPr>
        <w:t xml:space="preserve">as a fundamental institution of the Romanian State, </w:t>
      </w:r>
      <w:r w:rsidRPr="00EE08C7">
        <w:rPr>
          <w:rFonts w:ascii="Times New Roman" w:hAnsi="Times New Roman" w:cs="Times New Roman"/>
          <w:sz w:val="28"/>
          <w:szCs w:val="28"/>
          <w:lang w:val="en-GB"/>
        </w:rPr>
        <w:t>the</w:t>
      </w:r>
      <w:bookmarkStart w:id="16" w:name="_Hlk3561102"/>
      <w:r w:rsidRPr="00EE08C7">
        <w:rPr>
          <w:rFonts w:ascii="Times New Roman" w:eastAsia="Times New Roman" w:hAnsi="Times New Roman" w:cs="Times New Roman"/>
          <w:sz w:val="28"/>
          <w:szCs w:val="28"/>
          <w:lang w:val="en-GB"/>
        </w:rPr>
        <w:t xml:space="preserve"> President of the Senate </w:t>
      </w:r>
      <w:bookmarkEnd w:id="16"/>
      <w:r w:rsidRPr="00EE08C7">
        <w:rPr>
          <w:rFonts w:ascii="Times New Roman" w:eastAsia="Times New Roman" w:hAnsi="Times New Roman" w:cs="Times New Roman"/>
          <w:sz w:val="28"/>
          <w:szCs w:val="28"/>
          <w:lang w:val="en-GB"/>
        </w:rPr>
        <w:t>states that it is unfounded, with the legislative act establishing only a transitional and provisional procedure for the composition</w:t>
      </w:r>
      <w:r w:rsidR="000A102D" w:rsidRPr="00EE08C7">
        <w:rPr>
          <w:rFonts w:ascii="Times New Roman" w:eastAsia="Times New Roman" w:hAnsi="Times New Roman" w:cs="Times New Roman"/>
          <w:sz w:val="28"/>
          <w:szCs w:val="28"/>
          <w:lang w:val="en-GB"/>
        </w:rPr>
        <w:t xml:space="preserve"> of the Section for the investigation of justice-related criminal offences, </w:t>
      </w:r>
      <w:r w:rsidRPr="00EE08C7">
        <w:rPr>
          <w:rFonts w:ascii="Times New Roman" w:hAnsi="Times New Roman" w:cs="Times New Roman"/>
          <w:sz w:val="28"/>
          <w:szCs w:val="28"/>
          <w:lang w:val="en-GB"/>
        </w:rPr>
        <w:t xml:space="preserve">including its management. </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As regards the </w:t>
      </w:r>
      <w:r w:rsidR="000A102D" w:rsidRPr="00EE08C7">
        <w:rPr>
          <w:rFonts w:ascii="Times New Roman" w:eastAsia="Times New Roman" w:hAnsi="Times New Roman" w:cs="Times New Roman"/>
          <w:sz w:val="28"/>
          <w:szCs w:val="28"/>
          <w:lang w:val="en-GB"/>
        </w:rPr>
        <w:t>statement</w:t>
      </w:r>
      <w:r w:rsidRPr="00EE08C7">
        <w:rPr>
          <w:rFonts w:ascii="Times New Roman" w:eastAsia="Times New Roman" w:hAnsi="Times New Roman" w:cs="Times New Roman"/>
          <w:sz w:val="28"/>
          <w:szCs w:val="28"/>
          <w:lang w:val="en-GB"/>
        </w:rPr>
        <w:t xml:space="preserve"> of the authors of the referral that the </w:t>
      </w:r>
      <w:r w:rsidR="00FB4B45" w:rsidRPr="00EE08C7">
        <w:rPr>
          <w:rFonts w:ascii="Times New Roman" w:eastAsia="Times New Roman" w:hAnsi="Times New Roman" w:cs="Times New Roman"/>
          <w:sz w:val="28"/>
          <w:szCs w:val="28"/>
          <w:lang w:val="en-GB"/>
        </w:rPr>
        <w:t xml:space="preserve">criticised </w:t>
      </w:r>
      <w:r w:rsidRPr="00EE08C7">
        <w:rPr>
          <w:rFonts w:ascii="Times New Roman" w:eastAsia="Times New Roman" w:hAnsi="Times New Roman" w:cs="Times New Roman"/>
          <w:sz w:val="28"/>
          <w:szCs w:val="28"/>
          <w:lang w:val="en-GB"/>
        </w:rPr>
        <w:t xml:space="preserve">law is contrary to Article 148 (2) and (4) of the Constitution, since the last </w:t>
      </w:r>
      <w:r w:rsidR="00BF7E59">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xml:space="preserve"> Report recommends that Romania should immediately suspend the implementation of the laws</w:t>
      </w:r>
      <w:r w:rsidR="00FB4B45" w:rsidRPr="00EE08C7">
        <w:rPr>
          <w:rFonts w:ascii="Times New Roman" w:eastAsia="Times New Roman" w:hAnsi="Times New Roman" w:cs="Times New Roman"/>
          <w:sz w:val="28"/>
          <w:szCs w:val="28"/>
          <w:lang w:val="en-GB"/>
        </w:rPr>
        <w:t xml:space="preserve"> of justice</w:t>
      </w:r>
      <w:r w:rsidRPr="00EE08C7">
        <w:rPr>
          <w:rFonts w:ascii="Times New Roman" w:eastAsia="Times New Roman" w:hAnsi="Times New Roman" w:cs="Times New Roman"/>
          <w:sz w:val="28"/>
          <w:szCs w:val="28"/>
          <w:lang w:val="en-GB"/>
        </w:rPr>
        <w:t xml:space="preserve">, thus </w:t>
      </w:r>
      <w:r w:rsidR="00FB4B45" w:rsidRPr="00EE08C7">
        <w:rPr>
          <w:rFonts w:ascii="Times New Roman" w:eastAsia="Times New Roman" w:hAnsi="Times New Roman" w:cs="Times New Roman"/>
          <w:sz w:val="28"/>
          <w:szCs w:val="28"/>
          <w:lang w:val="en-GB"/>
        </w:rPr>
        <w:t xml:space="preserve">of </w:t>
      </w:r>
      <w:r w:rsidRPr="00EE08C7">
        <w:rPr>
          <w:rFonts w:ascii="Times New Roman" w:eastAsia="Times New Roman" w:hAnsi="Times New Roman" w:cs="Times New Roman"/>
          <w:sz w:val="28"/>
          <w:szCs w:val="28"/>
          <w:lang w:val="en-GB"/>
        </w:rPr>
        <w:t xml:space="preserve">the legal provisions introduced in Law </w:t>
      </w:r>
      <w:r w:rsidR="00BF7E59">
        <w:rPr>
          <w:rFonts w:ascii="Times New Roman" w:eastAsia="Times New Roman" w:hAnsi="Times New Roman" w:cs="Times New Roman"/>
          <w:sz w:val="28"/>
          <w:szCs w:val="28"/>
          <w:lang w:val="en-GB"/>
        </w:rPr>
        <w:t>no.</w:t>
      </w:r>
      <w:r w:rsidR="00FB4B45"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304/2004, </w:t>
      </w:r>
      <w:r w:rsidR="00FB4B45" w:rsidRPr="00EE08C7">
        <w:rPr>
          <w:rFonts w:ascii="Times New Roman" w:eastAsia="Times New Roman" w:hAnsi="Times New Roman" w:cs="Times New Roman"/>
          <w:sz w:val="28"/>
          <w:szCs w:val="28"/>
          <w:lang w:val="en-GB"/>
        </w:rPr>
        <w:t xml:space="preserve">by </w:t>
      </w:r>
      <w:r w:rsidRPr="00EE08C7">
        <w:rPr>
          <w:rFonts w:ascii="Times New Roman" w:eastAsia="Times New Roman" w:hAnsi="Times New Roman" w:cs="Times New Roman"/>
          <w:sz w:val="28"/>
          <w:szCs w:val="28"/>
          <w:lang w:val="en-GB"/>
        </w:rPr>
        <w:t xml:space="preserve">which </w:t>
      </w:r>
      <w:r w:rsidR="00FB4B45" w:rsidRPr="00EE08C7">
        <w:rPr>
          <w:rFonts w:ascii="Times New Roman" w:eastAsia="Times New Roman" w:hAnsi="Times New Roman" w:cs="Times New Roman"/>
          <w:sz w:val="28"/>
          <w:szCs w:val="28"/>
          <w:lang w:val="en-GB"/>
        </w:rPr>
        <w:t xml:space="preserve">was set up </w:t>
      </w:r>
      <w:r w:rsidRPr="00EE08C7">
        <w:rPr>
          <w:rFonts w:ascii="Times New Roman" w:eastAsia="Times New Roman" w:hAnsi="Times New Roman" w:cs="Times New Roman"/>
          <w:sz w:val="28"/>
          <w:szCs w:val="28"/>
          <w:lang w:val="en-GB"/>
        </w:rPr>
        <w:t xml:space="preserve">the Section for the </w:t>
      </w:r>
      <w:r w:rsidR="00FB4B45"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FB4B45" w:rsidRPr="00EE08C7">
        <w:rPr>
          <w:rFonts w:ascii="Times New Roman" w:eastAsia="Times New Roman" w:hAnsi="Times New Roman" w:cs="Times New Roman"/>
          <w:sz w:val="28"/>
          <w:szCs w:val="28"/>
          <w:lang w:val="en-GB"/>
        </w:rPr>
        <w:t>justice-related criminal offences</w:t>
      </w:r>
      <w:r w:rsidRPr="00EE08C7">
        <w:rPr>
          <w:rFonts w:ascii="Times New Roman" w:eastAsia="Times New Roman" w:hAnsi="Times New Roman" w:cs="Times New Roman"/>
          <w:sz w:val="28"/>
          <w:szCs w:val="28"/>
          <w:lang w:val="en-GB"/>
        </w:rPr>
        <w:t xml:space="preserve">, </w:t>
      </w:r>
      <w:r w:rsidR="00FB4B45" w:rsidRPr="00EE08C7">
        <w:rPr>
          <w:rFonts w:ascii="Times New Roman" w:eastAsia="Times New Roman" w:hAnsi="Times New Roman" w:cs="Times New Roman"/>
          <w:sz w:val="28"/>
          <w:szCs w:val="28"/>
          <w:lang w:val="en-GB"/>
        </w:rPr>
        <w:t xml:space="preserve">provisions </w:t>
      </w:r>
      <w:r w:rsidRPr="00EE08C7">
        <w:rPr>
          <w:rFonts w:ascii="Times New Roman" w:eastAsia="Times New Roman" w:hAnsi="Times New Roman" w:cs="Times New Roman"/>
          <w:sz w:val="28"/>
          <w:szCs w:val="28"/>
          <w:lang w:val="en-GB"/>
        </w:rPr>
        <w:t>partially amended by Government Emergency Ord</w:t>
      </w:r>
      <w:r w:rsidR="00FB4B45"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the President of the Senate </w:t>
      </w:r>
      <w:r w:rsidR="00FB4B45" w:rsidRPr="00EE08C7">
        <w:rPr>
          <w:rFonts w:ascii="Times New Roman" w:eastAsia="Times New Roman" w:hAnsi="Times New Roman" w:cs="Times New Roman"/>
          <w:sz w:val="28"/>
          <w:szCs w:val="28"/>
          <w:lang w:val="en-GB"/>
        </w:rPr>
        <w:t>notes</w:t>
      </w:r>
      <w:r w:rsidRPr="00EE08C7">
        <w:rPr>
          <w:rFonts w:ascii="Times New Roman" w:eastAsia="Times New Roman" w:hAnsi="Times New Roman" w:cs="Times New Roman"/>
          <w:sz w:val="28"/>
          <w:szCs w:val="28"/>
          <w:lang w:val="en-GB"/>
        </w:rPr>
        <w:t xml:space="preserve"> that the Constitutional Court has already found that the </w:t>
      </w:r>
      <w:r w:rsidR="00FB4B45" w:rsidRPr="00EE08C7">
        <w:rPr>
          <w:rFonts w:ascii="Times New Roman" w:eastAsia="Times New Roman" w:hAnsi="Times New Roman" w:cs="Times New Roman"/>
          <w:sz w:val="28"/>
          <w:szCs w:val="28"/>
          <w:lang w:val="en-GB"/>
        </w:rPr>
        <w:t xml:space="preserve">setting up </w:t>
      </w:r>
      <w:r w:rsidRPr="00EE08C7">
        <w:rPr>
          <w:rFonts w:ascii="Times New Roman" w:eastAsia="Times New Roman" w:hAnsi="Times New Roman" w:cs="Times New Roman"/>
          <w:sz w:val="28"/>
          <w:szCs w:val="28"/>
          <w:lang w:val="en-GB"/>
        </w:rPr>
        <w:t xml:space="preserve">of the </w:t>
      </w:r>
      <w:r w:rsidR="00FB4B45" w:rsidRPr="00EE08C7">
        <w:rPr>
          <w:rFonts w:ascii="Times New Roman" w:eastAsia="Times New Roman" w:hAnsi="Times New Roman" w:cs="Times New Roman"/>
          <w:sz w:val="28"/>
          <w:szCs w:val="28"/>
          <w:lang w:val="en-GB"/>
        </w:rPr>
        <w:t xml:space="preserve">respective </w:t>
      </w:r>
      <w:r w:rsidRPr="00EE08C7">
        <w:rPr>
          <w:rFonts w:ascii="Times New Roman" w:eastAsia="Times New Roman" w:hAnsi="Times New Roman" w:cs="Times New Roman"/>
          <w:sz w:val="28"/>
          <w:szCs w:val="28"/>
          <w:lang w:val="en-GB"/>
        </w:rPr>
        <w:t xml:space="preserve">Section is not contrary to the Constitution and </w:t>
      </w:r>
      <w:r w:rsidR="00FB4B45" w:rsidRPr="00EE08C7">
        <w:rPr>
          <w:rFonts w:ascii="Times New Roman" w:eastAsia="Times New Roman" w:hAnsi="Times New Roman" w:cs="Times New Roman"/>
          <w:sz w:val="28"/>
          <w:szCs w:val="28"/>
          <w:lang w:val="en-GB"/>
        </w:rPr>
        <w:t xml:space="preserve">this criticism </w:t>
      </w:r>
      <w:r w:rsidRPr="00EE08C7">
        <w:rPr>
          <w:rFonts w:ascii="Times New Roman" w:eastAsia="Times New Roman" w:hAnsi="Times New Roman" w:cs="Times New Roman"/>
          <w:sz w:val="28"/>
          <w:szCs w:val="28"/>
          <w:lang w:val="en-GB"/>
        </w:rPr>
        <w:t>is therefore unfounded.</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lastRenderedPageBreak/>
        <w:t xml:space="preserve">Finally, in relation to the objection of intrinsic unconstitutionality relating to the provisions of Article II (11) which would have an unclear, unpredictable content, which is contrary to Article 1 (5) of the Constitution, the President of the Senate considers that it is also unfounded, </w:t>
      </w:r>
      <w:r w:rsidR="00404266" w:rsidRPr="00EE08C7">
        <w:rPr>
          <w:rFonts w:ascii="Times New Roman" w:eastAsia="Times New Roman" w:hAnsi="Times New Roman" w:cs="Times New Roman"/>
          <w:sz w:val="28"/>
          <w:szCs w:val="28"/>
          <w:lang w:val="en-GB"/>
        </w:rPr>
        <w:t xml:space="preserve">even its authors being not </w:t>
      </w:r>
      <w:r w:rsidRPr="00EE08C7">
        <w:rPr>
          <w:rFonts w:ascii="Times New Roman" w:eastAsia="Times New Roman" w:hAnsi="Times New Roman" w:cs="Times New Roman"/>
          <w:sz w:val="28"/>
          <w:szCs w:val="28"/>
          <w:lang w:val="en-GB"/>
        </w:rPr>
        <w:t xml:space="preserve">convinced of the </w:t>
      </w:r>
      <w:r w:rsidR="00404266" w:rsidRPr="00EE08C7">
        <w:rPr>
          <w:rFonts w:ascii="Times New Roman" w:eastAsia="Times New Roman" w:hAnsi="Times New Roman" w:cs="Times New Roman"/>
          <w:sz w:val="28"/>
          <w:szCs w:val="28"/>
          <w:lang w:val="en-GB"/>
        </w:rPr>
        <w:t xml:space="preserve">rightness </w:t>
      </w:r>
      <w:r w:rsidRPr="00EE08C7">
        <w:rPr>
          <w:rFonts w:ascii="Times New Roman" w:eastAsia="Times New Roman" w:hAnsi="Times New Roman" w:cs="Times New Roman"/>
          <w:sz w:val="28"/>
          <w:szCs w:val="28"/>
          <w:lang w:val="en-GB"/>
        </w:rPr>
        <w:t>of arguments.</w:t>
      </w:r>
    </w:p>
    <w:p w:rsidR="0021723C" w:rsidRPr="00EE08C7" w:rsidRDefault="0021723C">
      <w:pPr>
        <w:pStyle w:val="ListParagraph"/>
        <w:numPr>
          <w:ilvl w:val="0"/>
          <w:numId w:val="2"/>
        </w:numPr>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In comparison to the above, the President of the Senate </w:t>
      </w:r>
      <w:r w:rsidR="00404266" w:rsidRPr="00EE08C7">
        <w:rPr>
          <w:rFonts w:ascii="Times New Roman" w:eastAsia="Times New Roman" w:hAnsi="Times New Roman" w:cs="Times New Roman"/>
          <w:sz w:val="28"/>
          <w:szCs w:val="28"/>
          <w:lang w:val="en-GB"/>
        </w:rPr>
        <w:t xml:space="preserve">requires </w:t>
      </w:r>
      <w:r w:rsidRPr="00EE08C7">
        <w:rPr>
          <w:rFonts w:ascii="Times New Roman" w:eastAsia="Times New Roman" w:hAnsi="Times New Roman" w:cs="Times New Roman"/>
          <w:sz w:val="28"/>
          <w:szCs w:val="28"/>
          <w:lang w:val="en-GB"/>
        </w:rPr>
        <w:t>the Constitutional Court to reject, as unfounded, the objection of unconstitutionality.</w:t>
      </w:r>
      <w:bookmarkStart w:id="17" w:name="_Hlk535919096"/>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b/>
          <w:sz w:val="28"/>
          <w:szCs w:val="28"/>
          <w:lang w:val="en-GB"/>
        </w:rPr>
        <w:t>The</w:t>
      </w:r>
      <w:bookmarkStart w:id="18" w:name="_Hlk3561304"/>
      <w:r w:rsidRPr="00EE08C7">
        <w:rPr>
          <w:rFonts w:ascii="Times New Roman" w:eastAsia="Times New Roman" w:hAnsi="Times New Roman" w:cs="Times New Roman"/>
          <w:b/>
          <w:sz w:val="28"/>
          <w:szCs w:val="28"/>
          <w:lang w:val="en-GB"/>
        </w:rPr>
        <w:t xml:space="preserve"> President of the Chamber</w:t>
      </w:r>
      <w:bookmarkEnd w:id="18"/>
      <w:r w:rsidRPr="00EE08C7">
        <w:rPr>
          <w:rFonts w:ascii="Times New Roman" w:eastAsia="Times New Roman" w:hAnsi="Times New Roman" w:cs="Times New Roman"/>
          <w:b/>
          <w:sz w:val="28"/>
          <w:szCs w:val="28"/>
          <w:lang w:val="en-GB"/>
        </w:rPr>
        <w:t xml:space="preserve"> of Deputies </w:t>
      </w:r>
      <w:r w:rsidRPr="00EE08C7">
        <w:rPr>
          <w:rFonts w:ascii="Times New Roman" w:eastAsia="Times New Roman" w:hAnsi="Times New Roman" w:cs="Times New Roman"/>
          <w:sz w:val="28"/>
          <w:szCs w:val="28"/>
          <w:lang w:val="en-GB"/>
        </w:rPr>
        <w:t xml:space="preserve">has sent </w:t>
      </w:r>
      <w:r w:rsidR="00404266" w:rsidRPr="00EE08C7">
        <w:rPr>
          <w:rFonts w:ascii="Times New Roman" w:eastAsia="Times New Roman" w:hAnsi="Times New Roman" w:cs="Times New Roman"/>
          <w:sz w:val="28"/>
          <w:szCs w:val="28"/>
          <w:lang w:val="en-GB"/>
        </w:rPr>
        <w:t>by L</w:t>
      </w:r>
      <w:r w:rsidRPr="00EE08C7">
        <w:rPr>
          <w:rFonts w:ascii="Times New Roman" w:eastAsia="Times New Roman" w:hAnsi="Times New Roman" w:cs="Times New Roman"/>
          <w:sz w:val="28"/>
          <w:szCs w:val="28"/>
          <w:lang w:val="en-GB"/>
        </w:rPr>
        <w:t xml:space="preserve">etter 2/127 of 8 January 2019, registered at the Constitutional Court under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162 of 8 January 2019, </w:t>
      </w:r>
      <w:r w:rsidR="00404266" w:rsidRPr="00EE08C7">
        <w:rPr>
          <w:rFonts w:ascii="Times New Roman" w:eastAsia="Times New Roman" w:hAnsi="Times New Roman" w:cs="Times New Roman"/>
          <w:sz w:val="28"/>
          <w:szCs w:val="28"/>
          <w:lang w:val="en-GB"/>
        </w:rPr>
        <w:t>his view</w:t>
      </w:r>
      <w:r w:rsidRPr="00EE08C7">
        <w:rPr>
          <w:rFonts w:ascii="Times New Roman" w:eastAsia="Times New Roman" w:hAnsi="Times New Roman" w:cs="Times New Roman"/>
          <w:sz w:val="28"/>
          <w:szCs w:val="28"/>
          <w:lang w:val="en-GB"/>
        </w:rPr>
        <w:t xml:space="preserve"> on the </w:t>
      </w:r>
      <w:r w:rsidR="00404266" w:rsidRPr="00EE08C7">
        <w:rPr>
          <w:rFonts w:ascii="Times New Roman" w:eastAsia="Times New Roman" w:hAnsi="Times New Roman" w:cs="Times New Roman"/>
          <w:sz w:val="28"/>
          <w:szCs w:val="28"/>
          <w:lang w:val="en-GB"/>
        </w:rPr>
        <w:t xml:space="preserve">referral </w:t>
      </w:r>
      <w:r w:rsidRPr="00EE08C7">
        <w:rPr>
          <w:rFonts w:ascii="Times New Roman" w:eastAsia="Times New Roman" w:hAnsi="Times New Roman" w:cs="Times New Roman"/>
          <w:sz w:val="28"/>
          <w:szCs w:val="28"/>
          <w:lang w:val="en-GB"/>
        </w:rPr>
        <w:t>of unconstitutionality.</w:t>
      </w:r>
      <w:bookmarkEnd w:id="17"/>
    </w:p>
    <w:p w:rsidR="0021723C" w:rsidRPr="00EE08C7" w:rsidRDefault="0021723C">
      <w:pPr>
        <w:pStyle w:val="ListParagraph"/>
        <w:numPr>
          <w:ilvl w:val="0"/>
          <w:numId w:val="2"/>
        </w:numPr>
        <w:autoSpaceDE w:val="0"/>
        <w:spacing w:after="0" w:line="360" w:lineRule="auto"/>
        <w:ind w:left="0" w:firstLine="708"/>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 xml:space="preserve">With regard to </w:t>
      </w:r>
      <w:r w:rsidR="00404266"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requests concerning the referral to the CJEU of a number of preliminary questions and, implicitly, the suspension of the settlement of the </w:t>
      </w:r>
      <w:r w:rsidR="00404266" w:rsidRPr="00EE08C7">
        <w:rPr>
          <w:rFonts w:ascii="Times New Roman" w:eastAsia="Times New Roman" w:hAnsi="Times New Roman" w:cs="Times New Roman"/>
          <w:sz w:val="28"/>
          <w:szCs w:val="28"/>
          <w:lang w:val="en-GB"/>
        </w:rPr>
        <w:t xml:space="preserve">referral of </w:t>
      </w:r>
      <w:r w:rsidRPr="00EE08C7">
        <w:rPr>
          <w:rFonts w:ascii="Times New Roman" w:eastAsia="Times New Roman" w:hAnsi="Times New Roman" w:cs="Times New Roman"/>
          <w:sz w:val="28"/>
          <w:szCs w:val="28"/>
          <w:lang w:val="en-GB"/>
        </w:rPr>
        <w:t>unconstitutionality, it considers them inadmissible.</w:t>
      </w:r>
      <w:r w:rsidRPr="00EE08C7">
        <w:rPr>
          <w:lang w:val="en-GB"/>
        </w:rPr>
        <w:t xml:space="preserve"> </w:t>
      </w:r>
      <w:r w:rsidR="00477A81" w:rsidRPr="00EE08C7">
        <w:rPr>
          <w:rFonts w:ascii="Times New Roman" w:hAnsi="Times New Roman" w:cs="Times New Roman"/>
          <w:sz w:val="28"/>
          <w:szCs w:val="28"/>
          <w:lang w:val="en-GB"/>
        </w:rPr>
        <w:t xml:space="preserve">Within </w:t>
      </w:r>
      <w:r w:rsidR="00477A81" w:rsidRPr="00EE08C7">
        <w:rPr>
          <w:rFonts w:ascii="Times New Roman" w:hAnsi="Times New Roman" w:cs="Times New Roman"/>
          <w:i/>
          <w:sz w:val="28"/>
          <w:szCs w:val="28"/>
          <w:lang w:val="en-GB"/>
        </w:rPr>
        <w:t>a priori</w:t>
      </w:r>
      <w:r w:rsidR="00477A81" w:rsidRPr="00EE08C7">
        <w:rPr>
          <w:rFonts w:ascii="Times New Roman" w:hAnsi="Times New Roman" w:cs="Times New Roman"/>
          <w:sz w:val="28"/>
          <w:szCs w:val="28"/>
          <w:lang w:val="en-GB"/>
        </w:rPr>
        <w:t xml:space="preserve"> constitutional review </w:t>
      </w:r>
      <w:r w:rsidRPr="00EE08C7">
        <w:rPr>
          <w:rFonts w:ascii="Times New Roman" w:eastAsia="Times New Roman" w:hAnsi="Times New Roman" w:cs="Times New Roman"/>
          <w:sz w:val="28"/>
          <w:szCs w:val="28"/>
          <w:lang w:val="en-GB"/>
        </w:rPr>
        <w:t xml:space="preserve">preliminary question cannot be </w:t>
      </w:r>
      <w:r w:rsidR="00477A81" w:rsidRPr="00EE08C7">
        <w:rPr>
          <w:rFonts w:ascii="Times New Roman" w:eastAsia="Times New Roman" w:hAnsi="Times New Roman" w:cs="Times New Roman"/>
          <w:sz w:val="28"/>
          <w:szCs w:val="28"/>
          <w:lang w:val="en-GB"/>
        </w:rPr>
        <w:t>formulated</w:t>
      </w:r>
      <w:r w:rsidRPr="00EE08C7">
        <w:rPr>
          <w:rFonts w:ascii="Times New Roman" w:eastAsia="Times New Roman" w:hAnsi="Times New Roman" w:cs="Times New Roman"/>
          <w:i/>
          <w:sz w:val="28"/>
          <w:szCs w:val="28"/>
          <w:lang w:val="en-GB"/>
        </w:rPr>
        <w:t xml:space="preserve"> </w:t>
      </w:r>
      <w:r w:rsidRPr="00EE08C7">
        <w:rPr>
          <w:rFonts w:ascii="Times New Roman" w:eastAsia="Times New Roman" w:hAnsi="Times New Roman" w:cs="Times New Roman"/>
          <w:sz w:val="28"/>
          <w:szCs w:val="28"/>
          <w:lang w:val="en-GB"/>
        </w:rPr>
        <w:t xml:space="preserve">by virtue of Article 267 of the </w:t>
      </w:r>
      <w:r w:rsidR="00477A81" w:rsidRPr="00EE08C7">
        <w:rPr>
          <w:rFonts w:ascii="Times New Roman" w:eastAsia="Times New Roman" w:hAnsi="Times New Roman" w:cs="Times New Roman"/>
          <w:sz w:val="28"/>
          <w:szCs w:val="28"/>
          <w:lang w:val="en-GB"/>
        </w:rPr>
        <w:t>TFEU</w:t>
      </w:r>
      <w:r w:rsidRPr="00EE08C7">
        <w:rPr>
          <w:rFonts w:ascii="Times New Roman" w:eastAsia="Times New Roman" w:hAnsi="Times New Roman" w:cs="Times New Roman"/>
          <w:sz w:val="28"/>
          <w:szCs w:val="28"/>
          <w:lang w:val="en-GB"/>
        </w:rPr>
        <w:t xml:space="preserve">, as </w:t>
      </w:r>
      <w:r w:rsidR="00477A81" w:rsidRPr="00EE08C7">
        <w:rPr>
          <w:rFonts w:ascii="Times New Roman" w:eastAsia="Times New Roman" w:hAnsi="Times New Roman" w:cs="Times New Roman"/>
          <w:sz w:val="28"/>
          <w:szCs w:val="28"/>
          <w:lang w:val="en-GB"/>
        </w:rPr>
        <w:t xml:space="preserve">no litigation is </w:t>
      </w:r>
      <w:r w:rsidRPr="00EE08C7">
        <w:rPr>
          <w:rFonts w:ascii="Times New Roman" w:eastAsia="Times New Roman" w:hAnsi="Times New Roman" w:cs="Times New Roman"/>
          <w:i/>
          <w:sz w:val="28"/>
          <w:szCs w:val="28"/>
          <w:lang w:val="en-GB"/>
        </w:rPr>
        <w:t>pending</w:t>
      </w:r>
      <w:r w:rsidRPr="00EE08C7">
        <w:rPr>
          <w:rFonts w:ascii="Times New Roman" w:eastAsia="Times New Roman" w:hAnsi="Times New Roman" w:cs="Times New Roman"/>
          <w:sz w:val="28"/>
          <w:szCs w:val="28"/>
          <w:lang w:val="en-GB"/>
        </w:rPr>
        <w:t xml:space="preserve">. In its </w:t>
      </w:r>
      <w:r w:rsidR="00477A81" w:rsidRPr="00EE08C7">
        <w:rPr>
          <w:rFonts w:ascii="Times New Roman" w:eastAsia="Times New Roman" w:hAnsi="Times New Roman" w:cs="Times New Roman"/>
          <w:sz w:val="28"/>
          <w:szCs w:val="28"/>
          <w:lang w:val="en-GB"/>
        </w:rPr>
        <w:t xml:space="preserve">Judgment </w:t>
      </w:r>
      <w:r w:rsidRPr="00EE08C7">
        <w:rPr>
          <w:rFonts w:ascii="Times New Roman" w:eastAsia="Times New Roman" w:hAnsi="Times New Roman" w:cs="Times New Roman"/>
          <w:sz w:val="28"/>
          <w:szCs w:val="28"/>
          <w:lang w:val="en-GB"/>
        </w:rPr>
        <w:t xml:space="preserve">of 16 December 2008 in Case C-210/06, the CJEU held that, according to settled case-law, in order to assess whether the reference </w:t>
      </w:r>
      <w:r w:rsidR="007F4B2A" w:rsidRPr="00EE08C7">
        <w:rPr>
          <w:rFonts w:ascii="Times New Roman" w:eastAsia="Times New Roman" w:hAnsi="Times New Roman" w:cs="Times New Roman"/>
          <w:sz w:val="28"/>
          <w:szCs w:val="28"/>
          <w:lang w:val="en-GB"/>
        </w:rPr>
        <w:t>institution</w:t>
      </w:r>
      <w:r w:rsidR="00477A81"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has the characteristics of a </w:t>
      </w:r>
      <w:r w:rsidR="00477A8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court</w:t>
      </w:r>
      <w:r w:rsidR="00477A8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which is only a matter of European Union law, the Court considers a body of elements such as the legal origin of the </w:t>
      </w:r>
      <w:r w:rsidR="007F4B2A" w:rsidRPr="00EE08C7">
        <w:rPr>
          <w:rFonts w:ascii="Times New Roman" w:eastAsia="Times New Roman" w:hAnsi="Times New Roman" w:cs="Times New Roman"/>
          <w:sz w:val="28"/>
          <w:szCs w:val="28"/>
          <w:lang w:val="en-GB"/>
        </w:rPr>
        <w:t>institution</w:t>
      </w:r>
      <w:r w:rsidRPr="00EE08C7">
        <w:rPr>
          <w:rFonts w:ascii="Times New Roman" w:eastAsia="Times New Roman" w:hAnsi="Times New Roman" w:cs="Times New Roman"/>
          <w:sz w:val="28"/>
          <w:szCs w:val="28"/>
          <w:lang w:val="en-GB"/>
        </w:rPr>
        <w:t xml:space="preserve">, its permanent nature, the binding nature of its competence, the adversarial nature of the procedure, the application by the </w:t>
      </w:r>
      <w:r w:rsidR="007F4B2A" w:rsidRPr="00EE08C7">
        <w:rPr>
          <w:rFonts w:ascii="Times New Roman" w:eastAsia="Times New Roman" w:hAnsi="Times New Roman" w:cs="Times New Roman"/>
          <w:sz w:val="28"/>
          <w:szCs w:val="28"/>
          <w:lang w:val="en-GB"/>
        </w:rPr>
        <w:t>authority</w:t>
      </w:r>
      <w:r w:rsidRPr="00EE08C7">
        <w:rPr>
          <w:rFonts w:ascii="Times New Roman" w:eastAsia="Times New Roman" w:hAnsi="Times New Roman" w:cs="Times New Roman"/>
          <w:sz w:val="28"/>
          <w:szCs w:val="28"/>
          <w:lang w:val="en-GB"/>
        </w:rPr>
        <w:t xml:space="preserve"> of the rules of law and its independence. However, as regards the contradictory nature of the proce</w:t>
      </w:r>
      <w:r w:rsidR="007F4B2A" w:rsidRPr="00EE08C7">
        <w:rPr>
          <w:rFonts w:ascii="Times New Roman" w:eastAsia="Times New Roman" w:hAnsi="Times New Roman" w:cs="Times New Roman"/>
          <w:sz w:val="28"/>
          <w:szCs w:val="28"/>
          <w:lang w:val="en-GB"/>
        </w:rPr>
        <w:t xml:space="preserve">dure </w:t>
      </w:r>
      <w:r w:rsidRPr="00EE08C7">
        <w:rPr>
          <w:rFonts w:ascii="Times New Roman" w:eastAsia="Times New Roman" w:hAnsi="Times New Roman" w:cs="Times New Roman"/>
          <w:sz w:val="28"/>
          <w:szCs w:val="28"/>
          <w:lang w:val="en-GB"/>
        </w:rPr>
        <w:t xml:space="preserve">before the referring court, Article 267 of the Treaty does not </w:t>
      </w:r>
      <w:r w:rsidR="007F4B2A" w:rsidRPr="00EE08C7">
        <w:rPr>
          <w:rFonts w:ascii="Times New Roman" w:eastAsia="Times New Roman" w:hAnsi="Times New Roman" w:cs="Times New Roman"/>
          <w:sz w:val="28"/>
          <w:szCs w:val="28"/>
          <w:lang w:val="en-GB"/>
        </w:rPr>
        <w:t xml:space="preserve">condition the CJEU referral on </w:t>
      </w:r>
      <w:r w:rsidRPr="00EE08C7">
        <w:rPr>
          <w:rFonts w:ascii="Times New Roman" w:eastAsia="Times New Roman" w:hAnsi="Times New Roman" w:cs="Times New Roman"/>
          <w:sz w:val="28"/>
          <w:szCs w:val="28"/>
          <w:lang w:val="en-GB"/>
        </w:rPr>
        <w:t>the adversarial nature of this procedure</w:t>
      </w:r>
      <w:r w:rsidR="007F4B2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7F4B2A" w:rsidRPr="00EE08C7">
        <w:rPr>
          <w:rFonts w:ascii="Times New Roman" w:eastAsia="Times New Roman" w:hAnsi="Times New Roman" w:cs="Times New Roman"/>
          <w:sz w:val="28"/>
          <w:szCs w:val="28"/>
          <w:lang w:val="en-GB"/>
        </w:rPr>
        <w:t xml:space="preserve">In exchange, </w:t>
      </w:r>
      <w:r w:rsidRPr="00EE08C7">
        <w:rPr>
          <w:rFonts w:ascii="Times New Roman" w:eastAsia="Times New Roman" w:hAnsi="Times New Roman" w:cs="Times New Roman"/>
          <w:sz w:val="28"/>
          <w:szCs w:val="28"/>
          <w:lang w:val="en-GB"/>
        </w:rPr>
        <w:t xml:space="preserve">it follows from this article that the national courts are only competent to refer the matter to the European court if there is a </w:t>
      </w:r>
      <w:r w:rsidRPr="00EE08C7">
        <w:rPr>
          <w:rFonts w:ascii="Times New Roman" w:eastAsia="Times New Roman" w:hAnsi="Times New Roman" w:cs="Times New Roman"/>
          <w:i/>
          <w:sz w:val="28"/>
          <w:szCs w:val="28"/>
          <w:lang w:val="en-GB"/>
        </w:rPr>
        <w:t>pending</w:t>
      </w:r>
      <w:r w:rsidRPr="00EE08C7">
        <w:rPr>
          <w:rFonts w:ascii="Times New Roman" w:hAnsi="Times New Roman" w:cs="Times New Roman"/>
          <w:sz w:val="28"/>
          <w:szCs w:val="28"/>
          <w:lang w:val="en-GB"/>
        </w:rPr>
        <w:t xml:space="preserve"> dispute</w:t>
      </w:r>
      <w:r w:rsidRPr="00EE08C7">
        <w:rPr>
          <w:rFonts w:ascii="Times New Roman" w:eastAsia="Times New Roman" w:hAnsi="Times New Roman" w:cs="Times New Roman"/>
          <w:sz w:val="28"/>
          <w:szCs w:val="28"/>
          <w:lang w:val="en-GB"/>
        </w:rPr>
        <w:t xml:space="preserve"> and if they are called upon to take a decision in </w:t>
      </w:r>
      <w:r w:rsidR="005C7EED" w:rsidRPr="00EE08C7">
        <w:rPr>
          <w:rFonts w:ascii="Times New Roman" w:eastAsia="Times New Roman" w:hAnsi="Times New Roman" w:cs="Times New Roman"/>
          <w:sz w:val="28"/>
          <w:szCs w:val="28"/>
          <w:lang w:val="en-GB"/>
        </w:rPr>
        <w:t xml:space="preserve">a </w:t>
      </w:r>
      <w:r w:rsidRPr="00EE08C7">
        <w:rPr>
          <w:rFonts w:ascii="Times New Roman" w:eastAsia="Times New Roman" w:hAnsi="Times New Roman" w:cs="Times New Roman"/>
          <w:sz w:val="28"/>
          <w:szCs w:val="28"/>
          <w:lang w:val="en-GB"/>
        </w:rPr>
        <w:t>proce</w:t>
      </w:r>
      <w:r w:rsidR="005C7EED" w:rsidRPr="00EE08C7">
        <w:rPr>
          <w:rFonts w:ascii="Times New Roman" w:eastAsia="Times New Roman" w:hAnsi="Times New Roman" w:cs="Times New Roman"/>
          <w:sz w:val="28"/>
          <w:szCs w:val="28"/>
          <w:lang w:val="en-GB"/>
        </w:rPr>
        <w:t xml:space="preserve">dure </w:t>
      </w:r>
      <w:r w:rsidRPr="00EE08C7">
        <w:rPr>
          <w:rFonts w:ascii="Times New Roman" w:eastAsia="Times New Roman" w:hAnsi="Times New Roman" w:cs="Times New Roman"/>
          <w:sz w:val="28"/>
          <w:szCs w:val="28"/>
          <w:lang w:val="en-GB"/>
        </w:rPr>
        <w:t xml:space="preserve">to be concluded by a </w:t>
      </w:r>
      <w:r w:rsidR="005C7EED" w:rsidRPr="00EE08C7">
        <w:rPr>
          <w:rFonts w:ascii="Times New Roman" w:eastAsia="Times New Roman" w:hAnsi="Times New Roman" w:cs="Times New Roman"/>
          <w:sz w:val="28"/>
          <w:szCs w:val="28"/>
          <w:lang w:val="en-GB"/>
        </w:rPr>
        <w:t>jurisdictional</w:t>
      </w:r>
      <w:r w:rsidRPr="00EE08C7">
        <w:rPr>
          <w:rFonts w:ascii="Times New Roman" w:eastAsia="Times New Roman" w:hAnsi="Times New Roman" w:cs="Times New Roman"/>
          <w:sz w:val="28"/>
          <w:szCs w:val="28"/>
          <w:lang w:val="en-GB"/>
        </w:rPr>
        <w:t xml:space="preserve"> decision.</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In the context of the cooperation between the CJEU and the national courts, only the national courts which are referred </w:t>
      </w:r>
      <w:r w:rsidR="005C7EED" w:rsidRPr="00EE08C7">
        <w:rPr>
          <w:rFonts w:ascii="Times New Roman" w:eastAsia="Times New Roman" w:hAnsi="Times New Roman" w:cs="Times New Roman"/>
          <w:sz w:val="28"/>
          <w:szCs w:val="28"/>
          <w:lang w:val="en-GB"/>
        </w:rPr>
        <w:t xml:space="preserve">with </w:t>
      </w:r>
      <w:r w:rsidRPr="00EE08C7">
        <w:rPr>
          <w:rFonts w:ascii="Times New Roman" w:eastAsia="Times New Roman" w:hAnsi="Times New Roman" w:cs="Times New Roman"/>
          <w:sz w:val="28"/>
          <w:szCs w:val="28"/>
          <w:lang w:val="en-GB"/>
        </w:rPr>
        <w:t xml:space="preserve">the dispute and </w:t>
      </w:r>
      <w:r w:rsidR="005C7EED" w:rsidRPr="00EE08C7">
        <w:rPr>
          <w:rFonts w:ascii="Times New Roman" w:eastAsia="Times New Roman" w:hAnsi="Times New Roman" w:cs="Times New Roman"/>
          <w:sz w:val="28"/>
          <w:szCs w:val="28"/>
          <w:lang w:val="en-GB"/>
        </w:rPr>
        <w:t xml:space="preserve">which </w:t>
      </w:r>
      <w:r w:rsidRPr="00EE08C7">
        <w:rPr>
          <w:rFonts w:ascii="Times New Roman" w:eastAsia="Times New Roman" w:hAnsi="Times New Roman" w:cs="Times New Roman"/>
          <w:sz w:val="28"/>
          <w:szCs w:val="28"/>
          <w:lang w:val="en-GB"/>
        </w:rPr>
        <w:t xml:space="preserve">must </w:t>
      </w:r>
      <w:r w:rsidRPr="00EE08C7">
        <w:rPr>
          <w:rFonts w:ascii="Times New Roman" w:eastAsia="Times New Roman" w:hAnsi="Times New Roman" w:cs="Times New Roman"/>
          <w:sz w:val="28"/>
          <w:szCs w:val="28"/>
          <w:lang w:val="en-GB"/>
        </w:rPr>
        <w:lastRenderedPageBreak/>
        <w:t>take responsibility for the judgment to be given have the power to assess both the need for a preliminary ruling in order to be able to express its judgment and the appropriateness of the questions which it addresses to the CJEU (</w:t>
      </w:r>
      <w:r w:rsidR="005C7EED" w:rsidRPr="00EE08C7">
        <w:rPr>
          <w:rFonts w:ascii="Times New Roman" w:eastAsia="Times New Roman" w:hAnsi="Times New Roman" w:cs="Times New Roman"/>
          <w:sz w:val="28"/>
          <w:szCs w:val="28"/>
          <w:lang w:val="en-GB"/>
        </w:rPr>
        <w:t>J</w:t>
      </w:r>
      <w:r w:rsidRPr="00EE08C7">
        <w:rPr>
          <w:rFonts w:ascii="Times New Roman" w:eastAsia="Times New Roman" w:hAnsi="Times New Roman" w:cs="Times New Roman"/>
          <w:sz w:val="28"/>
          <w:szCs w:val="28"/>
          <w:lang w:val="en-GB"/>
        </w:rPr>
        <w:t>udgment of 23 April 2009</w:t>
      </w:r>
      <w:r w:rsidR="005C7EED" w:rsidRPr="00EE08C7">
        <w:rPr>
          <w:rFonts w:ascii="Times New Roman" w:eastAsia="Times New Roman" w:hAnsi="Times New Roman" w:cs="Times New Roman"/>
          <w:sz w:val="28"/>
          <w:szCs w:val="28"/>
          <w:lang w:val="en-GB"/>
        </w:rPr>
        <w:t>, in Case</w:t>
      </w:r>
      <w:r w:rsidRPr="00EE08C7">
        <w:rPr>
          <w:rFonts w:ascii="Times New Roman" w:eastAsia="Times New Roman" w:hAnsi="Times New Roman" w:cs="Times New Roman"/>
          <w:sz w:val="28"/>
          <w:szCs w:val="28"/>
          <w:lang w:val="en-GB"/>
        </w:rPr>
        <w:t xml:space="preserve"> C-261/07 and C-299/07 VTB-VAB NV or </w:t>
      </w:r>
      <w:r w:rsidR="005C7EED" w:rsidRPr="00EE08C7">
        <w:rPr>
          <w:rFonts w:ascii="Times New Roman" w:eastAsia="Times New Roman" w:hAnsi="Times New Roman" w:cs="Times New Roman"/>
          <w:sz w:val="28"/>
          <w:szCs w:val="28"/>
          <w:lang w:val="en-GB"/>
        </w:rPr>
        <w:t xml:space="preserve">Judgment </w:t>
      </w:r>
      <w:r w:rsidRPr="00EE08C7">
        <w:rPr>
          <w:rFonts w:ascii="Times New Roman" w:eastAsia="Times New Roman" w:hAnsi="Times New Roman" w:cs="Times New Roman"/>
          <w:sz w:val="28"/>
          <w:szCs w:val="28"/>
          <w:lang w:val="en-GB"/>
        </w:rPr>
        <w:t>of 22 September 2016 in Case C-L 10/15).</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The need for an interpretation of </w:t>
      </w:r>
      <w:r w:rsidR="007028CC"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Community law to be useful to the national court presupposes that the latter define</w:t>
      </w:r>
      <w:r w:rsidR="007028CC"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the factual situation and the regulatory context in which </w:t>
      </w:r>
      <w:r w:rsidR="007028CC" w:rsidRPr="00EE08C7">
        <w:rPr>
          <w:rFonts w:ascii="Times New Roman" w:eastAsia="Times New Roman" w:hAnsi="Times New Roman" w:cs="Times New Roman"/>
          <w:sz w:val="28"/>
          <w:szCs w:val="28"/>
          <w:lang w:val="en-GB"/>
        </w:rPr>
        <w:t xml:space="preserve">are included </w:t>
      </w:r>
      <w:r w:rsidRPr="00EE08C7">
        <w:rPr>
          <w:rFonts w:ascii="Times New Roman" w:eastAsia="Times New Roman" w:hAnsi="Times New Roman" w:cs="Times New Roman"/>
          <w:sz w:val="28"/>
          <w:szCs w:val="28"/>
          <w:lang w:val="en-GB"/>
        </w:rPr>
        <w:t xml:space="preserve">the </w:t>
      </w:r>
      <w:r w:rsidR="007028CC" w:rsidRPr="00EE08C7">
        <w:rPr>
          <w:rFonts w:ascii="Times New Roman" w:eastAsia="Times New Roman" w:hAnsi="Times New Roman" w:cs="Times New Roman"/>
          <w:sz w:val="28"/>
          <w:szCs w:val="28"/>
          <w:lang w:val="en-GB"/>
        </w:rPr>
        <w:t xml:space="preserve">addressed </w:t>
      </w:r>
      <w:r w:rsidRPr="00EE08C7">
        <w:rPr>
          <w:rFonts w:ascii="Times New Roman" w:eastAsia="Times New Roman" w:hAnsi="Times New Roman" w:cs="Times New Roman"/>
          <w:sz w:val="28"/>
          <w:szCs w:val="28"/>
          <w:lang w:val="en-GB"/>
        </w:rPr>
        <w:t xml:space="preserve">questions or at least explain the </w:t>
      </w:r>
      <w:r w:rsidR="007028CC" w:rsidRPr="00EE08C7">
        <w:rPr>
          <w:rFonts w:ascii="Times New Roman" w:eastAsia="Times New Roman" w:hAnsi="Times New Roman" w:cs="Times New Roman"/>
          <w:sz w:val="28"/>
          <w:szCs w:val="28"/>
          <w:lang w:val="en-GB"/>
        </w:rPr>
        <w:t xml:space="preserve">factual situation </w:t>
      </w:r>
      <w:r w:rsidRPr="00EE08C7">
        <w:rPr>
          <w:rFonts w:ascii="Times New Roman" w:eastAsia="Times New Roman" w:hAnsi="Times New Roman" w:cs="Times New Roman"/>
          <w:sz w:val="28"/>
          <w:szCs w:val="28"/>
          <w:lang w:val="en-GB"/>
        </w:rPr>
        <w:t>on which the questions are based (</w:t>
      </w:r>
      <w:r w:rsidR="007028CC" w:rsidRPr="00EE08C7">
        <w:rPr>
          <w:rFonts w:ascii="Times New Roman" w:eastAsia="Times New Roman" w:hAnsi="Times New Roman" w:cs="Times New Roman"/>
          <w:sz w:val="28"/>
          <w:szCs w:val="28"/>
          <w:lang w:val="en-GB"/>
        </w:rPr>
        <w:t>J</w:t>
      </w:r>
      <w:r w:rsidRPr="00EE08C7">
        <w:rPr>
          <w:rFonts w:ascii="Times New Roman" w:eastAsia="Times New Roman" w:hAnsi="Times New Roman" w:cs="Times New Roman"/>
          <w:sz w:val="28"/>
          <w:szCs w:val="28"/>
          <w:lang w:val="en-GB"/>
        </w:rPr>
        <w:t xml:space="preserve">udgment of 9 November 2006 in Case C-205/05 and </w:t>
      </w:r>
      <w:r w:rsidR="007028CC" w:rsidRPr="00EE08C7">
        <w:rPr>
          <w:rFonts w:ascii="Times New Roman" w:eastAsia="Times New Roman" w:hAnsi="Times New Roman" w:cs="Times New Roman"/>
          <w:sz w:val="28"/>
          <w:szCs w:val="28"/>
          <w:lang w:val="en-GB"/>
        </w:rPr>
        <w:t xml:space="preserve">Judgment </w:t>
      </w:r>
      <w:r w:rsidRPr="00EE08C7">
        <w:rPr>
          <w:rFonts w:ascii="Times New Roman" w:eastAsia="Times New Roman" w:hAnsi="Times New Roman" w:cs="Times New Roman"/>
          <w:sz w:val="28"/>
          <w:szCs w:val="28"/>
          <w:lang w:val="en-GB"/>
        </w:rPr>
        <w:t>of 14 December 2006 in Case C-217/05).</w:t>
      </w:r>
    </w:p>
    <w:p w:rsidR="0021723C" w:rsidRPr="00EE08C7" w:rsidRDefault="0021723C">
      <w:pPr>
        <w:pStyle w:val="ListParagraph"/>
        <w:numPr>
          <w:ilvl w:val="0"/>
          <w:numId w:val="2"/>
        </w:numPr>
        <w:autoSpaceDE w:val="0"/>
        <w:spacing w:after="0" w:line="360" w:lineRule="auto"/>
        <w:ind w:left="0" w:firstLine="708"/>
        <w:jc w:val="both"/>
        <w:rPr>
          <w:rFonts w:ascii="Times New Roman" w:hAnsi="Times New Roman" w:cs="Times New Roman"/>
          <w:sz w:val="28"/>
          <w:szCs w:val="28"/>
          <w:lang w:val="en-GB"/>
        </w:rPr>
      </w:pPr>
      <w:r w:rsidRPr="00EE08C7">
        <w:rPr>
          <w:rFonts w:ascii="Times New Roman" w:hAnsi="Times New Roman" w:cs="Times New Roman"/>
          <w:sz w:val="28"/>
          <w:szCs w:val="28"/>
          <w:lang w:val="en-GB"/>
        </w:rPr>
        <w:t>As</w:t>
      </w:r>
      <w:r w:rsidRPr="00EE08C7">
        <w:rPr>
          <w:rFonts w:ascii="Times New Roman" w:eastAsia="Times New Roman" w:hAnsi="Times New Roman" w:cs="Times New Roman"/>
          <w:sz w:val="28"/>
          <w:szCs w:val="28"/>
          <w:lang w:val="en-GB"/>
        </w:rPr>
        <w:t xml:space="preserve"> a result, </w:t>
      </w:r>
      <w:r w:rsidR="007028CC" w:rsidRPr="00EE08C7">
        <w:rPr>
          <w:rFonts w:ascii="Times New Roman" w:eastAsia="Times New Roman" w:hAnsi="Times New Roman" w:cs="Times New Roman"/>
          <w:sz w:val="28"/>
          <w:szCs w:val="28"/>
          <w:lang w:val="en-GB"/>
        </w:rPr>
        <w:t xml:space="preserve">with regard to the above-mentioned aspects, </w:t>
      </w:r>
      <w:r w:rsidRPr="00EE08C7">
        <w:rPr>
          <w:rFonts w:ascii="Times New Roman" w:eastAsia="Times New Roman" w:hAnsi="Times New Roman" w:cs="Times New Roman"/>
          <w:sz w:val="28"/>
          <w:szCs w:val="28"/>
          <w:lang w:val="en-GB"/>
        </w:rPr>
        <w:t>the President of the Chamber of Deputies considers that, in the context of</w:t>
      </w:r>
      <w:r w:rsidRPr="00EE08C7">
        <w:rPr>
          <w:rFonts w:ascii="Times New Roman" w:eastAsia="Times New Roman" w:hAnsi="Times New Roman" w:cs="Times New Roman"/>
          <w:i/>
          <w:sz w:val="28"/>
          <w:szCs w:val="28"/>
          <w:lang w:val="en-GB"/>
        </w:rPr>
        <w:t xml:space="preserve"> a priori </w:t>
      </w:r>
      <w:r w:rsidRPr="00EE08C7">
        <w:rPr>
          <w:rFonts w:ascii="Times New Roman" w:eastAsia="Times New Roman" w:hAnsi="Times New Roman" w:cs="Times New Roman"/>
          <w:sz w:val="28"/>
          <w:szCs w:val="28"/>
          <w:lang w:val="en-GB"/>
        </w:rPr>
        <w:t xml:space="preserve">constitutional </w:t>
      </w:r>
      <w:r w:rsidR="00A478F5" w:rsidRPr="00EE08C7">
        <w:rPr>
          <w:rFonts w:ascii="Times New Roman" w:eastAsia="Times New Roman" w:hAnsi="Times New Roman" w:cs="Times New Roman"/>
          <w:sz w:val="28"/>
          <w:szCs w:val="28"/>
          <w:lang w:val="en-GB"/>
        </w:rPr>
        <w:t>review</w:t>
      </w:r>
      <w:r w:rsidRPr="00EE08C7">
        <w:rPr>
          <w:rFonts w:ascii="Times New Roman" w:eastAsia="Times New Roman" w:hAnsi="Times New Roman" w:cs="Times New Roman"/>
          <w:i/>
          <w:sz w:val="28"/>
          <w:szCs w:val="28"/>
          <w:lang w:val="en-GB"/>
        </w:rPr>
        <w:t xml:space="preserve">, </w:t>
      </w:r>
      <w:r w:rsidRPr="00EE08C7">
        <w:rPr>
          <w:rFonts w:ascii="Times New Roman" w:eastAsia="Times New Roman" w:hAnsi="Times New Roman" w:cs="Times New Roman"/>
          <w:sz w:val="28"/>
          <w:szCs w:val="28"/>
          <w:lang w:val="en-GB"/>
        </w:rPr>
        <w:t>the Constitutional Court may not refer the matter to the C</w:t>
      </w:r>
      <w:r w:rsidR="00A478F5" w:rsidRPr="00EE08C7">
        <w:rPr>
          <w:rFonts w:ascii="Times New Roman" w:eastAsia="Times New Roman" w:hAnsi="Times New Roman" w:cs="Times New Roman"/>
          <w:sz w:val="28"/>
          <w:szCs w:val="28"/>
          <w:lang w:val="en-GB"/>
        </w:rPr>
        <w:t xml:space="preserve">JEU </w:t>
      </w:r>
      <w:r w:rsidRPr="00EE08C7">
        <w:rPr>
          <w:rFonts w:ascii="Times New Roman" w:eastAsia="Times New Roman" w:hAnsi="Times New Roman" w:cs="Times New Roman"/>
          <w:sz w:val="28"/>
          <w:szCs w:val="28"/>
          <w:lang w:val="en-GB"/>
        </w:rPr>
        <w:t>under Article 267 of the T</w:t>
      </w:r>
      <w:r w:rsidR="00A478F5" w:rsidRPr="00EE08C7">
        <w:rPr>
          <w:rFonts w:ascii="Times New Roman" w:eastAsia="Times New Roman" w:hAnsi="Times New Roman" w:cs="Times New Roman"/>
          <w:sz w:val="28"/>
          <w:szCs w:val="28"/>
          <w:lang w:val="en-GB"/>
        </w:rPr>
        <w:t>FEU</w:t>
      </w:r>
      <w:r w:rsidRPr="00EE08C7">
        <w:rPr>
          <w:rFonts w:ascii="Times New Roman" w:eastAsia="Times New Roman" w:hAnsi="Times New Roman" w:cs="Times New Roman"/>
          <w:sz w:val="28"/>
          <w:szCs w:val="28"/>
          <w:lang w:val="en-GB"/>
        </w:rPr>
        <w:t xml:space="preserve">, </w:t>
      </w:r>
      <w:r w:rsidR="00A478F5" w:rsidRPr="00EE08C7">
        <w:rPr>
          <w:rFonts w:ascii="Times New Roman" w:eastAsia="Times New Roman" w:hAnsi="Times New Roman" w:cs="Times New Roman"/>
          <w:sz w:val="28"/>
          <w:szCs w:val="28"/>
          <w:lang w:val="en-GB"/>
        </w:rPr>
        <w:t xml:space="preserve">for </w:t>
      </w:r>
      <w:r w:rsidRPr="00EE08C7">
        <w:rPr>
          <w:rFonts w:ascii="Times New Roman" w:eastAsia="Times New Roman" w:hAnsi="Times New Roman" w:cs="Times New Roman"/>
          <w:sz w:val="28"/>
          <w:szCs w:val="28"/>
          <w:lang w:val="en-GB"/>
        </w:rPr>
        <w:t xml:space="preserve">which </w:t>
      </w:r>
      <w:r w:rsidR="00A478F5" w:rsidRPr="00EE08C7">
        <w:rPr>
          <w:rFonts w:ascii="Times New Roman" w:eastAsia="Times New Roman" w:hAnsi="Times New Roman" w:cs="Times New Roman"/>
          <w:sz w:val="28"/>
          <w:szCs w:val="28"/>
          <w:lang w:val="en-GB"/>
        </w:rPr>
        <w:t xml:space="preserve">reason the </w:t>
      </w:r>
      <w:r w:rsidRPr="00EE08C7">
        <w:rPr>
          <w:rFonts w:ascii="Times New Roman" w:eastAsia="Times New Roman" w:hAnsi="Times New Roman" w:cs="Times New Roman"/>
          <w:sz w:val="28"/>
          <w:szCs w:val="28"/>
          <w:lang w:val="en-GB"/>
        </w:rPr>
        <w:t xml:space="preserve">request to submit </w:t>
      </w:r>
      <w:r w:rsidR="00A478F5" w:rsidRPr="00EE08C7">
        <w:rPr>
          <w:rFonts w:ascii="Times New Roman" w:eastAsia="Times New Roman" w:hAnsi="Times New Roman" w:cs="Times New Roman"/>
          <w:sz w:val="28"/>
          <w:szCs w:val="28"/>
          <w:lang w:val="en-GB"/>
        </w:rPr>
        <w:t xml:space="preserve">preliminary </w:t>
      </w:r>
      <w:r w:rsidRPr="00EE08C7">
        <w:rPr>
          <w:rFonts w:ascii="Times New Roman" w:eastAsia="Times New Roman" w:hAnsi="Times New Roman" w:cs="Times New Roman"/>
          <w:sz w:val="28"/>
          <w:szCs w:val="28"/>
          <w:lang w:val="en-GB"/>
        </w:rPr>
        <w:t xml:space="preserve">questions </w:t>
      </w:r>
      <w:r w:rsidR="00A478F5" w:rsidRPr="00EE08C7">
        <w:rPr>
          <w:rFonts w:ascii="Times New Roman" w:eastAsia="Times New Roman" w:hAnsi="Times New Roman" w:cs="Times New Roman"/>
          <w:sz w:val="28"/>
          <w:szCs w:val="28"/>
          <w:lang w:val="en-GB"/>
        </w:rPr>
        <w:t xml:space="preserve">formulated </w:t>
      </w:r>
      <w:r w:rsidRPr="00EE08C7">
        <w:rPr>
          <w:rFonts w:ascii="Times New Roman" w:eastAsia="Times New Roman" w:hAnsi="Times New Roman" w:cs="Times New Roman"/>
          <w:sz w:val="28"/>
          <w:szCs w:val="28"/>
          <w:lang w:val="en-GB"/>
        </w:rPr>
        <w:t>by the authors of objection of unconstitutionality is inadmissible.</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With regard to the criticism </w:t>
      </w:r>
      <w:r w:rsidR="00A478F5" w:rsidRPr="00EE08C7">
        <w:rPr>
          <w:rFonts w:ascii="Times New Roman" w:eastAsia="Times New Roman" w:hAnsi="Times New Roman" w:cs="Times New Roman"/>
          <w:sz w:val="28"/>
          <w:szCs w:val="28"/>
          <w:lang w:val="en-GB"/>
        </w:rPr>
        <w:t xml:space="preserve">concerning </w:t>
      </w:r>
      <w:r w:rsidRPr="00EE08C7">
        <w:rPr>
          <w:rFonts w:ascii="Times New Roman" w:eastAsia="Times New Roman" w:hAnsi="Times New Roman" w:cs="Times New Roman"/>
          <w:sz w:val="28"/>
          <w:szCs w:val="28"/>
          <w:lang w:val="en-GB"/>
        </w:rPr>
        <w:t xml:space="preserve">the breach of </w:t>
      </w:r>
      <w:r w:rsidR="00A478F5" w:rsidRPr="00EE08C7">
        <w:rPr>
          <w:rFonts w:ascii="Times New Roman" w:eastAsia="Times New Roman" w:hAnsi="Times New Roman" w:cs="Times New Roman"/>
          <w:sz w:val="28"/>
          <w:szCs w:val="28"/>
          <w:lang w:val="en-GB"/>
        </w:rPr>
        <w:t xml:space="preserve">the provisions of </w:t>
      </w:r>
      <w:r w:rsidRPr="00EE08C7">
        <w:rPr>
          <w:rFonts w:ascii="Times New Roman" w:eastAsia="Times New Roman" w:hAnsi="Times New Roman" w:cs="Times New Roman"/>
          <w:sz w:val="28"/>
          <w:szCs w:val="28"/>
          <w:lang w:val="en-GB"/>
        </w:rPr>
        <w:t xml:space="preserve">Article 115 (4) of the Constitution, </w:t>
      </w:r>
      <w:r w:rsidRPr="00EE08C7">
        <w:rPr>
          <w:rFonts w:ascii="Times New Roman" w:hAnsi="Times New Roman" w:cs="Times New Roman"/>
          <w:sz w:val="28"/>
          <w:szCs w:val="28"/>
          <w:lang w:val="en-GB"/>
        </w:rPr>
        <w:t>the</w:t>
      </w:r>
      <w:bookmarkStart w:id="19" w:name="_Hlk535912625"/>
      <w:r w:rsidRPr="00EE08C7">
        <w:rPr>
          <w:rFonts w:ascii="Times New Roman" w:eastAsia="Times New Roman" w:hAnsi="Times New Roman" w:cs="Times New Roman"/>
          <w:sz w:val="28"/>
          <w:szCs w:val="28"/>
          <w:lang w:val="en-GB"/>
        </w:rPr>
        <w:t xml:space="preserve"> President of the Chamber of Deputies </w:t>
      </w:r>
      <w:bookmarkEnd w:id="19"/>
      <w:r w:rsidRPr="00EE08C7">
        <w:rPr>
          <w:rFonts w:ascii="Times New Roman" w:eastAsia="Times New Roman" w:hAnsi="Times New Roman" w:cs="Times New Roman"/>
          <w:sz w:val="28"/>
          <w:szCs w:val="28"/>
          <w:lang w:val="en-GB"/>
        </w:rPr>
        <w:t>considers this to be unfounded, as in the prea</w:t>
      </w:r>
      <w:r w:rsidR="00A478F5" w:rsidRPr="00EE08C7">
        <w:rPr>
          <w:rFonts w:ascii="Times New Roman" w:eastAsia="Times New Roman" w:hAnsi="Times New Roman" w:cs="Times New Roman"/>
          <w:sz w:val="28"/>
          <w:szCs w:val="28"/>
          <w:lang w:val="en-GB"/>
        </w:rPr>
        <w:t>mble to the Emergency Ordinance</w:t>
      </w:r>
      <w:r w:rsidRPr="00EE08C7">
        <w:rPr>
          <w:rFonts w:ascii="Times New Roman" w:eastAsia="Times New Roman" w:hAnsi="Times New Roman" w:cs="Times New Roman"/>
          <w:sz w:val="28"/>
          <w:szCs w:val="28"/>
          <w:lang w:val="en-GB"/>
        </w:rPr>
        <w:t xml:space="preserve"> the extraordinary situation of which </w:t>
      </w:r>
      <w:r w:rsidR="00A478F5" w:rsidRPr="00EE08C7">
        <w:rPr>
          <w:rFonts w:ascii="Times New Roman" w:eastAsia="Times New Roman" w:hAnsi="Times New Roman" w:cs="Times New Roman"/>
          <w:sz w:val="28"/>
          <w:szCs w:val="28"/>
          <w:lang w:val="en-GB"/>
        </w:rPr>
        <w:t xml:space="preserve">regulation </w:t>
      </w:r>
      <w:r w:rsidRPr="00EE08C7">
        <w:rPr>
          <w:rFonts w:ascii="Times New Roman" w:eastAsia="Times New Roman" w:hAnsi="Times New Roman" w:cs="Times New Roman"/>
          <w:sz w:val="28"/>
          <w:szCs w:val="28"/>
          <w:lang w:val="en-GB"/>
        </w:rPr>
        <w:t xml:space="preserve">could not be postponed is extensively presented. Thus, the Section for the </w:t>
      </w:r>
      <w:r w:rsidR="00A478F5" w:rsidRPr="00EE08C7">
        <w:rPr>
          <w:rFonts w:ascii="Times New Roman" w:eastAsia="Times New Roman" w:hAnsi="Times New Roman" w:cs="Times New Roman"/>
          <w:sz w:val="28"/>
          <w:szCs w:val="28"/>
          <w:lang w:val="en-GB"/>
        </w:rPr>
        <w:t>i</w:t>
      </w:r>
      <w:r w:rsidRPr="00EE08C7">
        <w:rPr>
          <w:rFonts w:ascii="Times New Roman" w:eastAsia="Times New Roman" w:hAnsi="Times New Roman" w:cs="Times New Roman"/>
          <w:sz w:val="28"/>
          <w:szCs w:val="28"/>
          <w:lang w:val="en-GB"/>
        </w:rPr>
        <w:t xml:space="preserve">nvestigation of </w:t>
      </w:r>
      <w:r w:rsidR="00A478F5" w:rsidRPr="00EE08C7">
        <w:rPr>
          <w:rFonts w:ascii="Times New Roman" w:eastAsia="Times New Roman" w:hAnsi="Times New Roman" w:cs="Times New Roman"/>
          <w:sz w:val="28"/>
          <w:szCs w:val="28"/>
          <w:lang w:val="en-GB"/>
        </w:rPr>
        <w:t>justice-related criminal offences began to operate</w:t>
      </w:r>
      <w:r w:rsidRPr="00EE08C7">
        <w:rPr>
          <w:rFonts w:ascii="Times New Roman" w:eastAsia="Times New Roman" w:hAnsi="Times New Roman" w:cs="Times New Roman"/>
          <w:sz w:val="28"/>
          <w:szCs w:val="28"/>
          <w:lang w:val="en-GB"/>
        </w:rPr>
        <w:t xml:space="preserve"> on 23 October 2018, or the Superior Council of the Magistracy had not completed the procedure of </w:t>
      </w:r>
      <w:r w:rsidR="00A478F5" w:rsidRPr="00EE08C7">
        <w:rPr>
          <w:rFonts w:ascii="Times New Roman" w:eastAsia="Times New Roman" w:hAnsi="Times New Roman" w:cs="Times New Roman"/>
          <w:sz w:val="28"/>
          <w:szCs w:val="28"/>
          <w:lang w:val="en-GB"/>
        </w:rPr>
        <w:t xml:space="preserve">making </w:t>
      </w:r>
      <w:r w:rsidRPr="00EE08C7">
        <w:rPr>
          <w:rFonts w:ascii="Times New Roman" w:eastAsia="Times New Roman" w:hAnsi="Times New Roman" w:cs="Times New Roman"/>
          <w:sz w:val="28"/>
          <w:szCs w:val="28"/>
          <w:lang w:val="en-GB"/>
        </w:rPr>
        <w:t xml:space="preserve">this new section </w:t>
      </w:r>
      <w:r w:rsidR="00A478F5" w:rsidRPr="00EE08C7">
        <w:rPr>
          <w:rFonts w:ascii="Times New Roman" w:eastAsia="Times New Roman" w:hAnsi="Times New Roman" w:cs="Times New Roman"/>
          <w:sz w:val="28"/>
          <w:szCs w:val="28"/>
          <w:lang w:val="en-GB"/>
        </w:rPr>
        <w:t xml:space="preserve">operational within </w:t>
      </w:r>
      <w:r w:rsidRPr="00EE08C7">
        <w:rPr>
          <w:rFonts w:ascii="Times New Roman" w:eastAsia="Times New Roman" w:hAnsi="Times New Roman" w:cs="Times New Roman"/>
          <w:sz w:val="28"/>
          <w:szCs w:val="28"/>
          <w:lang w:val="en-GB"/>
        </w:rPr>
        <w:t>the legal deadline, and so it was necessary to adopt urgent legislative measures to govern a simple procedure, derogating from Article</w:t>
      </w:r>
      <w:r w:rsidR="00A478F5"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 88</w:t>
      </w:r>
      <w:r w:rsidRPr="00EE08C7">
        <w:rPr>
          <w:rFonts w:ascii="Times New Roman" w:eastAsia="Times New Roman" w:hAnsi="Times New Roman" w:cs="Times New Roman"/>
          <w:sz w:val="28"/>
          <w:szCs w:val="28"/>
          <w:vertAlign w:val="superscript"/>
          <w:lang w:val="en-GB"/>
        </w:rPr>
        <w:t>3</w:t>
      </w:r>
      <w:r w:rsidRPr="00EE08C7">
        <w:rPr>
          <w:lang w:val="en-GB"/>
        </w:rPr>
        <w:t xml:space="preserve"> </w:t>
      </w:r>
      <w:r w:rsidR="00BF7E59" w:rsidRPr="00BF7E59">
        <w:rPr>
          <w:rFonts w:ascii="Times New Roman" w:eastAsia="Times New Roman" w:hAnsi="Times New Roman" w:cs="Times New Roman"/>
          <w:sz w:val="28"/>
          <w:szCs w:val="28"/>
          <w:lang w:val="en-GB"/>
        </w:rPr>
        <w:t>to</w:t>
      </w:r>
      <w:r w:rsidR="00A478F5" w:rsidRPr="00EE08C7">
        <w:rPr>
          <w:lang w:val="en-GB"/>
        </w:rPr>
        <w:t xml:space="preserve"> </w:t>
      </w:r>
      <w:r w:rsidRPr="00EE08C7">
        <w:rPr>
          <w:rFonts w:ascii="Times New Roman" w:eastAsia="Times New Roman" w:hAnsi="Times New Roman" w:cs="Times New Roman"/>
          <w:sz w:val="28"/>
          <w:szCs w:val="28"/>
          <w:lang w:val="en-GB"/>
        </w:rPr>
        <w:t>88</w:t>
      </w:r>
      <w:r w:rsidRPr="00EE08C7">
        <w:rPr>
          <w:rFonts w:ascii="Times New Roman" w:eastAsia="Times New Roman" w:hAnsi="Times New Roman" w:cs="Times New Roman"/>
          <w:sz w:val="28"/>
          <w:szCs w:val="28"/>
          <w:vertAlign w:val="superscript"/>
          <w:lang w:val="en-GB"/>
        </w:rPr>
        <w:t>5</w:t>
      </w:r>
      <w:r w:rsidRPr="00EE08C7">
        <w:rPr>
          <w:rFonts w:ascii="Times New Roman" w:eastAsia="Times New Roman" w:hAnsi="Times New Roman" w:cs="Times New Roman"/>
          <w:sz w:val="28"/>
          <w:szCs w:val="28"/>
          <w:lang w:val="en-GB"/>
        </w:rPr>
        <w:t xml:space="preserve">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304/2004, republished, as </w:t>
      </w:r>
      <w:r w:rsidR="00A478F5" w:rsidRPr="00EE08C7">
        <w:rPr>
          <w:rFonts w:ascii="Times New Roman" w:eastAsia="Times New Roman" w:hAnsi="Times New Roman" w:cs="Times New Roman"/>
          <w:sz w:val="28"/>
          <w:szCs w:val="28"/>
          <w:lang w:val="en-GB"/>
        </w:rPr>
        <w:t xml:space="preserve">subsequently </w:t>
      </w:r>
      <w:r w:rsidRPr="00EE08C7">
        <w:rPr>
          <w:rFonts w:ascii="Times New Roman" w:eastAsia="Times New Roman" w:hAnsi="Times New Roman" w:cs="Times New Roman"/>
          <w:sz w:val="28"/>
          <w:szCs w:val="28"/>
          <w:lang w:val="en-GB"/>
        </w:rPr>
        <w:t>amended</w:t>
      </w:r>
      <w:r w:rsidR="00A478F5" w:rsidRPr="00EE08C7">
        <w:rPr>
          <w:rFonts w:ascii="Times New Roman" w:eastAsia="Times New Roman" w:hAnsi="Times New Roman" w:cs="Times New Roman"/>
          <w:sz w:val="28"/>
          <w:szCs w:val="28"/>
          <w:lang w:val="en-GB"/>
        </w:rPr>
        <w:t xml:space="preserve"> and completed</w:t>
      </w:r>
      <w:r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With regard to the criticism </w:t>
      </w:r>
      <w:r w:rsidR="002C1840" w:rsidRPr="00EE08C7">
        <w:rPr>
          <w:rFonts w:ascii="Times New Roman" w:eastAsia="Times New Roman" w:hAnsi="Times New Roman" w:cs="Times New Roman"/>
          <w:sz w:val="28"/>
          <w:szCs w:val="28"/>
          <w:lang w:val="en-GB"/>
        </w:rPr>
        <w:t xml:space="preserve">concerning the breach of </w:t>
      </w:r>
      <w:r w:rsidRPr="00EE08C7">
        <w:rPr>
          <w:rFonts w:ascii="Times New Roman" w:eastAsia="Times New Roman" w:hAnsi="Times New Roman" w:cs="Times New Roman"/>
          <w:sz w:val="28"/>
          <w:szCs w:val="28"/>
          <w:lang w:val="en-GB"/>
        </w:rPr>
        <w:t>Article 115 (6) of the Constitution</w:t>
      </w:r>
      <w:r w:rsidR="002C1840" w:rsidRPr="00EE08C7">
        <w:rPr>
          <w:rFonts w:ascii="Times New Roman" w:eastAsia="Times New Roman" w:hAnsi="Times New Roman" w:cs="Times New Roman"/>
          <w:sz w:val="28"/>
          <w:szCs w:val="28"/>
          <w:lang w:val="en-GB"/>
        </w:rPr>
        <w:t xml:space="preserve">, according to which </w:t>
      </w:r>
      <w:r w:rsidRPr="00EE08C7">
        <w:rPr>
          <w:rFonts w:ascii="Times New Roman" w:eastAsia="Times New Roman" w:hAnsi="Times New Roman" w:cs="Times New Roman"/>
          <w:sz w:val="28"/>
          <w:szCs w:val="28"/>
          <w:lang w:val="en-GB"/>
        </w:rPr>
        <w:t xml:space="preserve">the use of this form of regulation constitutes an interference not allowed within the legislative competence of the Parliament, the </w:t>
      </w:r>
      <w:r w:rsidRPr="00EE08C7">
        <w:rPr>
          <w:rFonts w:ascii="Times New Roman" w:eastAsia="Times New Roman" w:hAnsi="Times New Roman" w:cs="Times New Roman"/>
          <w:sz w:val="28"/>
          <w:szCs w:val="28"/>
          <w:lang w:val="en-GB"/>
        </w:rPr>
        <w:lastRenderedPageBreak/>
        <w:t xml:space="preserve">President of the Chamber of Deputies is of the opinion that the failure to adopt measures for the </w:t>
      </w:r>
      <w:r w:rsidR="002C1840" w:rsidRPr="00EE08C7">
        <w:rPr>
          <w:rFonts w:ascii="Times New Roman" w:eastAsia="Times New Roman" w:hAnsi="Times New Roman" w:cs="Times New Roman"/>
          <w:sz w:val="28"/>
          <w:szCs w:val="28"/>
          <w:lang w:val="en-GB"/>
        </w:rPr>
        <w:t xml:space="preserve">making </w:t>
      </w:r>
      <w:r w:rsidRPr="00EE08C7">
        <w:rPr>
          <w:rFonts w:ascii="Times New Roman" w:eastAsia="Times New Roman" w:hAnsi="Times New Roman" w:cs="Times New Roman"/>
          <w:sz w:val="28"/>
          <w:szCs w:val="28"/>
          <w:lang w:val="en-GB"/>
        </w:rPr>
        <w:t xml:space="preserve">the newly established section </w:t>
      </w:r>
      <w:r w:rsidR="002C1840" w:rsidRPr="00EE08C7">
        <w:rPr>
          <w:rFonts w:ascii="Times New Roman" w:eastAsia="Times New Roman" w:hAnsi="Times New Roman" w:cs="Times New Roman"/>
          <w:sz w:val="28"/>
          <w:szCs w:val="28"/>
          <w:lang w:val="en-GB"/>
        </w:rPr>
        <w:t xml:space="preserve">operational </w:t>
      </w:r>
      <w:r w:rsidRPr="00EE08C7">
        <w:rPr>
          <w:rFonts w:ascii="Times New Roman" w:eastAsia="Times New Roman" w:hAnsi="Times New Roman" w:cs="Times New Roman"/>
          <w:sz w:val="28"/>
          <w:szCs w:val="28"/>
          <w:lang w:val="en-GB"/>
        </w:rPr>
        <w:t xml:space="preserve">would have seriously affected </w:t>
      </w:r>
      <w:r w:rsidR="0064025F" w:rsidRPr="00EE08C7">
        <w:rPr>
          <w:rFonts w:ascii="Times New Roman" w:eastAsia="Times New Roman" w:hAnsi="Times New Roman" w:cs="Times New Roman"/>
          <w:sz w:val="28"/>
          <w:szCs w:val="28"/>
          <w:lang w:val="en-GB"/>
        </w:rPr>
        <w:t xml:space="preserve">the judicial procedures </w:t>
      </w:r>
      <w:r w:rsidRPr="00EE08C7">
        <w:rPr>
          <w:rFonts w:ascii="Times New Roman" w:eastAsia="Times New Roman" w:hAnsi="Times New Roman" w:cs="Times New Roman"/>
          <w:sz w:val="28"/>
          <w:szCs w:val="28"/>
          <w:lang w:val="en-GB"/>
        </w:rPr>
        <w:t xml:space="preserve">in the cases of the </w:t>
      </w:r>
      <w:r w:rsidR="0064025F" w:rsidRPr="00EE08C7">
        <w:rPr>
          <w:rFonts w:ascii="Times New Roman" w:eastAsia="Times New Roman" w:hAnsi="Times New Roman" w:cs="Times New Roman"/>
          <w:sz w:val="28"/>
          <w:szCs w:val="28"/>
          <w:lang w:val="en-GB"/>
        </w:rPr>
        <w:t>section</w:t>
      </w:r>
      <w:r w:rsidRPr="00EE08C7">
        <w:rPr>
          <w:rFonts w:ascii="Times New Roman" w:eastAsia="Times New Roman" w:hAnsi="Times New Roman" w:cs="Times New Roman"/>
          <w:sz w:val="28"/>
          <w:szCs w:val="28"/>
          <w:lang w:val="en-GB"/>
        </w:rPr>
        <w:t xml:space="preserve">’s competence, and thus an institutional </w:t>
      </w:r>
      <w:r w:rsidR="0064025F" w:rsidRPr="00EE08C7">
        <w:rPr>
          <w:rFonts w:ascii="Times New Roman" w:eastAsia="Times New Roman" w:hAnsi="Times New Roman" w:cs="Times New Roman"/>
          <w:sz w:val="28"/>
          <w:szCs w:val="28"/>
          <w:lang w:val="en-GB"/>
        </w:rPr>
        <w:t xml:space="preserve">blockage </w:t>
      </w:r>
      <w:r w:rsidRPr="00EE08C7">
        <w:rPr>
          <w:rFonts w:ascii="Times New Roman" w:eastAsia="Times New Roman" w:hAnsi="Times New Roman" w:cs="Times New Roman"/>
          <w:sz w:val="28"/>
          <w:szCs w:val="28"/>
          <w:lang w:val="en-GB"/>
        </w:rPr>
        <w:t xml:space="preserve">would have </w:t>
      </w:r>
      <w:r w:rsidR="0064025F" w:rsidRPr="00EE08C7">
        <w:rPr>
          <w:rFonts w:ascii="Times New Roman" w:eastAsia="Times New Roman" w:hAnsi="Times New Roman" w:cs="Times New Roman"/>
          <w:sz w:val="28"/>
          <w:szCs w:val="28"/>
          <w:lang w:val="en-GB"/>
        </w:rPr>
        <w:t xml:space="preserve">been </w:t>
      </w:r>
      <w:r w:rsidRPr="00EE08C7">
        <w:rPr>
          <w:rFonts w:ascii="Times New Roman" w:eastAsia="Times New Roman" w:hAnsi="Times New Roman" w:cs="Times New Roman"/>
          <w:sz w:val="28"/>
          <w:szCs w:val="28"/>
          <w:lang w:val="en-GB"/>
        </w:rPr>
        <w:t xml:space="preserve">created. Moreover, an analysis of the report of the </w:t>
      </w:r>
      <w:r w:rsidR="005D7953" w:rsidRPr="00EE08C7">
        <w:rPr>
          <w:rFonts w:ascii="Times New Roman" w:eastAsia="Times New Roman" w:hAnsi="Times New Roman" w:cs="Times New Roman"/>
          <w:sz w:val="28"/>
          <w:szCs w:val="28"/>
          <w:lang w:val="en-GB"/>
        </w:rPr>
        <w:t xml:space="preserve">Special Join </w:t>
      </w:r>
      <w:r w:rsidRPr="00EE08C7">
        <w:rPr>
          <w:rFonts w:ascii="Times New Roman" w:eastAsia="Times New Roman" w:hAnsi="Times New Roman" w:cs="Times New Roman"/>
          <w:sz w:val="28"/>
          <w:szCs w:val="28"/>
          <w:lang w:val="en-GB"/>
        </w:rPr>
        <w:t xml:space="preserve">Committee of the Chamber of Deputies and of the Senate for the systematisation, unification and </w:t>
      </w:r>
      <w:r w:rsidR="005D7953" w:rsidRPr="00EE08C7">
        <w:rPr>
          <w:rFonts w:ascii="Times New Roman" w:eastAsia="Times New Roman" w:hAnsi="Times New Roman" w:cs="Times New Roman"/>
          <w:sz w:val="28"/>
          <w:szCs w:val="28"/>
          <w:lang w:val="en-GB"/>
        </w:rPr>
        <w:t xml:space="preserve">legislative </w:t>
      </w:r>
      <w:r w:rsidRPr="00EE08C7">
        <w:rPr>
          <w:rFonts w:ascii="Times New Roman" w:eastAsia="Times New Roman" w:hAnsi="Times New Roman" w:cs="Times New Roman"/>
          <w:sz w:val="28"/>
          <w:szCs w:val="28"/>
          <w:lang w:val="en-GB"/>
        </w:rPr>
        <w:t xml:space="preserve">stability in the area of justice found that none of the authors of the </w:t>
      </w:r>
      <w:r w:rsidR="005D7953" w:rsidRPr="00EE08C7">
        <w:rPr>
          <w:rFonts w:ascii="Times New Roman" w:eastAsia="Times New Roman" w:hAnsi="Times New Roman" w:cs="Times New Roman"/>
          <w:sz w:val="28"/>
          <w:szCs w:val="28"/>
          <w:lang w:val="en-GB"/>
        </w:rPr>
        <w:t xml:space="preserve">referral </w:t>
      </w:r>
      <w:r w:rsidRPr="00EE08C7">
        <w:rPr>
          <w:rFonts w:ascii="Times New Roman" w:eastAsia="Times New Roman" w:hAnsi="Times New Roman" w:cs="Times New Roman"/>
          <w:sz w:val="28"/>
          <w:szCs w:val="28"/>
          <w:lang w:val="en-GB"/>
        </w:rPr>
        <w:t xml:space="preserve">of unconstitutionality </w:t>
      </w:r>
      <w:r w:rsidR="005D7953" w:rsidRPr="00EE08C7">
        <w:rPr>
          <w:rFonts w:ascii="Times New Roman" w:eastAsia="Times New Roman" w:hAnsi="Times New Roman" w:cs="Times New Roman"/>
          <w:sz w:val="28"/>
          <w:szCs w:val="28"/>
          <w:lang w:val="en-GB"/>
        </w:rPr>
        <w:t>lodged</w:t>
      </w:r>
      <w:r w:rsidRPr="00EE08C7">
        <w:rPr>
          <w:rFonts w:ascii="Times New Roman" w:eastAsia="Times New Roman" w:hAnsi="Times New Roman" w:cs="Times New Roman"/>
          <w:sz w:val="28"/>
          <w:szCs w:val="28"/>
          <w:lang w:val="en-GB"/>
        </w:rPr>
        <w:t xml:space="preserve"> any amendments, on any aspect of legality or constitutionality, to justify a solution to the rejection of the Emergency Ord</w:t>
      </w:r>
      <w:r w:rsidR="005D7953"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xml:space="preserve"> by Parliament.</w:t>
      </w:r>
    </w:p>
    <w:p w:rsidR="0021723C" w:rsidRPr="00EE08C7" w:rsidRDefault="0021723C">
      <w:pPr>
        <w:pStyle w:val="ListParagraph"/>
        <w:numPr>
          <w:ilvl w:val="0"/>
          <w:numId w:val="2"/>
        </w:numPr>
        <w:autoSpaceDE w:val="0"/>
        <w:spacing w:after="0" w:line="360" w:lineRule="auto"/>
        <w:ind w:left="0" w:firstLine="708"/>
        <w:jc w:val="both"/>
        <w:rPr>
          <w:rFonts w:ascii="Times New Roman" w:hAnsi="Times New Roman" w:cs="Times New Roman"/>
          <w:sz w:val="28"/>
          <w:szCs w:val="28"/>
          <w:lang w:val="en-GB"/>
        </w:rPr>
      </w:pPr>
      <w:r w:rsidRPr="00EE08C7">
        <w:rPr>
          <w:rFonts w:ascii="Times New Roman" w:hAnsi="Times New Roman" w:cs="Times New Roman"/>
          <w:sz w:val="28"/>
          <w:szCs w:val="28"/>
          <w:lang w:val="en-GB"/>
        </w:rPr>
        <w:t>With</w:t>
      </w:r>
      <w:r w:rsidRPr="00EE08C7">
        <w:rPr>
          <w:rFonts w:ascii="Times New Roman" w:eastAsia="Times New Roman" w:hAnsi="Times New Roman" w:cs="Times New Roman"/>
          <w:sz w:val="28"/>
          <w:szCs w:val="28"/>
          <w:lang w:val="en-GB"/>
        </w:rPr>
        <w:t xml:space="preserve"> regard to the </w:t>
      </w:r>
      <w:r w:rsidR="005D7953" w:rsidRPr="00EE08C7">
        <w:rPr>
          <w:rFonts w:ascii="Times New Roman" w:eastAsia="Times New Roman" w:hAnsi="Times New Roman" w:cs="Times New Roman"/>
          <w:sz w:val="28"/>
          <w:szCs w:val="28"/>
          <w:lang w:val="en-GB"/>
        </w:rPr>
        <w:t>breach</w:t>
      </w:r>
      <w:r w:rsidRPr="00EE08C7">
        <w:rPr>
          <w:rFonts w:ascii="Times New Roman" w:eastAsia="Times New Roman" w:hAnsi="Times New Roman" w:cs="Times New Roman"/>
          <w:sz w:val="28"/>
          <w:szCs w:val="28"/>
          <w:lang w:val="en-GB"/>
        </w:rPr>
        <w:t xml:space="preserve"> of Article 148 (2) and (4) of the Constitution, it is noted that </w:t>
      </w:r>
      <w:r w:rsidR="005D7953"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the European legislation on the subject is, contrary to national law, more lenient or milder</w:t>
      </w:r>
      <w:r w:rsidR="005D7953" w:rsidRPr="00EE08C7">
        <w:rPr>
          <w:rFonts w:ascii="Times New Roman" w:eastAsia="Times New Roman" w:hAnsi="Times New Roman" w:cs="Times New Roman"/>
          <w:sz w:val="28"/>
          <w:szCs w:val="28"/>
          <w:lang w:val="en-GB"/>
        </w:rPr>
        <w:t>, it</w:t>
      </w:r>
      <w:r w:rsidRPr="00EE08C7">
        <w:rPr>
          <w:rFonts w:ascii="Times New Roman" w:eastAsia="Times New Roman" w:hAnsi="Times New Roman" w:cs="Times New Roman"/>
          <w:sz w:val="28"/>
          <w:szCs w:val="28"/>
          <w:lang w:val="en-GB"/>
        </w:rPr>
        <w:t xml:space="preserve"> does not</w:t>
      </w:r>
      <w:r w:rsidRPr="00EE08C7">
        <w:rPr>
          <w:rFonts w:ascii="Times New Roman" w:eastAsia="Times New Roman" w:hAnsi="Times New Roman" w:cs="Times New Roman"/>
          <w:i/>
          <w:sz w:val="28"/>
          <w:szCs w:val="28"/>
          <w:lang w:val="en-GB"/>
        </w:rPr>
        <w:t xml:space="preserve"> ipso facto </w:t>
      </w:r>
      <w:r w:rsidR="005D7953" w:rsidRPr="00EE08C7">
        <w:rPr>
          <w:rFonts w:ascii="Times New Roman" w:eastAsia="Times New Roman" w:hAnsi="Times New Roman" w:cs="Times New Roman"/>
          <w:sz w:val="28"/>
          <w:szCs w:val="28"/>
          <w:lang w:val="en-GB"/>
        </w:rPr>
        <w:t>attract</w:t>
      </w:r>
      <w:r w:rsidR="005D7953" w:rsidRPr="00EE08C7">
        <w:rPr>
          <w:rFonts w:ascii="Times New Roman" w:eastAsia="Times New Roman" w:hAnsi="Times New Roman" w:cs="Times New Roman"/>
          <w:i/>
          <w:sz w:val="28"/>
          <w:szCs w:val="28"/>
          <w:lang w:val="en-GB"/>
        </w:rPr>
        <w:t xml:space="preserve"> </w:t>
      </w:r>
      <w:r w:rsidRPr="00EE08C7">
        <w:rPr>
          <w:rFonts w:ascii="Times New Roman" w:hAnsi="Times New Roman" w:cs="Times New Roman"/>
          <w:sz w:val="28"/>
          <w:szCs w:val="28"/>
          <w:lang w:val="en-GB"/>
        </w:rPr>
        <w:t>the</w:t>
      </w:r>
      <w:r w:rsidRPr="00EE08C7">
        <w:rPr>
          <w:rFonts w:ascii="Times New Roman" w:eastAsia="Times New Roman" w:hAnsi="Times New Roman" w:cs="Times New Roman"/>
          <w:sz w:val="28"/>
          <w:szCs w:val="28"/>
          <w:lang w:val="en-GB"/>
        </w:rPr>
        <w:t xml:space="preserve"> </w:t>
      </w:r>
      <w:r w:rsidR="005D7953" w:rsidRPr="00EE08C7">
        <w:rPr>
          <w:rFonts w:ascii="Times New Roman" w:eastAsia="Times New Roman" w:hAnsi="Times New Roman" w:cs="Times New Roman"/>
          <w:sz w:val="28"/>
          <w:szCs w:val="28"/>
          <w:lang w:val="en-GB"/>
        </w:rPr>
        <w:t xml:space="preserve">unconstitutionality of the </w:t>
      </w:r>
      <w:r w:rsidRPr="00EE08C7">
        <w:rPr>
          <w:rFonts w:ascii="Times New Roman" w:eastAsia="Times New Roman" w:hAnsi="Times New Roman" w:cs="Times New Roman"/>
          <w:sz w:val="28"/>
          <w:szCs w:val="28"/>
          <w:lang w:val="en-GB"/>
        </w:rPr>
        <w:t xml:space="preserve">national legal provision, </w:t>
      </w:r>
      <w:r w:rsidR="005D7953" w:rsidRPr="00EE08C7">
        <w:rPr>
          <w:rFonts w:ascii="Times New Roman" w:eastAsia="Times New Roman" w:hAnsi="Times New Roman" w:cs="Times New Roman"/>
          <w:sz w:val="28"/>
          <w:szCs w:val="28"/>
          <w:lang w:val="en-GB"/>
        </w:rPr>
        <w:t xml:space="preserve">for </w:t>
      </w:r>
      <w:r w:rsidRPr="00EE08C7">
        <w:rPr>
          <w:rFonts w:ascii="Times New Roman" w:eastAsia="Times New Roman" w:hAnsi="Times New Roman" w:cs="Times New Roman"/>
          <w:sz w:val="28"/>
          <w:szCs w:val="28"/>
          <w:lang w:val="en-GB"/>
        </w:rPr>
        <w:t xml:space="preserve">which </w:t>
      </w:r>
      <w:r w:rsidR="005D7953" w:rsidRPr="00EE08C7">
        <w:rPr>
          <w:rFonts w:ascii="Times New Roman" w:eastAsia="Times New Roman" w:hAnsi="Times New Roman" w:cs="Times New Roman"/>
          <w:sz w:val="28"/>
          <w:szCs w:val="28"/>
          <w:lang w:val="en-GB"/>
        </w:rPr>
        <w:t xml:space="preserve">reason </w:t>
      </w:r>
      <w:r w:rsidRPr="00EE08C7">
        <w:rPr>
          <w:rFonts w:ascii="Times New Roman" w:eastAsia="Times New Roman" w:hAnsi="Times New Roman" w:cs="Times New Roman"/>
          <w:sz w:val="28"/>
          <w:szCs w:val="28"/>
          <w:lang w:val="en-GB"/>
        </w:rPr>
        <w:t xml:space="preserve">only a judge of common law, as national judge </w:t>
      </w:r>
      <w:r w:rsidRPr="00EE08C7">
        <w:rPr>
          <w:rFonts w:ascii="Times New Roman" w:hAnsi="Times New Roman" w:cs="Times New Roman"/>
          <w:sz w:val="28"/>
          <w:szCs w:val="28"/>
          <w:lang w:val="en-GB"/>
        </w:rPr>
        <w:t xml:space="preserve">of </w:t>
      </w:r>
      <w:r w:rsidR="005D7953" w:rsidRPr="00EE08C7">
        <w:rPr>
          <w:rFonts w:ascii="Times New Roman" w:hAnsi="Times New Roman" w:cs="Times New Roman"/>
          <w:sz w:val="28"/>
          <w:szCs w:val="28"/>
          <w:lang w:val="en-GB"/>
        </w:rPr>
        <w:t xml:space="preserve">the </w:t>
      </w:r>
      <w:r w:rsidRPr="00EE08C7">
        <w:rPr>
          <w:rFonts w:ascii="Times New Roman" w:hAnsi="Times New Roman" w:cs="Times New Roman"/>
          <w:sz w:val="28"/>
          <w:szCs w:val="28"/>
          <w:lang w:val="en-GB"/>
        </w:rPr>
        <w:t xml:space="preserve">European law, may, in accordance with Article 267 of the </w:t>
      </w:r>
      <w:r w:rsidR="005D7953" w:rsidRPr="00EE08C7">
        <w:rPr>
          <w:rFonts w:ascii="Times New Roman" w:hAnsi="Times New Roman" w:cs="Times New Roman"/>
          <w:sz w:val="28"/>
          <w:szCs w:val="28"/>
          <w:lang w:val="en-GB"/>
        </w:rPr>
        <w:t xml:space="preserve">EU </w:t>
      </w:r>
      <w:r w:rsidRPr="00EE08C7">
        <w:rPr>
          <w:rFonts w:ascii="Times New Roman" w:hAnsi="Times New Roman" w:cs="Times New Roman"/>
          <w:sz w:val="28"/>
          <w:szCs w:val="28"/>
          <w:lang w:val="en-GB"/>
        </w:rPr>
        <w:t xml:space="preserve">Treaty, exercise its powers within the same European legal order, </w:t>
      </w:r>
      <w:r w:rsidR="007A27C9" w:rsidRPr="00EE08C7">
        <w:rPr>
          <w:rFonts w:ascii="Times New Roman" w:hAnsi="Times New Roman" w:cs="Times New Roman"/>
          <w:sz w:val="28"/>
          <w:szCs w:val="28"/>
          <w:lang w:val="en-GB"/>
        </w:rPr>
        <w:t>for</w:t>
      </w:r>
      <w:r w:rsidRPr="00EE08C7">
        <w:rPr>
          <w:rFonts w:ascii="Times New Roman" w:hAnsi="Times New Roman" w:cs="Times New Roman"/>
          <w:sz w:val="28"/>
          <w:szCs w:val="28"/>
          <w:lang w:val="en-GB"/>
        </w:rPr>
        <w:t xml:space="preserve"> which </w:t>
      </w:r>
      <w:r w:rsidR="007A27C9" w:rsidRPr="00EE08C7">
        <w:rPr>
          <w:rFonts w:ascii="Times New Roman" w:hAnsi="Times New Roman" w:cs="Times New Roman"/>
          <w:sz w:val="28"/>
          <w:szCs w:val="28"/>
          <w:lang w:val="en-GB"/>
        </w:rPr>
        <w:t xml:space="preserve">purpose </w:t>
      </w:r>
      <w:r w:rsidRPr="00EE08C7">
        <w:rPr>
          <w:rFonts w:ascii="Times New Roman" w:hAnsi="Times New Roman" w:cs="Times New Roman"/>
          <w:sz w:val="28"/>
          <w:szCs w:val="28"/>
          <w:lang w:val="en-GB"/>
        </w:rPr>
        <w:t>the constitutional judge does not have such jurisdiction</w:t>
      </w:r>
      <w:r w:rsidR="007A27C9"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w:t>
      </w:r>
    </w:p>
    <w:p w:rsidR="0021723C" w:rsidRPr="00EE08C7" w:rsidRDefault="007A27C9">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In terms of criticisms of intrinsic unconstitutionality, t</w:t>
      </w:r>
      <w:r w:rsidR="0021723C" w:rsidRPr="00EE08C7">
        <w:rPr>
          <w:rFonts w:ascii="Times New Roman" w:eastAsia="Times New Roman" w:hAnsi="Times New Roman" w:cs="Times New Roman"/>
          <w:sz w:val="28"/>
          <w:szCs w:val="28"/>
          <w:lang w:val="en-GB"/>
        </w:rPr>
        <w:t>he President of the Chamber of Deputies considers that the Law approving Government Emergency Ord</w:t>
      </w:r>
      <w:r w:rsidRPr="00EE08C7">
        <w:rPr>
          <w:rFonts w:ascii="Times New Roman" w:eastAsia="Times New Roman" w:hAnsi="Times New Roman" w:cs="Times New Roman"/>
          <w:sz w:val="28"/>
          <w:szCs w:val="28"/>
          <w:lang w:val="en-GB"/>
        </w:rPr>
        <w:t>inance</w:t>
      </w:r>
      <w:r w:rsidR="0021723C"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w:t>
      </w:r>
      <w:r w:rsidR="0021723C" w:rsidRPr="00EE08C7">
        <w:rPr>
          <w:rFonts w:ascii="Times New Roman" w:eastAsia="Times New Roman" w:hAnsi="Times New Roman" w:cs="Times New Roman"/>
          <w:sz w:val="28"/>
          <w:szCs w:val="28"/>
          <w:lang w:val="en-GB"/>
        </w:rPr>
        <w:t xml:space="preserve">90/2018 </w:t>
      </w:r>
      <w:r w:rsidRPr="00EE08C7">
        <w:rPr>
          <w:rFonts w:ascii="Times New Roman" w:eastAsia="Times New Roman" w:hAnsi="Times New Roman" w:cs="Times New Roman"/>
          <w:bCs/>
          <w:sz w:val="28"/>
          <w:szCs w:val="28"/>
          <w:lang w:val="en-GB"/>
        </w:rPr>
        <w:t>concerning certain measures aimed at making the Section for the investigation of justice-related criminal offences operational</w:t>
      </w:r>
      <w:r w:rsidR="00893DFC" w:rsidRPr="00EE08C7">
        <w:rPr>
          <w:rFonts w:ascii="Times New Roman" w:eastAsia="Times New Roman" w:hAnsi="Times New Roman" w:cs="Times New Roman"/>
          <w:sz w:val="28"/>
          <w:szCs w:val="28"/>
          <w:lang w:val="en-GB"/>
        </w:rPr>
        <w:t xml:space="preserve"> complies</w:t>
      </w:r>
      <w:r w:rsidR="0021723C" w:rsidRPr="00EE08C7">
        <w:rPr>
          <w:rFonts w:ascii="Times New Roman" w:eastAsia="Times New Roman" w:hAnsi="Times New Roman" w:cs="Times New Roman"/>
          <w:sz w:val="28"/>
          <w:szCs w:val="28"/>
          <w:lang w:val="en-GB"/>
        </w:rPr>
        <w:t xml:space="preserve"> with the constitutional requirements on the clarity, precision and predictability of the legal rules, which were assigned to ensure the systematisation, unification and coordination of the </w:t>
      </w:r>
      <w:r w:rsidR="00893DFC" w:rsidRPr="00EE08C7">
        <w:rPr>
          <w:rFonts w:ascii="Times New Roman" w:eastAsia="Times New Roman" w:hAnsi="Times New Roman" w:cs="Times New Roman"/>
          <w:sz w:val="28"/>
          <w:szCs w:val="28"/>
          <w:lang w:val="en-GB"/>
        </w:rPr>
        <w:t>legislation</w:t>
      </w:r>
      <w:r w:rsidR="0021723C" w:rsidRPr="00EE08C7">
        <w:rPr>
          <w:rFonts w:ascii="Times New Roman" w:eastAsia="Times New Roman" w:hAnsi="Times New Roman" w:cs="Times New Roman"/>
          <w:sz w:val="28"/>
          <w:szCs w:val="28"/>
          <w:lang w:val="en-GB"/>
        </w:rPr>
        <w:t xml:space="preserve">, as laid down in Article 1 (4) and (5) of the Constitution, which enshrines the principle of the separation and balance of powers in the State and that of </w:t>
      </w:r>
      <w:r w:rsidR="00893DFC" w:rsidRPr="00EE08C7">
        <w:rPr>
          <w:rFonts w:ascii="Times New Roman" w:eastAsia="Times New Roman" w:hAnsi="Times New Roman" w:cs="Times New Roman"/>
          <w:sz w:val="28"/>
          <w:szCs w:val="28"/>
          <w:lang w:val="en-GB"/>
        </w:rPr>
        <w:t xml:space="preserve">the </w:t>
      </w:r>
      <w:r w:rsidR="0021723C" w:rsidRPr="00EE08C7">
        <w:rPr>
          <w:rFonts w:ascii="Times New Roman" w:eastAsia="Times New Roman" w:hAnsi="Times New Roman" w:cs="Times New Roman"/>
          <w:sz w:val="28"/>
          <w:szCs w:val="28"/>
          <w:lang w:val="en-GB"/>
        </w:rPr>
        <w:t>compulsory compliance with the laws.</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The law </w:t>
      </w:r>
      <w:r w:rsidR="00893DFC" w:rsidRPr="00EE08C7">
        <w:rPr>
          <w:rFonts w:ascii="Times New Roman" w:eastAsia="Times New Roman" w:hAnsi="Times New Roman" w:cs="Times New Roman"/>
          <w:sz w:val="28"/>
          <w:szCs w:val="28"/>
          <w:lang w:val="en-GB"/>
        </w:rPr>
        <w:t xml:space="preserve">subject to the </w:t>
      </w:r>
      <w:r w:rsidRPr="00EE08C7">
        <w:rPr>
          <w:rFonts w:ascii="Times New Roman" w:eastAsia="Times New Roman" w:hAnsi="Times New Roman" w:cs="Times New Roman"/>
          <w:sz w:val="28"/>
          <w:szCs w:val="28"/>
          <w:lang w:val="en-GB"/>
        </w:rPr>
        <w:t xml:space="preserve">constitutionality </w:t>
      </w:r>
      <w:r w:rsidR="00893DFC" w:rsidRPr="00EE08C7">
        <w:rPr>
          <w:rFonts w:ascii="Times New Roman" w:eastAsia="Times New Roman" w:hAnsi="Times New Roman" w:cs="Times New Roman"/>
          <w:sz w:val="28"/>
          <w:szCs w:val="28"/>
          <w:lang w:val="en-GB"/>
        </w:rPr>
        <w:t xml:space="preserve">review </w:t>
      </w:r>
      <w:r w:rsidRPr="00EE08C7">
        <w:rPr>
          <w:rFonts w:ascii="Times New Roman" w:eastAsia="Times New Roman" w:hAnsi="Times New Roman" w:cs="Times New Roman"/>
          <w:sz w:val="28"/>
          <w:szCs w:val="28"/>
          <w:lang w:val="en-GB"/>
        </w:rPr>
        <w:t xml:space="preserve">addresses these requirements on the clarity, precision and predictability of legal rules. It is clear </w:t>
      </w:r>
      <w:r w:rsidR="00893DFC" w:rsidRPr="00EE08C7">
        <w:rPr>
          <w:rFonts w:ascii="Times New Roman" w:eastAsia="Times New Roman" w:hAnsi="Times New Roman" w:cs="Times New Roman"/>
          <w:sz w:val="28"/>
          <w:szCs w:val="28"/>
          <w:lang w:val="en-GB"/>
        </w:rPr>
        <w:t>as</w:t>
      </w:r>
      <w:r w:rsidRPr="00EE08C7">
        <w:rPr>
          <w:rFonts w:ascii="Times New Roman" w:eastAsia="Times New Roman" w:hAnsi="Times New Roman" w:cs="Times New Roman"/>
          <w:sz w:val="28"/>
          <w:szCs w:val="28"/>
          <w:lang w:val="en-GB"/>
        </w:rPr>
        <w:t xml:space="preserve"> </w:t>
      </w:r>
      <w:r w:rsidR="00893DFC" w:rsidRPr="00EE08C7">
        <w:rPr>
          <w:rFonts w:ascii="Times New Roman" w:eastAsia="Times New Roman" w:hAnsi="Times New Roman" w:cs="Times New Roman"/>
          <w:sz w:val="28"/>
          <w:szCs w:val="28"/>
          <w:lang w:val="en-GB"/>
        </w:rPr>
        <w:t xml:space="preserve">its content does not include </w:t>
      </w:r>
      <w:r w:rsidRPr="00EE08C7">
        <w:rPr>
          <w:rFonts w:ascii="Times New Roman" w:eastAsia="Times New Roman" w:hAnsi="Times New Roman" w:cs="Times New Roman"/>
          <w:sz w:val="28"/>
          <w:szCs w:val="28"/>
          <w:lang w:val="en-GB"/>
        </w:rPr>
        <w:t>obscure passages or conflicting normative solutions</w:t>
      </w:r>
      <w:r w:rsidR="00893DFC"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893DFC" w:rsidRPr="00EE08C7">
        <w:rPr>
          <w:rFonts w:ascii="Times New Roman" w:eastAsia="Times New Roman" w:hAnsi="Times New Roman" w:cs="Times New Roman"/>
          <w:sz w:val="28"/>
          <w:szCs w:val="28"/>
          <w:lang w:val="en-GB"/>
        </w:rPr>
        <w:t xml:space="preserve">it is </w:t>
      </w:r>
      <w:r w:rsidR="00893DFC" w:rsidRPr="00EE08C7">
        <w:rPr>
          <w:rFonts w:ascii="Times New Roman" w:eastAsia="Times New Roman" w:hAnsi="Times New Roman" w:cs="Times New Roman"/>
          <w:sz w:val="28"/>
          <w:szCs w:val="28"/>
          <w:lang w:val="en-GB"/>
        </w:rPr>
        <w:lastRenderedPageBreak/>
        <w:t>precise,</w:t>
      </w:r>
      <w:r w:rsidRPr="00EE08C7">
        <w:rPr>
          <w:rFonts w:ascii="Times New Roman" w:eastAsia="Times New Roman" w:hAnsi="Times New Roman" w:cs="Times New Roman"/>
          <w:sz w:val="28"/>
          <w:szCs w:val="28"/>
          <w:lang w:val="en-GB"/>
        </w:rPr>
        <w:t xml:space="preserve"> </w:t>
      </w:r>
      <w:r w:rsidR="00893DFC" w:rsidRPr="00EE08C7">
        <w:rPr>
          <w:rFonts w:ascii="Times New Roman" w:eastAsia="Times New Roman" w:hAnsi="Times New Roman" w:cs="Times New Roman"/>
          <w:sz w:val="28"/>
          <w:szCs w:val="28"/>
          <w:lang w:val="en-GB"/>
        </w:rPr>
        <w:t xml:space="preserve">being </w:t>
      </w:r>
      <w:r w:rsidRPr="00EE08C7">
        <w:rPr>
          <w:rFonts w:ascii="Times New Roman" w:eastAsia="Times New Roman" w:hAnsi="Times New Roman" w:cs="Times New Roman"/>
          <w:sz w:val="28"/>
          <w:szCs w:val="28"/>
          <w:lang w:val="en-GB"/>
        </w:rPr>
        <w:t xml:space="preserve">drafted in a specific normative style, which presents the rule without any explanation or justification. The concepts and </w:t>
      </w:r>
      <w:r w:rsidR="007C6E98" w:rsidRPr="00EE08C7">
        <w:rPr>
          <w:rFonts w:ascii="Times New Roman" w:eastAsia="Times New Roman" w:hAnsi="Times New Roman" w:cs="Times New Roman"/>
          <w:sz w:val="28"/>
          <w:szCs w:val="28"/>
          <w:lang w:val="en-GB"/>
        </w:rPr>
        <w:t>notions</w:t>
      </w:r>
      <w:r w:rsidRPr="00EE08C7">
        <w:rPr>
          <w:rFonts w:ascii="Times New Roman" w:eastAsia="Times New Roman" w:hAnsi="Times New Roman" w:cs="Times New Roman"/>
          <w:sz w:val="28"/>
          <w:szCs w:val="28"/>
          <w:lang w:val="en-GB"/>
        </w:rPr>
        <w:t xml:space="preserve"> used are configured in accordance with the positive law, and the stability of the regulatory solutions is far from being ambiguous, as they provided </w:t>
      </w:r>
      <w:r w:rsidR="007C6E98" w:rsidRPr="00EE08C7">
        <w:rPr>
          <w:rFonts w:ascii="Times New Roman" w:eastAsia="Times New Roman" w:hAnsi="Times New Roman" w:cs="Times New Roman"/>
          <w:sz w:val="28"/>
          <w:szCs w:val="28"/>
          <w:lang w:val="en-GB"/>
        </w:rPr>
        <w:t xml:space="preserve">in </w:t>
      </w:r>
      <w:r w:rsidRPr="00EE08C7">
        <w:rPr>
          <w:rFonts w:ascii="Times New Roman" w:eastAsia="Times New Roman" w:hAnsi="Times New Roman" w:cs="Times New Roman"/>
          <w:sz w:val="28"/>
          <w:szCs w:val="28"/>
          <w:lang w:val="en-GB"/>
        </w:rPr>
        <w:t xml:space="preserve">a clear and predictable </w:t>
      </w:r>
      <w:r w:rsidR="007C6E98" w:rsidRPr="00EE08C7">
        <w:rPr>
          <w:rFonts w:ascii="Times New Roman" w:eastAsia="Times New Roman" w:hAnsi="Times New Roman" w:cs="Times New Roman"/>
          <w:sz w:val="28"/>
          <w:szCs w:val="28"/>
          <w:lang w:val="en-GB"/>
        </w:rPr>
        <w:t>way</w:t>
      </w:r>
      <w:r w:rsidRPr="00EE08C7">
        <w:rPr>
          <w:rFonts w:ascii="Times New Roman" w:eastAsia="Times New Roman" w:hAnsi="Times New Roman" w:cs="Times New Roman"/>
          <w:sz w:val="28"/>
          <w:szCs w:val="28"/>
          <w:lang w:val="en-GB"/>
        </w:rPr>
        <w:t xml:space="preserve">, in compliance with the provisions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24/2000 on legislative technical </w:t>
      </w:r>
      <w:r w:rsidR="007C6E98" w:rsidRPr="00EE08C7">
        <w:rPr>
          <w:rFonts w:ascii="Times New Roman" w:eastAsia="Times New Roman" w:hAnsi="Times New Roman" w:cs="Times New Roman"/>
          <w:sz w:val="28"/>
          <w:szCs w:val="28"/>
          <w:lang w:val="en-GB"/>
        </w:rPr>
        <w:t>rules</w:t>
      </w:r>
      <w:r w:rsidRPr="00EE08C7">
        <w:rPr>
          <w:rFonts w:ascii="Times New Roman" w:eastAsia="Times New Roman" w:hAnsi="Times New Roman" w:cs="Times New Roman"/>
          <w:sz w:val="28"/>
          <w:szCs w:val="28"/>
          <w:lang w:val="en-GB"/>
        </w:rPr>
        <w:t xml:space="preserve"> for the drafting of legislative acts, republished, as </w:t>
      </w:r>
      <w:r w:rsidR="007C6E98" w:rsidRPr="00EE08C7">
        <w:rPr>
          <w:rFonts w:ascii="Times New Roman" w:eastAsia="Times New Roman" w:hAnsi="Times New Roman" w:cs="Times New Roman"/>
          <w:sz w:val="28"/>
          <w:szCs w:val="28"/>
          <w:lang w:val="en-GB"/>
        </w:rPr>
        <w:t xml:space="preserve">subsequently </w:t>
      </w:r>
      <w:r w:rsidRPr="00EE08C7">
        <w:rPr>
          <w:rFonts w:ascii="Times New Roman" w:eastAsia="Times New Roman" w:hAnsi="Times New Roman" w:cs="Times New Roman"/>
          <w:sz w:val="28"/>
          <w:szCs w:val="28"/>
          <w:lang w:val="en-GB"/>
        </w:rPr>
        <w:t>amended</w:t>
      </w:r>
      <w:r w:rsidR="007C6E98" w:rsidRPr="00EE08C7">
        <w:rPr>
          <w:rFonts w:ascii="Times New Roman" w:eastAsia="Times New Roman" w:hAnsi="Times New Roman" w:cs="Times New Roman"/>
          <w:sz w:val="28"/>
          <w:szCs w:val="28"/>
          <w:lang w:val="en-GB"/>
        </w:rPr>
        <w:t xml:space="preserve"> and completed</w:t>
      </w:r>
      <w:r w:rsidRPr="00EE08C7">
        <w:rPr>
          <w:rFonts w:ascii="Times New Roman" w:eastAsia="Times New Roman" w:hAnsi="Times New Roman" w:cs="Times New Roman"/>
          <w:sz w:val="28"/>
          <w:szCs w:val="28"/>
          <w:lang w:val="en-GB"/>
        </w:rPr>
        <w:t>.</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The President of the Chamber of Deputies therefore submits that the provisions of the Law approving Government Emergency Ordinance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w:t>
      </w:r>
      <w:r w:rsidR="007C6E98" w:rsidRPr="00EE08C7">
        <w:rPr>
          <w:rFonts w:ascii="Times New Roman" w:eastAsia="Times New Roman" w:hAnsi="Times New Roman" w:cs="Times New Roman"/>
          <w:sz w:val="28"/>
          <w:szCs w:val="28"/>
          <w:lang w:val="en-GB"/>
        </w:rPr>
        <w:t>c</w:t>
      </w:r>
      <w:r w:rsidRPr="00EE08C7">
        <w:rPr>
          <w:rFonts w:ascii="Times New Roman" w:eastAsia="Times New Roman" w:hAnsi="Times New Roman" w:cs="Times New Roman"/>
          <w:sz w:val="28"/>
          <w:szCs w:val="28"/>
          <w:lang w:val="en-GB"/>
        </w:rPr>
        <w:t>on</w:t>
      </w:r>
      <w:r w:rsidR="007C6E98" w:rsidRPr="00EE08C7">
        <w:rPr>
          <w:rFonts w:ascii="Times New Roman" w:eastAsia="Times New Roman" w:hAnsi="Times New Roman" w:cs="Times New Roman"/>
          <w:sz w:val="28"/>
          <w:szCs w:val="28"/>
          <w:lang w:val="en-GB"/>
        </w:rPr>
        <w:t>cerning</w:t>
      </w:r>
      <w:r w:rsidRPr="00EE08C7">
        <w:rPr>
          <w:rFonts w:ascii="Times New Roman" w:eastAsia="Times New Roman" w:hAnsi="Times New Roman" w:cs="Times New Roman"/>
          <w:sz w:val="28"/>
          <w:szCs w:val="28"/>
          <w:lang w:val="en-GB"/>
        </w:rPr>
        <w:t xml:space="preserve"> </w:t>
      </w:r>
      <w:r w:rsidR="007C6E98" w:rsidRPr="00EE08C7">
        <w:rPr>
          <w:rFonts w:ascii="Times New Roman" w:eastAsia="Times New Roman" w:hAnsi="Times New Roman" w:cs="Times New Roman"/>
          <w:bCs/>
          <w:sz w:val="28"/>
          <w:szCs w:val="28"/>
          <w:lang w:val="en-GB"/>
        </w:rPr>
        <w:t>certain measures aimed at making the Section for the investigation of justice-related criminal offences operational</w:t>
      </w:r>
      <w:r w:rsidR="007C6E98"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are constitutional with reference to Articles 1 (4) and (5), </w:t>
      </w:r>
      <w:r w:rsidR="00FD61E0" w:rsidRPr="00EE08C7">
        <w:rPr>
          <w:rFonts w:ascii="Times New Roman" w:eastAsia="Times New Roman" w:hAnsi="Times New Roman" w:cs="Times New Roman"/>
          <w:sz w:val="28"/>
          <w:szCs w:val="28"/>
          <w:lang w:val="en-GB"/>
        </w:rPr>
        <w:t xml:space="preserve">Article </w:t>
      </w:r>
      <w:r w:rsidRPr="00EE08C7">
        <w:rPr>
          <w:rFonts w:ascii="Times New Roman" w:eastAsia="Times New Roman" w:hAnsi="Times New Roman" w:cs="Times New Roman"/>
          <w:sz w:val="28"/>
          <w:szCs w:val="28"/>
          <w:lang w:val="en-GB"/>
        </w:rPr>
        <w:t xml:space="preserve">115 (4) and (6) and </w:t>
      </w:r>
      <w:r w:rsidR="00FD61E0" w:rsidRPr="00EE08C7">
        <w:rPr>
          <w:rFonts w:ascii="Times New Roman" w:eastAsia="Times New Roman" w:hAnsi="Times New Roman" w:cs="Times New Roman"/>
          <w:sz w:val="28"/>
          <w:szCs w:val="28"/>
          <w:lang w:val="en-GB"/>
        </w:rPr>
        <w:t xml:space="preserve">Article </w:t>
      </w:r>
      <w:r w:rsidRPr="00EE08C7">
        <w:rPr>
          <w:rFonts w:ascii="Times New Roman" w:eastAsia="Times New Roman" w:hAnsi="Times New Roman" w:cs="Times New Roman"/>
          <w:sz w:val="28"/>
          <w:szCs w:val="28"/>
          <w:lang w:val="en-GB"/>
        </w:rPr>
        <w:t>148 (2) and (4) of the Constitution.</w:t>
      </w:r>
    </w:p>
    <w:p w:rsidR="0021723C" w:rsidRPr="00EE08C7" w:rsidRDefault="0021723C">
      <w:pPr>
        <w:pStyle w:val="ListParagraph"/>
        <w:numPr>
          <w:ilvl w:val="0"/>
          <w:numId w:val="2"/>
        </w:numPr>
        <w:autoSpaceDE w:val="0"/>
        <w:spacing w:after="0" w:line="360" w:lineRule="auto"/>
        <w:ind w:left="0" w:firstLine="630"/>
        <w:jc w:val="both"/>
        <w:rPr>
          <w:lang w:val="en-GB"/>
        </w:rPr>
      </w:pPr>
      <w:r w:rsidRPr="00EE08C7">
        <w:rPr>
          <w:rFonts w:ascii="Times New Roman" w:eastAsia="Times New Roman" w:hAnsi="Times New Roman" w:cs="Times New Roman"/>
          <w:sz w:val="28"/>
          <w:szCs w:val="28"/>
          <w:lang w:val="en-GB"/>
        </w:rPr>
        <w:t>The</w:t>
      </w:r>
      <w:r w:rsidRPr="00EE08C7">
        <w:rPr>
          <w:rFonts w:ascii="Times New Roman" w:eastAsia="Times New Roman" w:hAnsi="Times New Roman" w:cs="Times New Roman"/>
          <w:b/>
          <w:sz w:val="28"/>
          <w:szCs w:val="28"/>
          <w:lang w:val="en-GB"/>
        </w:rPr>
        <w:t xml:space="preserve"> Government</w:t>
      </w:r>
      <w:r w:rsidRPr="00EE08C7">
        <w:rPr>
          <w:rFonts w:ascii="Times New Roman" w:eastAsia="Times New Roman" w:hAnsi="Times New Roman" w:cs="Times New Roman"/>
          <w:sz w:val="28"/>
          <w:szCs w:val="28"/>
          <w:lang w:val="en-GB"/>
        </w:rPr>
        <w:t xml:space="preserve">, </w:t>
      </w:r>
      <w:r w:rsidR="006A7A86" w:rsidRPr="00EE08C7">
        <w:rPr>
          <w:rFonts w:ascii="Times New Roman" w:eastAsia="Times New Roman" w:hAnsi="Times New Roman" w:cs="Times New Roman"/>
          <w:sz w:val="28"/>
          <w:szCs w:val="28"/>
          <w:lang w:val="en-GB"/>
        </w:rPr>
        <w:t>by L</w:t>
      </w:r>
      <w:r w:rsidRPr="00EE08C7">
        <w:rPr>
          <w:rFonts w:ascii="Times New Roman" w:eastAsia="Times New Roman" w:hAnsi="Times New Roman" w:cs="Times New Roman"/>
          <w:sz w:val="28"/>
          <w:szCs w:val="28"/>
          <w:lang w:val="en-GB"/>
        </w:rPr>
        <w:t xml:space="preserve">etter 5/7366/2019, registered at the Constitutional Court under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318 of 16 J</w:t>
      </w:r>
      <w:r w:rsidR="006A7A86" w:rsidRPr="00EE08C7">
        <w:rPr>
          <w:rFonts w:ascii="Times New Roman" w:eastAsia="Times New Roman" w:hAnsi="Times New Roman" w:cs="Times New Roman"/>
          <w:sz w:val="28"/>
          <w:szCs w:val="28"/>
          <w:lang w:val="en-GB"/>
        </w:rPr>
        <w:t>anuary 2019, submitted its view</w:t>
      </w:r>
      <w:r w:rsidRPr="00EE08C7">
        <w:rPr>
          <w:rFonts w:ascii="Times New Roman" w:eastAsia="Times New Roman" w:hAnsi="Times New Roman" w:cs="Times New Roman"/>
          <w:sz w:val="28"/>
          <w:szCs w:val="28"/>
          <w:lang w:val="en-GB"/>
        </w:rPr>
        <w:t xml:space="preserve"> on the </w:t>
      </w:r>
      <w:r w:rsidR="006A7A86" w:rsidRPr="00EE08C7">
        <w:rPr>
          <w:rFonts w:ascii="Times New Roman" w:eastAsia="Times New Roman" w:hAnsi="Times New Roman" w:cs="Times New Roman"/>
          <w:sz w:val="28"/>
          <w:szCs w:val="28"/>
          <w:lang w:val="en-GB"/>
        </w:rPr>
        <w:t xml:space="preserve">referral of </w:t>
      </w:r>
      <w:r w:rsidRPr="00EE08C7">
        <w:rPr>
          <w:rFonts w:ascii="Times New Roman" w:eastAsia="Times New Roman" w:hAnsi="Times New Roman" w:cs="Times New Roman"/>
          <w:sz w:val="28"/>
          <w:szCs w:val="28"/>
          <w:lang w:val="en-GB"/>
        </w:rPr>
        <w:t>unconstitutionality.</w:t>
      </w:r>
    </w:p>
    <w:p w:rsidR="0021723C" w:rsidRPr="00EE08C7" w:rsidRDefault="0021723C" w:rsidP="006A7A86">
      <w:pPr>
        <w:pStyle w:val="ListParagraph"/>
        <w:numPr>
          <w:ilvl w:val="0"/>
          <w:numId w:val="2"/>
        </w:numPr>
        <w:autoSpaceDE w:val="0"/>
        <w:spacing w:after="0" w:line="360" w:lineRule="auto"/>
        <w:ind w:left="0" w:firstLine="630"/>
        <w:jc w:val="both"/>
        <w:rPr>
          <w:rFonts w:ascii="Times New Roman" w:hAnsi="Times New Roman" w:cs="Times New Roman"/>
          <w:sz w:val="28"/>
          <w:szCs w:val="28"/>
          <w:lang w:val="en-GB"/>
        </w:rPr>
      </w:pPr>
      <w:r w:rsidRPr="00EE08C7">
        <w:rPr>
          <w:rFonts w:ascii="Times New Roman" w:eastAsia="Times New Roman" w:hAnsi="Times New Roman" w:cs="Times New Roman"/>
          <w:sz w:val="28"/>
          <w:szCs w:val="28"/>
          <w:lang w:val="en-GB"/>
        </w:rPr>
        <w:t xml:space="preserve">With regard to the criticism </w:t>
      </w:r>
      <w:r w:rsidR="006A7A86" w:rsidRPr="00EE08C7">
        <w:rPr>
          <w:rFonts w:ascii="Times New Roman" w:eastAsia="Times New Roman" w:hAnsi="Times New Roman" w:cs="Times New Roman"/>
          <w:sz w:val="28"/>
          <w:szCs w:val="28"/>
          <w:lang w:val="en-GB"/>
        </w:rPr>
        <w:t xml:space="preserve">on the breach </w:t>
      </w:r>
      <w:r w:rsidRPr="00EE08C7">
        <w:rPr>
          <w:rFonts w:ascii="Times New Roman" w:eastAsia="Times New Roman" w:hAnsi="Times New Roman" w:cs="Times New Roman"/>
          <w:sz w:val="28"/>
          <w:szCs w:val="28"/>
          <w:lang w:val="en-GB"/>
        </w:rPr>
        <w:t xml:space="preserve">of Article 115 (4) of the Constitution, </w:t>
      </w:r>
      <w:r w:rsidR="006A7A86" w:rsidRPr="00EE08C7">
        <w:rPr>
          <w:rFonts w:ascii="Times New Roman" w:eastAsia="Times New Roman" w:hAnsi="Times New Roman" w:cs="Times New Roman"/>
          <w:sz w:val="28"/>
          <w:szCs w:val="28"/>
          <w:lang w:val="en-GB"/>
        </w:rPr>
        <w:t xml:space="preserve">it </w:t>
      </w:r>
      <w:r w:rsidRPr="00EE08C7">
        <w:rPr>
          <w:rFonts w:ascii="Times New Roman" w:eastAsia="Times New Roman" w:hAnsi="Times New Roman" w:cs="Times New Roman"/>
          <w:sz w:val="28"/>
          <w:szCs w:val="28"/>
          <w:lang w:val="en-GB"/>
        </w:rPr>
        <w:t>points out that the measures adopted by Government</w:t>
      </w:r>
      <w:r w:rsidR="006A7A86" w:rsidRPr="00EE08C7">
        <w:rPr>
          <w:rFonts w:ascii="Times New Roman" w:eastAsia="Times New Roman" w:hAnsi="Times New Roman" w:cs="Times New Roman"/>
          <w:sz w:val="28"/>
          <w:szCs w:val="28"/>
          <w:lang w:val="en-GB"/>
        </w:rPr>
        <w:t xml:space="preserve"> Emergency Ordinance</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present urgency, </w:t>
      </w:r>
      <w:r w:rsidR="006A7A86" w:rsidRPr="00EE08C7">
        <w:rPr>
          <w:rFonts w:ascii="Times New Roman" w:eastAsia="Times New Roman" w:hAnsi="Times New Roman" w:cs="Times New Roman"/>
          <w:sz w:val="28"/>
          <w:szCs w:val="28"/>
          <w:lang w:val="en-GB"/>
        </w:rPr>
        <w:t xml:space="preserve">being </w:t>
      </w:r>
      <w:r w:rsidRPr="00EE08C7">
        <w:rPr>
          <w:rFonts w:ascii="Times New Roman" w:eastAsia="Times New Roman" w:hAnsi="Times New Roman" w:cs="Times New Roman"/>
          <w:sz w:val="28"/>
          <w:szCs w:val="28"/>
          <w:lang w:val="en-GB"/>
        </w:rPr>
        <w:t>specific</w:t>
      </w:r>
      <w:r w:rsidR="006A7A86" w:rsidRPr="00EE08C7">
        <w:rPr>
          <w:rFonts w:ascii="Times New Roman" w:eastAsia="Times New Roman" w:hAnsi="Times New Roman" w:cs="Times New Roman"/>
          <w:sz w:val="28"/>
          <w:szCs w:val="28"/>
          <w:lang w:val="en-GB"/>
        </w:rPr>
        <w:t>ally</w:t>
      </w:r>
      <w:r w:rsidRPr="00EE08C7">
        <w:rPr>
          <w:rFonts w:ascii="Times New Roman" w:eastAsia="Times New Roman" w:hAnsi="Times New Roman" w:cs="Times New Roman"/>
          <w:sz w:val="28"/>
          <w:szCs w:val="28"/>
          <w:lang w:val="en-GB"/>
        </w:rPr>
        <w:t xml:space="preserve"> descr</w:t>
      </w:r>
      <w:r w:rsidR="006A7A86" w:rsidRPr="00EE08C7">
        <w:rPr>
          <w:rFonts w:ascii="Times New Roman" w:eastAsia="Times New Roman" w:hAnsi="Times New Roman" w:cs="Times New Roman"/>
          <w:sz w:val="28"/>
          <w:szCs w:val="28"/>
          <w:lang w:val="en-GB"/>
        </w:rPr>
        <w:t xml:space="preserve">ibed </w:t>
      </w:r>
      <w:r w:rsidRPr="00EE08C7">
        <w:rPr>
          <w:rFonts w:ascii="Times New Roman" w:eastAsia="Times New Roman" w:hAnsi="Times New Roman" w:cs="Times New Roman"/>
          <w:sz w:val="28"/>
          <w:szCs w:val="28"/>
          <w:lang w:val="en-GB"/>
        </w:rPr>
        <w:t xml:space="preserve">the situations justifying the legislative intervention and </w:t>
      </w:r>
      <w:r w:rsidR="006A7A86" w:rsidRPr="00EE08C7">
        <w:rPr>
          <w:rFonts w:ascii="Times New Roman" w:eastAsia="Times New Roman" w:hAnsi="Times New Roman" w:cs="Times New Roman"/>
          <w:sz w:val="28"/>
          <w:szCs w:val="28"/>
          <w:lang w:val="en-GB"/>
        </w:rPr>
        <w:t xml:space="preserve">the reason for which </w:t>
      </w:r>
      <w:r w:rsidRPr="00EE08C7">
        <w:rPr>
          <w:rFonts w:ascii="Times New Roman" w:eastAsia="Times New Roman" w:hAnsi="Times New Roman" w:cs="Times New Roman"/>
          <w:sz w:val="28"/>
          <w:szCs w:val="28"/>
          <w:lang w:val="en-GB"/>
        </w:rPr>
        <w:t xml:space="preserve">these circumstances constitute </w:t>
      </w:r>
      <w:r w:rsidR="006A7A8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extraordinary situations, the regulation of which cannot be postponed</w:t>
      </w:r>
      <w:r w:rsidR="006A7A86"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Since</w:t>
      </w:r>
      <w:r w:rsidRPr="00EE08C7">
        <w:rPr>
          <w:rFonts w:ascii="Times New Roman" w:eastAsia="Arial Unicode MS" w:hAnsi="Times New Roman" w:cs="Times New Roman"/>
          <w:color w:val="000000"/>
          <w:sz w:val="28"/>
          <w:szCs w:val="28"/>
          <w:lang w:val="en-GB" w:eastAsia="ro-RO"/>
        </w:rPr>
        <w:t xml:space="preserve">, at that time, the Superior Council of Magistracy had not completed the procedure of </w:t>
      </w:r>
      <w:r w:rsidR="006A7A86" w:rsidRPr="00EE08C7">
        <w:rPr>
          <w:rFonts w:ascii="Times New Roman" w:eastAsia="Arial Unicode MS" w:hAnsi="Times New Roman" w:cs="Times New Roman"/>
          <w:color w:val="000000"/>
          <w:sz w:val="28"/>
          <w:szCs w:val="28"/>
          <w:lang w:val="en-GB" w:eastAsia="ro-RO"/>
        </w:rPr>
        <w:t xml:space="preserve">making </w:t>
      </w:r>
      <w:r w:rsidRPr="00EE08C7">
        <w:rPr>
          <w:rFonts w:ascii="Times New Roman" w:eastAsia="Arial Unicode MS" w:hAnsi="Times New Roman" w:cs="Times New Roman"/>
          <w:color w:val="000000"/>
          <w:sz w:val="28"/>
          <w:szCs w:val="28"/>
          <w:lang w:val="en-GB" w:eastAsia="ro-RO"/>
        </w:rPr>
        <w:t xml:space="preserve">the Section for the </w:t>
      </w:r>
      <w:r w:rsidR="006A7A86" w:rsidRPr="00EE08C7">
        <w:rPr>
          <w:rFonts w:ascii="Times New Roman" w:eastAsia="Arial Unicode MS" w:hAnsi="Times New Roman" w:cs="Times New Roman"/>
          <w:color w:val="000000"/>
          <w:sz w:val="28"/>
          <w:szCs w:val="28"/>
          <w:lang w:val="en-GB" w:eastAsia="ro-RO"/>
        </w:rPr>
        <w:t>i</w:t>
      </w:r>
      <w:r w:rsidRPr="00EE08C7">
        <w:rPr>
          <w:rFonts w:ascii="Times New Roman" w:eastAsia="Arial Unicode MS" w:hAnsi="Times New Roman" w:cs="Times New Roman"/>
          <w:color w:val="000000"/>
          <w:sz w:val="28"/>
          <w:szCs w:val="28"/>
          <w:lang w:val="en-GB" w:eastAsia="ro-RO"/>
        </w:rPr>
        <w:t xml:space="preserve">nvestigation of </w:t>
      </w:r>
      <w:r w:rsidR="006A7A86" w:rsidRPr="00EE08C7">
        <w:rPr>
          <w:rFonts w:ascii="Times New Roman" w:eastAsia="Arial Unicode MS" w:hAnsi="Times New Roman" w:cs="Times New Roman"/>
          <w:color w:val="000000"/>
          <w:sz w:val="28"/>
          <w:szCs w:val="28"/>
          <w:lang w:val="en-GB" w:eastAsia="ro-RO"/>
        </w:rPr>
        <w:t>justice-related c</w:t>
      </w:r>
      <w:r w:rsidRPr="00EE08C7">
        <w:rPr>
          <w:rFonts w:ascii="Times New Roman" w:eastAsia="Arial Unicode MS" w:hAnsi="Times New Roman" w:cs="Times New Roman"/>
          <w:color w:val="000000"/>
          <w:sz w:val="28"/>
          <w:szCs w:val="28"/>
          <w:lang w:val="en-GB" w:eastAsia="ro-RO"/>
        </w:rPr>
        <w:t xml:space="preserve">riminal </w:t>
      </w:r>
      <w:r w:rsidR="006A7A86" w:rsidRPr="00EE08C7">
        <w:rPr>
          <w:rFonts w:ascii="Times New Roman" w:eastAsia="Arial Unicode MS" w:hAnsi="Times New Roman" w:cs="Times New Roman"/>
          <w:color w:val="000000"/>
          <w:sz w:val="28"/>
          <w:szCs w:val="28"/>
          <w:lang w:val="en-GB" w:eastAsia="ro-RO"/>
        </w:rPr>
        <w:t>o</w:t>
      </w:r>
      <w:r w:rsidRPr="00EE08C7">
        <w:rPr>
          <w:rFonts w:ascii="Times New Roman" w:eastAsia="Arial Unicode MS" w:hAnsi="Times New Roman" w:cs="Times New Roman"/>
          <w:color w:val="000000"/>
          <w:sz w:val="28"/>
          <w:szCs w:val="28"/>
          <w:lang w:val="en-GB" w:eastAsia="ro-RO"/>
        </w:rPr>
        <w:t>ffences</w:t>
      </w:r>
      <w:r w:rsidR="006A7A86" w:rsidRPr="00EE08C7">
        <w:rPr>
          <w:rFonts w:ascii="Times New Roman" w:eastAsia="Arial Unicode MS" w:hAnsi="Times New Roman" w:cs="Times New Roman"/>
          <w:color w:val="000000"/>
          <w:sz w:val="28"/>
          <w:szCs w:val="28"/>
          <w:lang w:val="en-GB" w:eastAsia="ro-RO"/>
        </w:rPr>
        <w:t xml:space="preserve"> operations</w:t>
      </w:r>
      <w:r w:rsidRPr="00EE08C7">
        <w:rPr>
          <w:rFonts w:ascii="Times New Roman" w:eastAsia="Arial Unicode MS" w:hAnsi="Times New Roman" w:cs="Times New Roman"/>
          <w:color w:val="000000"/>
          <w:sz w:val="28"/>
          <w:szCs w:val="28"/>
          <w:lang w:val="en-GB" w:eastAsia="ro-RO"/>
        </w:rPr>
        <w:t xml:space="preserve">, there </w:t>
      </w:r>
      <w:r w:rsidR="006A7A86" w:rsidRPr="00EE08C7">
        <w:rPr>
          <w:rFonts w:ascii="Times New Roman" w:eastAsia="Arial Unicode MS" w:hAnsi="Times New Roman" w:cs="Times New Roman"/>
          <w:color w:val="000000"/>
          <w:sz w:val="28"/>
          <w:szCs w:val="28"/>
          <w:lang w:val="en-GB" w:eastAsia="ro-RO"/>
        </w:rPr>
        <w:t xml:space="preserve">is </w:t>
      </w:r>
      <w:r w:rsidRPr="00EE08C7">
        <w:rPr>
          <w:rFonts w:ascii="Times New Roman" w:eastAsia="Arial Unicode MS" w:hAnsi="Times New Roman" w:cs="Times New Roman"/>
          <w:color w:val="000000"/>
          <w:sz w:val="28"/>
          <w:szCs w:val="28"/>
          <w:lang w:val="en-GB" w:eastAsia="ro-RO"/>
        </w:rPr>
        <w:t xml:space="preserve">an imminent risk that it would not be able to operate within the deadline set by law </w:t>
      </w:r>
      <w:r w:rsidR="006F4EE8" w:rsidRPr="00EE08C7">
        <w:rPr>
          <w:rFonts w:ascii="Times New Roman" w:eastAsia="Arial Unicode MS" w:hAnsi="Times New Roman" w:cs="Times New Roman"/>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 taking </w:t>
      </w:r>
      <w:r w:rsidR="006F4EE8" w:rsidRPr="00EE08C7">
        <w:rPr>
          <w:rFonts w:ascii="Times New Roman" w:eastAsia="Arial Unicode MS" w:hAnsi="Times New Roman" w:cs="Times New Roman"/>
          <w:color w:val="000000"/>
          <w:sz w:val="28"/>
          <w:szCs w:val="28"/>
          <w:lang w:val="en-GB" w:eastAsia="ro-RO"/>
        </w:rPr>
        <w:t xml:space="preserve">also </w:t>
      </w:r>
      <w:r w:rsidRPr="00EE08C7">
        <w:rPr>
          <w:rFonts w:ascii="Times New Roman" w:eastAsia="Arial Unicode MS" w:hAnsi="Times New Roman" w:cs="Times New Roman"/>
          <w:color w:val="000000"/>
          <w:sz w:val="28"/>
          <w:szCs w:val="28"/>
          <w:lang w:val="en-GB" w:eastAsia="ro-RO"/>
        </w:rPr>
        <w:t xml:space="preserve">into account the length of the competition procedures covered by the provisions of the </w:t>
      </w:r>
      <w:r w:rsidR="006F4EE8" w:rsidRPr="00EE08C7">
        <w:rPr>
          <w:rFonts w:ascii="Times New Roman" w:eastAsia="Arial Unicode MS" w:hAnsi="Times New Roman" w:cs="Times New Roman"/>
          <w:color w:val="000000"/>
          <w:sz w:val="28"/>
          <w:szCs w:val="28"/>
          <w:lang w:val="en-GB" w:eastAsia="ro-RO"/>
        </w:rPr>
        <w:t>r</w:t>
      </w:r>
      <w:r w:rsidRPr="00EE08C7">
        <w:rPr>
          <w:rFonts w:ascii="Times New Roman" w:eastAsia="Arial Unicode MS" w:hAnsi="Times New Roman" w:cs="Times New Roman"/>
          <w:color w:val="000000"/>
          <w:sz w:val="28"/>
          <w:szCs w:val="28"/>
          <w:lang w:val="en-GB" w:eastAsia="ro-RO"/>
        </w:rPr>
        <w:t>egulations adopted by the Superior Council of Magistracy in application of Article 88</w:t>
      </w:r>
      <w:r w:rsidR="006F4EE8" w:rsidRPr="00EE08C7">
        <w:rPr>
          <w:rFonts w:ascii="Times New Roman" w:eastAsia="Arial Unicode MS" w:hAnsi="Times New Roman" w:cs="Times New Roman"/>
          <w:color w:val="000000"/>
          <w:sz w:val="28"/>
          <w:szCs w:val="28"/>
          <w:vertAlign w:val="superscript"/>
          <w:lang w:val="en-GB" w:eastAsia="ro-RO"/>
        </w:rPr>
        <w:t>5</w:t>
      </w:r>
      <w:r w:rsidRPr="00EE08C7">
        <w:rPr>
          <w:lang w:val="en-GB"/>
        </w:rPr>
        <w:t xml:space="preserve"> </w:t>
      </w:r>
      <w:r w:rsidR="006F4EE8"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12) of Law </w:t>
      </w:r>
      <w:r w:rsidR="00BF7E59">
        <w:rPr>
          <w:rFonts w:ascii="Times New Roman" w:hAnsi="Times New Roman" w:cs="Times New Roman"/>
          <w:sz w:val="28"/>
          <w:szCs w:val="28"/>
          <w:lang w:val="en-GB"/>
        </w:rPr>
        <w:t>no.</w:t>
      </w:r>
      <w:r w:rsidRPr="00EE08C7">
        <w:rPr>
          <w:rFonts w:ascii="Times New Roman" w:hAnsi="Times New Roman" w:cs="Times New Roman"/>
          <w:sz w:val="28"/>
          <w:szCs w:val="28"/>
          <w:lang w:val="en-GB"/>
        </w:rPr>
        <w:t xml:space="preserve"> 304/2004</w:t>
      </w:r>
      <w:r w:rsidRPr="00EE08C7">
        <w:rPr>
          <w:rFonts w:ascii="Times New Roman" w:eastAsia="Arial Unicode MS" w:hAnsi="Times New Roman" w:cs="Times New Roman"/>
          <w:iCs/>
          <w:color w:val="000000"/>
          <w:sz w:val="28"/>
          <w:szCs w:val="28"/>
          <w:lang w:val="en-GB" w:eastAsia="ro-RO"/>
        </w:rPr>
        <w:t>, according to which</w:t>
      </w:r>
      <w:r w:rsidRPr="00EE08C7">
        <w:rPr>
          <w:rFonts w:ascii="Times New Roman" w:eastAsia="Arial Unicode MS" w:hAnsi="Times New Roman" w:cs="Times New Roman"/>
          <w:i/>
          <w:color w:val="000000"/>
          <w:sz w:val="28"/>
          <w:szCs w:val="28"/>
          <w:lang w:val="en-GB" w:eastAsia="ro-RO"/>
        </w:rPr>
        <w:t xml:space="preserve"> </w:t>
      </w:r>
      <w:r w:rsidR="006F4EE8" w:rsidRPr="00EE08C7">
        <w:rPr>
          <w:rFonts w:ascii="Times New Roman" w:eastAsia="Arial Unicode MS" w:hAnsi="Times New Roman" w:cs="Times New Roman"/>
          <w:color w:val="000000"/>
          <w:sz w:val="28"/>
          <w:szCs w:val="28"/>
          <w:lang w:val="en-GB" w:eastAsia="ro-RO"/>
        </w:rPr>
        <w:t>“</w:t>
      </w:r>
      <w:r w:rsidRPr="00EE08C7">
        <w:rPr>
          <w:rFonts w:ascii="Times New Roman" w:hAnsi="Times New Roman" w:cs="Times New Roman"/>
          <w:i/>
          <w:sz w:val="28"/>
          <w:szCs w:val="28"/>
          <w:lang w:val="en-GB"/>
        </w:rPr>
        <w:t xml:space="preserve">the procedures for appointment, continuation of </w:t>
      </w:r>
      <w:r w:rsidRPr="00EE08C7">
        <w:rPr>
          <w:rFonts w:ascii="Times New Roman" w:hAnsi="Times New Roman" w:cs="Times New Roman"/>
          <w:i/>
          <w:sz w:val="28"/>
          <w:szCs w:val="28"/>
          <w:lang w:val="en-GB"/>
        </w:rPr>
        <w:lastRenderedPageBreak/>
        <w:t xml:space="preserve">activity </w:t>
      </w:r>
      <w:r w:rsidR="006F4EE8" w:rsidRPr="00EE08C7">
        <w:rPr>
          <w:rFonts w:ascii="Times New Roman" w:hAnsi="Times New Roman" w:cs="Times New Roman"/>
          <w:i/>
          <w:sz w:val="28"/>
          <w:szCs w:val="28"/>
          <w:lang w:val="en-GB"/>
        </w:rPr>
        <w:t xml:space="preserve">within </w:t>
      </w:r>
      <w:r w:rsidRPr="00EE08C7">
        <w:rPr>
          <w:rFonts w:ascii="Times New Roman" w:hAnsi="Times New Roman" w:cs="Times New Roman"/>
          <w:i/>
          <w:sz w:val="28"/>
          <w:szCs w:val="28"/>
          <w:lang w:val="en-GB"/>
        </w:rPr>
        <w:t>the section and revocation in the management and execution positions within the section will be detailed in a regulation approved by the Plenary of the Superior Council of Magistracy</w:t>
      </w:r>
      <w:r w:rsidR="006F4EE8" w:rsidRPr="00EE08C7">
        <w:rPr>
          <w:rFonts w:ascii="Times New Roman" w:hAnsi="Times New Roman" w:cs="Times New Roman"/>
          <w:sz w:val="28"/>
          <w:szCs w:val="28"/>
          <w:lang w:val="en-GB"/>
        </w:rPr>
        <w:t>”</w:t>
      </w:r>
      <w:r w:rsidRPr="00EE08C7">
        <w:rPr>
          <w:rFonts w:ascii="Times New Roman" w:eastAsia="Arial Unicode MS" w:hAnsi="Times New Roman" w:cs="Times New Roman"/>
          <w:iCs/>
          <w:color w:val="000000"/>
          <w:sz w:val="28"/>
          <w:szCs w:val="28"/>
          <w:lang w:val="en-GB" w:eastAsia="ro-RO"/>
        </w:rPr>
        <w:t xml:space="preserve"> </w:t>
      </w:r>
      <w:r w:rsidR="006F4EE8" w:rsidRPr="00EE08C7">
        <w:rPr>
          <w:rFonts w:ascii="Times New Roman" w:eastAsia="Arial Unicode MS" w:hAnsi="Times New Roman" w:cs="Times New Roman"/>
          <w:iCs/>
          <w:color w:val="000000"/>
          <w:sz w:val="28"/>
          <w:szCs w:val="28"/>
          <w:lang w:val="en-GB" w:eastAsia="ro-RO"/>
        </w:rPr>
        <w:t>-,</w:t>
      </w:r>
      <w:r w:rsidRPr="00EE08C7">
        <w:rPr>
          <w:rFonts w:ascii="Times New Roman" w:eastAsia="Arial Unicode MS" w:hAnsi="Times New Roman" w:cs="Times New Roman"/>
          <w:iCs/>
          <w:color w:val="000000"/>
          <w:sz w:val="28"/>
          <w:szCs w:val="28"/>
          <w:lang w:val="en-GB" w:eastAsia="ro-RO"/>
        </w:rPr>
        <w:t xml:space="preserve"> so that the Government was compelled to regulate</w:t>
      </w:r>
      <w:r w:rsidR="00D56D95" w:rsidRPr="00EE08C7">
        <w:rPr>
          <w:rFonts w:ascii="Times New Roman" w:eastAsia="Arial Unicode MS" w:hAnsi="Times New Roman" w:cs="Times New Roman"/>
          <w:iCs/>
          <w:color w:val="000000"/>
          <w:sz w:val="28"/>
          <w:szCs w:val="28"/>
          <w:lang w:val="en-GB" w:eastAsia="ro-RO"/>
        </w:rPr>
        <w:t>,</w:t>
      </w:r>
      <w:r w:rsidRPr="00EE08C7">
        <w:rPr>
          <w:rFonts w:ascii="Times New Roman" w:eastAsia="Arial Unicode MS" w:hAnsi="Times New Roman" w:cs="Times New Roman"/>
          <w:iCs/>
          <w:color w:val="000000"/>
          <w:sz w:val="28"/>
          <w:szCs w:val="28"/>
          <w:lang w:val="en-GB" w:eastAsia="ro-RO"/>
        </w:rPr>
        <w:t xml:space="preserve"> in an emergency ord</w:t>
      </w:r>
      <w:r w:rsidR="00D56D95" w:rsidRPr="00EE08C7">
        <w:rPr>
          <w:rFonts w:ascii="Times New Roman" w:eastAsia="Arial Unicode MS" w:hAnsi="Times New Roman" w:cs="Times New Roman"/>
          <w:iCs/>
          <w:color w:val="000000"/>
          <w:sz w:val="28"/>
          <w:szCs w:val="28"/>
          <w:lang w:val="en-GB" w:eastAsia="ro-RO"/>
        </w:rPr>
        <w:t>inance,</w:t>
      </w:r>
      <w:r w:rsidRPr="00EE08C7">
        <w:rPr>
          <w:rFonts w:ascii="Times New Roman" w:eastAsia="Arial Unicode MS" w:hAnsi="Times New Roman" w:cs="Times New Roman"/>
          <w:iCs/>
          <w:color w:val="000000"/>
          <w:sz w:val="28"/>
          <w:szCs w:val="28"/>
          <w:lang w:val="en-GB" w:eastAsia="ro-RO"/>
        </w:rPr>
        <w:t xml:space="preserve"> an extraordinary, objective situation, the existence of which </w:t>
      </w:r>
      <w:r w:rsidR="00D56D95" w:rsidRPr="00EE08C7">
        <w:rPr>
          <w:rFonts w:ascii="Times New Roman" w:eastAsia="Arial Unicode MS" w:hAnsi="Times New Roman" w:cs="Times New Roman"/>
          <w:iCs/>
          <w:color w:val="000000"/>
          <w:sz w:val="28"/>
          <w:szCs w:val="28"/>
          <w:lang w:val="en-GB" w:eastAsia="ro-RO"/>
        </w:rPr>
        <w:t xml:space="preserve">did </w:t>
      </w:r>
      <w:r w:rsidRPr="00EE08C7">
        <w:rPr>
          <w:rFonts w:ascii="Times New Roman" w:eastAsia="Arial Unicode MS" w:hAnsi="Times New Roman" w:cs="Times New Roman"/>
          <w:iCs/>
          <w:color w:val="000000"/>
          <w:sz w:val="28"/>
          <w:szCs w:val="28"/>
          <w:lang w:val="en-GB" w:eastAsia="ro-RO"/>
        </w:rPr>
        <w:t xml:space="preserve">not depend on its will, by establishing a </w:t>
      </w:r>
      <w:r w:rsidR="00D56D95" w:rsidRPr="00EE08C7">
        <w:rPr>
          <w:rFonts w:ascii="Times New Roman" w:hAnsi="Times New Roman" w:cs="Times New Roman"/>
          <w:sz w:val="28"/>
          <w:szCs w:val="28"/>
          <w:lang w:val="en-GB"/>
        </w:rPr>
        <w:t>simplified and quick,</w:t>
      </w:r>
      <w:r w:rsidRPr="00EE08C7">
        <w:rPr>
          <w:rFonts w:ascii="Times New Roman" w:hAnsi="Times New Roman" w:cs="Times New Roman"/>
          <w:sz w:val="28"/>
          <w:szCs w:val="28"/>
          <w:lang w:val="en-GB"/>
        </w:rPr>
        <w:t xml:space="preserve"> temporary</w:t>
      </w:r>
      <w:r w:rsidRPr="00EE08C7">
        <w:rPr>
          <w:rFonts w:ascii="Times New Roman" w:eastAsia="Arial Unicode MS" w:hAnsi="Times New Roman" w:cs="Times New Roman"/>
          <w:color w:val="000000"/>
          <w:sz w:val="28"/>
          <w:szCs w:val="28"/>
          <w:lang w:val="en-GB" w:eastAsia="ro-RO"/>
        </w:rPr>
        <w:t xml:space="preserve"> procedure for the provisional occupation of management and executive functions within the </w:t>
      </w:r>
      <w:r w:rsidR="00D56D95" w:rsidRPr="00EE08C7">
        <w:rPr>
          <w:rFonts w:ascii="Times New Roman" w:eastAsia="Arial Unicode MS" w:hAnsi="Times New Roman" w:cs="Times New Roman"/>
          <w:color w:val="000000"/>
          <w:sz w:val="28"/>
          <w:szCs w:val="28"/>
          <w:lang w:val="en-GB" w:eastAsia="ro-RO"/>
        </w:rPr>
        <w:t>S</w:t>
      </w:r>
      <w:r w:rsidRPr="00EE08C7">
        <w:rPr>
          <w:rFonts w:ascii="Times New Roman" w:eastAsia="Arial Unicode MS" w:hAnsi="Times New Roman" w:cs="Times New Roman"/>
          <w:color w:val="000000"/>
          <w:sz w:val="28"/>
          <w:szCs w:val="28"/>
          <w:lang w:val="en-GB" w:eastAsia="ro-RO"/>
        </w:rPr>
        <w:t xml:space="preserve">ection for </w:t>
      </w:r>
      <w:r w:rsidR="00D56D95" w:rsidRPr="00EE08C7">
        <w:rPr>
          <w:rFonts w:ascii="Times New Roman" w:eastAsia="Arial Unicode MS" w:hAnsi="Times New Roman" w:cs="Times New Roman"/>
          <w:color w:val="000000"/>
          <w:sz w:val="28"/>
          <w:szCs w:val="28"/>
          <w:lang w:val="en-GB" w:eastAsia="ro-RO"/>
        </w:rPr>
        <w:t>the investigation of</w:t>
      </w:r>
      <w:r w:rsidRPr="00EE08C7">
        <w:rPr>
          <w:rFonts w:ascii="Times New Roman" w:eastAsia="Arial Unicode MS" w:hAnsi="Times New Roman" w:cs="Times New Roman"/>
          <w:color w:val="000000"/>
          <w:sz w:val="28"/>
          <w:szCs w:val="28"/>
          <w:lang w:val="en-GB" w:eastAsia="ro-RO"/>
        </w:rPr>
        <w:t xml:space="preserve"> justice</w:t>
      </w:r>
      <w:r w:rsidR="00D56D95" w:rsidRPr="00EE08C7">
        <w:rPr>
          <w:rFonts w:ascii="Times New Roman" w:eastAsia="Arial Unicode MS" w:hAnsi="Times New Roman" w:cs="Times New Roman"/>
          <w:color w:val="000000"/>
          <w:sz w:val="28"/>
          <w:szCs w:val="28"/>
          <w:lang w:val="en-GB" w:eastAsia="ro-RO"/>
        </w:rPr>
        <w:t>-related criminal offences</w:t>
      </w:r>
      <w:r w:rsidRPr="00EE08C7">
        <w:rPr>
          <w:rFonts w:ascii="Times New Roman" w:eastAsia="Arial Unicode MS" w:hAnsi="Times New Roman" w:cs="Times New Roman"/>
          <w:color w:val="000000"/>
          <w:sz w:val="28"/>
          <w:szCs w:val="28"/>
          <w:lang w:val="en-GB" w:eastAsia="ro-RO"/>
        </w:rPr>
        <w:t xml:space="preserve">. Since Law </w:t>
      </w:r>
      <w:r w:rsidR="00BF7E59">
        <w:rPr>
          <w:rFonts w:ascii="Times New Roman" w:eastAsia="Arial Unicode MS" w:hAnsi="Times New Roman" w:cs="Times New Roman"/>
          <w:color w:val="000000"/>
          <w:sz w:val="28"/>
          <w:szCs w:val="28"/>
          <w:lang w:val="en-GB" w:eastAsia="ro-RO"/>
        </w:rPr>
        <w:t>no.</w:t>
      </w:r>
      <w:r w:rsidRPr="00EE08C7">
        <w:rPr>
          <w:rFonts w:ascii="Times New Roman" w:eastAsia="Arial Unicode MS" w:hAnsi="Times New Roman" w:cs="Times New Roman"/>
          <w:color w:val="000000"/>
          <w:sz w:val="28"/>
          <w:szCs w:val="28"/>
          <w:lang w:val="en-GB" w:eastAsia="ro-RO"/>
        </w:rPr>
        <w:t xml:space="preserve"> 207/2018 expressly provides for the exclusive competence of this prosecutor’s office </w:t>
      </w:r>
      <w:r w:rsidR="00D56D95" w:rsidRPr="00EE08C7">
        <w:rPr>
          <w:rFonts w:ascii="Times New Roman" w:eastAsia="Arial Unicode MS" w:hAnsi="Times New Roman" w:cs="Times New Roman"/>
          <w:color w:val="000000"/>
          <w:sz w:val="28"/>
          <w:szCs w:val="28"/>
          <w:lang w:val="en-GB" w:eastAsia="ro-RO"/>
        </w:rPr>
        <w:t xml:space="preserve">structure </w:t>
      </w:r>
      <w:r w:rsidRPr="00EE08C7">
        <w:rPr>
          <w:rFonts w:ascii="Times New Roman" w:eastAsia="Arial Unicode MS" w:hAnsi="Times New Roman" w:cs="Times New Roman"/>
          <w:color w:val="000000"/>
          <w:sz w:val="28"/>
          <w:szCs w:val="28"/>
          <w:lang w:val="en-GB" w:eastAsia="ro-RO"/>
        </w:rPr>
        <w:t xml:space="preserve">to </w:t>
      </w:r>
      <w:r w:rsidR="00D56D95" w:rsidRPr="00EE08C7">
        <w:rPr>
          <w:rFonts w:ascii="Times New Roman" w:eastAsia="Arial Unicode MS" w:hAnsi="Times New Roman" w:cs="Times New Roman"/>
          <w:color w:val="000000"/>
          <w:sz w:val="28"/>
          <w:szCs w:val="28"/>
          <w:lang w:val="en-GB" w:eastAsia="ro-RO"/>
        </w:rPr>
        <w:t xml:space="preserve">perform criminal </w:t>
      </w:r>
      <w:r w:rsidRPr="00EE08C7">
        <w:rPr>
          <w:rFonts w:ascii="Times New Roman" w:eastAsia="Arial Unicode MS" w:hAnsi="Times New Roman" w:cs="Times New Roman"/>
          <w:color w:val="000000"/>
          <w:sz w:val="28"/>
          <w:szCs w:val="28"/>
          <w:lang w:val="en-GB" w:eastAsia="ro-RO"/>
        </w:rPr>
        <w:t>prosecut</w:t>
      </w:r>
      <w:r w:rsidR="00D56D95" w:rsidRPr="00EE08C7">
        <w:rPr>
          <w:rFonts w:ascii="Times New Roman" w:eastAsia="Arial Unicode MS" w:hAnsi="Times New Roman" w:cs="Times New Roman"/>
          <w:color w:val="000000"/>
          <w:sz w:val="28"/>
          <w:szCs w:val="28"/>
          <w:lang w:val="en-GB" w:eastAsia="ro-RO"/>
        </w:rPr>
        <w:t>ion</w:t>
      </w:r>
      <w:r w:rsidRPr="00EE08C7">
        <w:rPr>
          <w:rFonts w:ascii="Times New Roman" w:eastAsia="Arial Unicode MS" w:hAnsi="Times New Roman" w:cs="Times New Roman"/>
          <w:color w:val="000000"/>
          <w:sz w:val="28"/>
          <w:szCs w:val="28"/>
          <w:lang w:val="en-GB" w:eastAsia="ro-RO"/>
        </w:rPr>
        <w:t xml:space="preserve"> </w:t>
      </w:r>
      <w:r w:rsidR="00D56D95" w:rsidRPr="00EE08C7">
        <w:rPr>
          <w:rFonts w:ascii="Times New Roman" w:eastAsia="Arial Unicode MS" w:hAnsi="Times New Roman" w:cs="Times New Roman"/>
          <w:color w:val="000000"/>
          <w:sz w:val="28"/>
          <w:szCs w:val="28"/>
          <w:lang w:val="en-GB" w:eastAsia="ro-RO"/>
        </w:rPr>
        <w:t xml:space="preserve">for the offences </w:t>
      </w:r>
      <w:r w:rsidRPr="00EE08C7">
        <w:rPr>
          <w:rFonts w:ascii="Times New Roman" w:eastAsia="Arial Unicode MS" w:hAnsi="Times New Roman" w:cs="Times New Roman"/>
          <w:color w:val="000000"/>
          <w:sz w:val="28"/>
          <w:szCs w:val="28"/>
          <w:lang w:val="en-GB" w:eastAsia="ro-RO"/>
        </w:rPr>
        <w:t xml:space="preserve">committed by judges and prosecutors, including </w:t>
      </w:r>
      <w:r w:rsidR="00D56D95" w:rsidRPr="00EE08C7">
        <w:rPr>
          <w:rFonts w:ascii="Times New Roman" w:eastAsia="Arial Unicode MS" w:hAnsi="Times New Roman" w:cs="Times New Roman"/>
          <w:color w:val="000000"/>
          <w:sz w:val="28"/>
          <w:szCs w:val="28"/>
          <w:lang w:val="en-GB" w:eastAsia="ro-RO"/>
        </w:rPr>
        <w:t xml:space="preserve">military </w:t>
      </w:r>
      <w:r w:rsidRPr="00EE08C7">
        <w:rPr>
          <w:rFonts w:ascii="Times New Roman" w:eastAsia="Arial Unicode MS" w:hAnsi="Times New Roman" w:cs="Times New Roman"/>
          <w:color w:val="000000"/>
          <w:sz w:val="28"/>
          <w:szCs w:val="28"/>
          <w:lang w:val="en-GB" w:eastAsia="ro-RO"/>
        </w:rPr>
        <w:t>judges and prosecutors and those act</w:t>
      </w:r>
      <w:r w:rsidR="00D56D95" w:rsidRPr="00EE08C7">
        <w:rPr>
          <w:rFonts w:ascii="Times New Roman" w:eastAsia="Arial Unicode MS" w:hAnsi="Times New Roman" w:cs="Times New Roman"/>
          <w:color w:val="000000"/>
          <w:sz w:val="28"/>
          <w:szCs w:val="28"/>
          <w:lang w:val="en-GB" w:eastAsia="ro-RO"/>
        </w:rPr>
        <w:t>ing</w:t>
      </w:r>
      <w:r w:rsidRPr="00EE08C7">
        <w:rPr>
          <w:rFonts w:ascii="Times New Roman" w:eastAsia="Arial Unicode MS" w:hAnsi="Times New Roman" w:cs="Times New Roman"/>
          <w:color w:val="000000"/>
          <w:sz w:val="28"/>
          <w:szCs w:val="28"/>
          <w:lang w:val="en-GB" w:eastAsia="ro-RO"/>
        </w:rPr>
        <w:t xml:space="preserve"> as members of the Superior Council of Magistracy, on the basis of this provision, as of 23 October 2018 </w:t>
      </w:r>
      <w:r w:rsidR="00D56D95" w:rsidRPr="00EE08C7">
        <w:rPr>
          <w:rFonts w:ascii="Times New Roman" w:eastAsia="Arial Unicode MS" w:hAnsi="Times New Roman" w:cs="Times New Roman"/>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 date </w:t>
      </w:r>
      <w:r w:rsidR="00D56D95" w:rsidRPr="00EE08C7">
        <w:rPr>
          <w:rFonts w:ascii="Times New Roman" w:eastAsia="Arial Unicode MS" w:hAnsi="Times New Roman" w:cs="Times New Roman"/>
          <w:color w:val="000000"/>
          <w:sz w:val="28"/>
          <w:szCs w:val="28"/>
          <w:lang w:val="en-GB" w:eastAsia="ro-RO"/>
        </w:rPr>
        <w:t xml:space="preserve">established </w:t>
      </w:r>
      <w:r w:rsidRPr="00EE08C7">
        <w:rPr>
          <w:rFonts w:ascii="Times New Roman" w:eastAsia="Arial Unicode MS" w:hAnsi="Times New Roman" w:cs="Times New Roman"/>
          <w:color w:val="000000"/>
          <w:sz w:val="28"/>
          <w:szCs w:val="28"/>
          <w:lang w:val="en-GB" w:eastAsia="ro-RO"/>
        </w:rPr>
        <w:t xml:space="preserve">by law for </w:t>
      </w:r>
      <w:r w:rsidR="0065095E" w:rsidRPr="00EE08C7">
        <w:rPr>
          <w:rFonts w:ascii="Times New Roman" w:eastAsia="Arial Unicode MS" w:hAnsi="Times New Roman" w:cs="Times New Roman"/>
          <w:color w:val="000000"/>
          <w:sz w:val="28"/>
          <w:szCs w:val="28"/>
          <w:lang w:val="en-GB" w:eastAsia="ro-RO"/>
        </w:rPr>
        <w:t>making</w:t>
      </w:r>
      <w:r w:rsidRPr="00EE08C7">
        <w:rPr>
          <w:rFonts w:ascii="Times New Roman" w:eastAsia="Arial Unicode MS" w:hAnsi="Times New Roman" w:cs="Times New Roman"/>
          <w:color w:val="000000"/>
          <w:sz w:val="28"/>
          <w:szCs w:val="28"/>
          <w:lang w:val="en-GB" w:eastAsia="ro-RO"/>
        </w:rPr>
        <w:t xml:space="preserve"> the Section </w:t>
      </w:r>
      <w:r w:rsidR="0065095E" w:rsidRPr="00EE08C7">
        <w:rPr>
          <w:rFonts w:ascii="Times New Roman" w:eastAsia="Arial Unicode MS" w:hAnsi="Times New Roman" w:cs="Times New Roman"/>
          <w:color w:val="000000"/>
          <w:sz w:val="28"/>
          <w:szCs w:val="28"/>
          <w:lang w:val="en-GB" w:eastAsia="ro-RO"/>
        </w:rPr>
        <w:t>operational -,</w:t>
      </w:r>
      <w:r w:rsidR="00BF7E59">
        <w:rPr>
          <w:rFonts w:ascii="Times New Roman" w:eastAsia="Arial Unicode MS" w:hAnsi="Times New Roman" w:cs="Times New Roman"/>
          <w:color w:val="000000"/>
          <w:sz w:val="28"/>
          <w:szCs w:val="28"/>
          <w:lang w:val="en-GB" w:eastAsia="ro-RO"/>
        </w:rPr>
        <w:t xml:space="preserve"> the National Antic</w:t>
      </w:r>
      <w:r w:rsidRPr="00EE08C7">
        <w:rPr>
          <w:rFonts w:ascii="Times New Roman" w:eastAsia="Arial Unicode MS" w:hAnsi="Times New Roman" w:cs="Times New Roman"/>
          <w:color w:val="000000"/>
          <w:sz w:val="28"/>
          <w:szCs w:val="28"/>
          <w:lang w:val="en-GB" w:eastAsia="ro-RO"/>
        </w:rPr>
        <w:t xml:space="preserve">orruption Directorate and other prosecutors’ offices were no longer competent to </w:t>
      </w:r>
      <w:r w:rsidR="0065095E" w:rsidRPr="00EE08C7">
        <w:rPr>
          <w:rFonts w:ascii="Times New Roman" w:eastAsia="Arial Unicode MS" w:hAnsi="Times New Roman" w:cs="Times New Roman"/>
          <w:color w:val="000000"/>
          <w:sz w:val="28"/>
          <w:szCs w:val="28"/>
          <w:lang w:val="en-GB" w:eastAsia="ro-RO"/>
        </w:rPr>
        <w:t xml:space="preserve">perform </w:t>
      </w:r>
      <w:r w:rsidRPr="00EE08C7">
        <w:rPr>
          <w:rFonts w:ascii="Times New Roman" w:eastAsia="Arial Unicode MS" w:hAnsi="Times New Roman" w:cs="Times New Roman"/>
          <w:color w:val="000000"/>
          <w:sz w:val="28"/>
          <w:szCs w:val="28"/>
          <w:lang w:val="en-GB" w:eastAsia="ro-RO"/>
        </w:rPr>
        <w:t xml:space="preserve">criminal </w:t>
      </w:r>
      <w:r w:rsidR="0065095E" w:rsidRPr="00EE08C7">
        <w:rPr>
          <w:rFonts w:ascii="Times New Roman" w:eastAsia="Arial Unicode MS" w:hAnsi="Times New Roman" w:cs="Times New Roman"/>
          <w:color w:val="000000"/>
          <w:sz w:val="28"/>
          <w:szCs w:val="28"/>
          <w:lang w:val="en-GB" w:eastAsia="ro-RO"/>
        </w:rPr>
        <w:t xml:space="preserve">prosecution of the </w:t>
      </w:r>
      <w:r w:rsidRPr="00EE08C7">
        <w:rPr>
          <w:rFonts w:ascii="Times New Roman" w:eastAsia="Arial Unicode MS" w:hAnsi="Times New Roman" w:cs="Times New Roman"/>
          <w:color w:val="000000"/>
          <w:sz w:val="28"/>
          <w:szCs w:val="28"/>
          <w:lang w:val="en-GB" w:eastAsia="ro-RO"/>
        </w:rPr>
        <w:t xml:space="preserve">offences committed by these  persons. Such a situation was likely to have a serious impact on </w:t>
      </w:r>
      <w:r w:rsidR="0065095E" w:rsidRPr="00EE08C7">
        <w:rPr>
          <w:rFonts w:ascii="Times New Roman" w:eastAsia="Arial Unicode MS" w:hAnsi="Times New Roman" w:cs="Times New Roman"/>
          <w:color w:val="000000"/>
          <w:sz w:val="28"/>
          <w:szCs w:val="28"/>
          <w:lang w:val="en-GB" w:eastAsia="ro-RO"/>
        </w:rPr>
        <w:t xml:space="preserve">the </w:t>
      </w:r>
      <w:r w:rsidRPr="00EE08C7">
        <w:rPr>
          <w:rFonts w:ascii="Times New Roman" w:eastAsia="Arial Unicode MS" w:hAnsi="Times New Roman" w:cs="Times New Roman"/>
          <w:color w:val="000000"/>
          <w:sz w:val="28"/>
          <w:szCs w:val="28"/>
          <w:lang w:val="en-GB" w:eastAsia="ro-RO"/>
        </w:rPr>
        <w:t>judicial proce</w:t>
      </w:r>
      <w:r w:rsidR="0065095E" w:rsidRPr="00EE08C7">
        <w:rPr>
          <w:rFonts w:ascii="Times New Roman" w:eastAsia="Arial Unicode MS" w:hAnsi="Times New Roman" w:cs="Times New Roman"/>
          <w:color w:val="000000"/>
          <w:sz w:val="28"/>
          <w:szCs w:val="28"/>
          <w:lang w:val="en-GB" w:eastAsia="ro-RO"/>
        </w:rPr>
        <w:t xml:space="preserve">dures </w:t>
      </w:r>
      <w:r w:rsidRPr="00EE08C7">
        <w:rPr>
          <w:rFonts w:ascii="Times New Roman" w:eastAsia="Arial Unicode MS" w:hAnsi="Times New Roman" w:cs="Times New Roman"/>
          <w:color w:val="000000"/>
          <w:sz w:val="28"/>
          <w:szCs w:val="28"/>
          <w:lang w:val="en-GB" w:eastAsia="ro-RO"/>
        </w:rPr>
        <w:t xml:space="preserve">in criminal cases which fell within the jurisdiction of the section </w:t>
      </w:r>
      <w:r w:rsidR="0065095E" w:rsidRPr="00EE08C7">
        <w:rPr>
          <w:rFonts w:ascii="Times New Roman" w:eastAsia="Arial Unicode MS" w:hAnsi="Times New Roman" w:cs="Times New Roman"/>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 in practice, from the date ordered by the legislator, </w:t>
      </w:r>
      <w:r w:rsidR="0065095E" w:rsidRPr="00EE08C7">
        <w:rPr>
          <w:rFonts w:ascii="Times New Roman" w:eastAsia="Arial Unicode MS" w:hAnsi="Times New Roman" w:cs="Times New Roman"/>
          <w:color w:val="000000"/>
          <w:sz w:val="28"/>
          <w:szCs w:val="28"/>
          <w:lang w:val="en-GB" w:eastAsia="ro-RO"/>
        </w:rPr>
        <w:t xml:space="preserve">the Section not being made operational, </w:t>
      </w:r>
      <w:r w:rsidRPr="00EE08C7">
        <w:rPr>
          <w:rFonts w:ascii="Times New Roman" w:eastAsia="Arial Unicode MS" w:hAnsi="Times New Roman" w:cs="Times New Roman"/>
          <w:iCs/>
          <w:color w:val="000000"/>
          <w:sz w:val="28"/>
          <w:szCs w:val="28"/>
          <w:lang w:val="en-GB" w:eastAsia="ro-RO"/>
        </w:rPr>
        <w:t xml:space="preserve">it was no longer possible to carry out the acts of </w:t>
      </w:r>
      <w:r w:rsidR="0065095E" w:rsidRPr="00EE08C7">
        <w:rPr>
          <w:rFonts w:ascii="Times New Roman" w:eastAsia="Arial Unicode MS" w:hAnsi="Times New Roman" w:cs="Times New Roman"/>
          <w:iCs/>
          <w:color w:val="000000"/>
          <w:sz w:val="28"/>
          <w:szCs w:val="28"/>
          <w:lang w:val="en-GB" w:eastAsia="ro-RO"/>
        </w:rPr>
        <w:t xml:space="preserve">criminal </w:t>
      </w:r>
      <w:r w:rsidRPr="00EE08C7">
        <w:rPr>
          <w:rFonts w:ascii="Times New Roman" w:eastAsia="Arial Unicode MS" w:hAnsi="Times New Roman" w:cs="Times New Roman"/>
          <w:iCs/>
          <w:color w:val="000000"/>
          <w:sz w:val="28"/>
          <w:szCs w:val="28"/>
          <w:lang w:val="en-GB" w:eastAsia="ro-RO"/>
        </w:rPr>
        <w:t>prosecution</w:t>
      </w:r>
      <w:r w:rsidRPr="00EE08C7">
        <w:rPr>
          <w:rFonts w:ascii="Times New Roman" w:eastAsia="Arial Unicode MS" w:hAnsi="Times New Roman" w:cs="Times New Roman"/>
          <w:color w:val="000000"/>
          <w:sz w:val="28"/>
          <w:szCs w:val="28"/>
          <w:lang w:val="en-GB" w:eastAsia="ro-RO"/>
        </w:rPr>
        <w:t xml:space="preserve"> in the </w:t>
      </w:r>
      <w:r w:rsidR="0065095E" w:rsidRPr="00EE08C7">
        <w:rPr>
          <w:rFonts w:ascii="Times New Roman" w:eastAsia="Arial Unicode MS" w:hAnsi="Times New Roman" w:cs="Times New Roman"/>
          <w:color w:val="000000"/>
          <w:sz w:val="28"/>
          <w:szCs w:val="28"/>
          <w:lang w:val="en-GB" w:eastAsia="ro-RO"/>
        </w:rPr>
        <w:t xml:space="preserve">above-mentioned </w:t>
      </w:r>
      <w:r w:rsidRPr="00EE08C7">
        <w:rPr>
          <w:rFonts w:ascii="Times New Roman" w:eastAsia="Arial Unicode MS" w:hAnsi="Times New Roman" w:cs="Times New Roman"/>
          <w:color w:val="000000"/>
          <w:sz w:val="28"/>
          <w:szCs w:val="28"/>
          <w:lang w:val="en-GB" w:eastAsia="ro-RO"/>
        </w:rPr>
        <w:t xml:space="preserve">criminal cases </w:t>
      </w:r>
      <w:r w:rsidR="0065095E" w:rsidRPr="00EE08C7">
        <w:rPr>
          <w:rFonts w:ascii="Times New Roman" w:eastAsia="Arial Unicode MS" w:hAnsi="Times New Roman" w:cs="Times New Roman"/>
          <w:color w:val="000000"/>
          <w:sz w:val="28"/>
          <w:szCs w:val="28"/>
          <w:lang w:val="en-GB" w:eastAsia="ro-RO"/>
        </w:rPr>
        <w:t xml:space="preserve">- </w:t>
      </w:r>
      <w:r w:rsidRPr="00EE08C7">
        <w:rPr>
          <w:rFonts w:ascii="Times New Roman" w:eastAsia="Arial Unicode MS" w:hAnsi="Times New Roman" w:cs="Times New Roman"/>
          <w:color w:val="000000"/>
          <w:sz w:val="28"/>
          <w:szCs w:val="28"/>
          <w:lang w:val="en-GB" w:eastAsia="ro-RO"/>
        </w:rPr>
        <w:t xml:space="preserve">and </w:t>
      </w:r>
      <w:r w:rsidR="0065095E" w:rsidRPr="00EE08C7">
        <w:rPr>
          <w:rFonts w:ascii="Times New Roman" w:eastAsia="Arial Unicode MS" w:hAnsi="Times New Roman" w:cs="Times New Roman"/>
          <w:color w:val="000000"/>
          <w:sz w:val="28"/>
          <w:szCs w:val="28"/>
          <w:lang w:val="en-GB" w:eastAsia="ro-RO"/>
        </w:rPr>
        <w:t>created</w:t>
      </w:r>
      <w:r w:rsidRPr="00EE08C7">
        <w:rPr>
          <w:rFonts w:ascii="Times New Roman" w:eastAsia="Arial Unicode MS" w:hAnsi="Times New Roman" w:cs="Times New Roman"/>
          <w:color w:val="000000"/>
          <w:sz w:val="28"/>
          <w:szCs w:val="28"/>
          <w:lang w:val="en-GB" w:eastAsia="ro-RO"/>
        </w:rPr>
        <w:t xml:space="preserve"> </w:t>
      </w:r>
      <w:r w:rsidR="0065095E" w:rsidRPr="00EE08C7">
        <w:rPr>
          <w:rFonts w:ascii="Times New Roman" w:eastAsia="Arial Unicode MS" w:hAnsi="Times New Roman" w:cs="Times New Roman"/>
          <w:color w:val="000000"/>
          <w:sz w:val="28"/>
          <w:szCs w:val="28"/>
          <w:lang w:val="en-GB" w:eastAsia="ro-RO"/>
        </w:rPr>
        <w:t xml:space="preserve">an institutional blockage, aspects </w:t>
      </w:r>
      <w:r w:rsidRPr="00EE08C7">
        <w:rPr>
          <w:rFonts w:ascii="Times New Roman" w:eastAsia="Arial Unicode MS" w:hAnsi="Times New Roman" w:cs="Times New Roman"/>
          <w:color w:val="000000"/>
          <w:sz w:val="28"/>
          <w:szCs w:val="28"/>
          <w:lang w:val="en-GB" w:eastAsia="ro-RO"/>
        </w:rPr>
        <w:t>which</w:t>
      </w:r>
      <w:r w:rsidR="002C7C5B" w:rsidRPr="00EE08C7">
        <w:rPr>
          <w:rFonts w:ascii="Times New Roman" w:eastAsia="Arial Unicode MS" w:hAnsi="Times New Roman" w:cs="Times New Roman"/>
          <w:color w:val="000000"/>
          <w:sz w:val="28"/>
          <w:szCs w:val="28"/>
          <w:lang w:val="en-GB" w:eastAsia="ro-RO"/>
        </w:rPr>
        <w:t>, aiming at realizing the jurisdiction of public authorities, respectively of Prosecutor’s Offices, and the realization of the constitutional role of the Public Ministry, concern</w:t>
      </w:r>
      <w:r w:rsidRPr="00EE08C7">
        <w:rPr>
          <w:rFonts w:ascii="Times New Roman" w:hAnsi="Times New Roman" w:cs="Times New Roman"/>
          <w:sz w:val="28"/>
          <w:szCs w:val="28"/>
          <w:lang w:val="en-GB"/>
        </w:rPr>
        <w:t xml:space="preserve"> a public interest</w:t>
      </w:r>
      <w:r w:rsidR="002C7C5B" w:rsidRPr="00EE08C7">
        <w:rPr>
          <w:rFonts w:ascii="Times New Roman" w:eastAsia="Arial Unicode MS" w:hAnsi="Times New Roman" w:cs="Times New Roman"/>
          <w:color w:val="000000"/>
          <w:sz w:val="28"/>
          <w:szCs w:val="28"/>
          <w:lang w:val="en-GB" w:eastAsia="ro-RO"/>
        </w:rPr>
        <w:t xml:space="preserve"> -</w:t>
      </w:r>
      <w:r w:rsidRPr="00EE08C7">
        <w:rPr>
          <w:rFonts w:ascii="Times New Roman" w:eastAsia="Arial Unicode MS" w:hAnsi="Times New Roman" w:cs="Times New Roman"/>
          <w:color w:val="000000"/>
          <w:sz w:val="28"/>
          <w:szCs w:val="28"/>
          <w:lang w:val="en-GB" w:eastAsia="ro-RO"/>
        </w:rPr>
        <w:t xml:space="preserve"> the </w:t>
      </w:r>
      <w:r w:rsidR="002C7C5B" w:rsidRPr="00EE08C7">
        <w:rPr>
          <w:rFonts w:ascii="Times New Roman" w:eastAsia="Arial Unicode MS" w:hAnsi="Times New Roman" w:cs="Times New Roman"/>
          <w:color w:val="000000"/>
          <w:sz w:val="28"/>
          <w:szCs w:val="28"/>
          <w:lang w:val="en-GB" w:eastAsia="ro-RO"/>
        </w:rPr>
        <w:t xml:space="preserve">realization of </w:t>
      </w:r>
      <w:r w:rsidRPr="00EE08C7">
        <w:rPr>
          <w:rFonts w:ascii="Times New Roman" w:eastAsia="Arial Unicode MS" w:hAnsi="Times New Roman" w:cs="Times New Roman"/>
          <w:color w:val="000000"/>
          <w:sz w:val="28"/>
          <w:szCs w:val="28"/>
          <w:lang w:val="en-GB" w:eastAsia="ro-RO"/>
        </w:rPr>
        <w:t xml:space="preserve">jurisdiction </w:t>
      </w:r>
      <w:r w:rsidRPr="00EE08C7">
        <w:rPr>
          <w:rFonts w:ascii="Times New Roman" w:hAnsi="Times New Roman" w:cs="Times New Roman"/>
          <w:sz w:val="28"/>
          <w:szCs w:val="28"/>
          <w:lang w:val="en-GB"/>
        </w:rPr>
        <w:t xml:space="preserve">of the Public Ministry conferred on it by the Constitution and </w:t>
      </w:r>
      <w:r w:rsidR="002C7C5B" w:rsidRPr="00EE08C7">
        <w:rPr>
          <w:rFonts w:ascii="Times New Roman" w:hAnsi="Times New Roman" w:cs="Times New Roman"/>
          <w:sz w:val="28"/>
          <w:szCs w:val="28"/>
          <w:lang w:val="en-GB"/>
        </w:rPr>
        <w:t xml:space="preserve">by </w:t>
      </w:r>
      <w:r w:rsidRPr="00EE08C7">
        <w:rPr>
          <w:rFonts w:ascii="Times New Roman" w:hAnsi="Times New Roman" w:cs="Times New Roman"/>
          <w:sz w:val="28"/>
          <w:szCs w:val="28"/>
          <w:lang w:val="en-GB"/>
        </w:rPr>
        <w:t>the law</w:t>
      </w:r>
      <w:r w:rsidR="002C7C5B" w:rsidRPr="00EE08C7">
        <w:rPr>
          <w:rFonts w:ascii="Times New Roman" w:hAnsi="Times New Roman" w:cs="Times New Roman"/>
          <w:sz w:val="28"/>
          <w:szCs w:val="28"/>
          <w:lang w:val="en-GB"/>
        </w:rPr>
        <w:t>,</w:t>
      </w:r>
      <w:r w:rsidRPr="00EE08C7">
        <w:rPr>
          <w:rFonts w:ascii="Times New Roman" w:hAnsi="Times New Roman" w:cs="Times New Roman"/>
          <w:sz w:val="28"/>
          <w:szCs w:val="28"/>
          <w:lang w:val="en-GB"/>
        </w:rPr>
        <w:t xml:space="preserve"> constitutes, as is the case for any other public authority, not only a faculty but also an obligation. </w:t>
      </w:r>
    </w:p>
    <w:p w:rsidR="0021723C" w:rsidRPr="00EE08C7" w:rsidRDefault="0021723C">
      <w:pPr>
        <w:pStyle w:val="ListParagraph"/>
        <w:numPr>
          <w:ilvl w:val="0"/>
          <w:numId w:val="2"/>
        </w:numPr>
        <w:autoSpaceDE w:val="0"/>
        <w:spacing w:after="0" w:line="360" w:lineRule="auto"/>
        <w:ind w:left="0" w:firstLine="630"/>
        <w:jc w:val="both"/>
        <w:rPr>
          <w:lang w:val="en-GB"/>
        </w:rPr>
      </w:pPr>
      <w:r w:rsidRPr="00EE08C7">
        <w:rPr>
          <w:rFonts w:ascii="Times New Roman" w:eastAsia="Arial Unicode MS" w:hAnsi="Times New Roman" w:cs="Times New Roman"/>
          <w:color w:val="000000"/>
          <w:sz w:val="28"/>
          <w:szCs w:val="28"/>
          <w:lang w:val="en-GB" w:eastAsia="ro-RO"/>
        </w:rPr>
        <w:t xml:space="preserve">As regards the </w:t>
      </w:r>
      <w:r w:rsidR="002C7C5B" w:rsidRPr="00EE08C7">
        <w:rPr>
          <w:rFonts w:ascii="Times New Roman" w:eastAsia="Arial Unicode MS" w:hAnsi="Times New Roman" w:cs="Times New Roman"/>
          <w:color w:val="000000"/>
          <w:sz w:val="28"/>
          <w:szCs w:val="28"/>
          <w:lang w:val="en-GB" w:eastAsia="ro-RO"/>
        </w:rPr>
        <w:t>statement</w:t>
      </w:r>
      <w:r w:rsidRPr="00EE08C7">
        <w:rPr>
          <w:rFonts w:ascii="Times New Roman" w:eastAsia="Arial Unicode MS" w:hAnsi="Times New Roman" w:cs="Times New Roman"/>
          <w:color w:val="000000"/>
          <w:sz w:val="28"/>
          <w:szCs w:val="28"/>
          <w:lang w:val="en-GB" w:eastAsia="ro-RO"/>
        </w:rPr>
        <w:t xml:space="preserve"> that, between the date of adoption of the emergency ord</w:t>
      </w:r>
      <w:r w:rsidR="002C7C5B" w:rsidRPr="00EE08C7">
        <w:rPr>
          <w:rFonts w:ascii="Times New Roman" w:eastAsia="Arial Unicode MS" w:hAnsi="Times New Roman" w:cs="Times New Roman"/>
          <w:color w:val="000000"/>
          <w:sz w:val="28"/>
          <w:szCs w:val="28"/>
          <w:lang w:val="en-GB" w:eastAsia="ro-RO"/>
        </w:rPr>
        <w:t>inance</w:t>
      </w:r>
      <w:r w:rsidRPr="00EE08C7">
        <w:rPr>
          <w:rFonts w:ascii="Times New Roman" w:eastAsia="Arial Unicode MS" w:hAnsi="Times New Roman" w:cs="Times New Roman"/>
          <w:color w:val="000000"/>
          <w:sz w:val="28"/>
          <w:szCs w:val="28"/>
          <w:lang w:val="en-GB" w:eastAsia="ro-RO"/>
        </w:rPr>
        <w:t xml:space="preserve"> and the date of expiry of the legal deadline of 3 months, </w:t>
      </w:r>
      <w:r w:rsidR="00BF57A9" w:rsidRPr="00EE08C7">
        <w:rPr>
          <w:rFonts w:ascii="Times New Roman" w:eastAsia="Arial Unicode MS" w:hAnsi="Times New Roman" w:cs="Times New Roman"/>
          <w:color w:val="000000"/>
          <w:sz w:val="28"/>
          <w:szCs w:val="28"/>
          <w:lang w:val="en-GB" w:eastAsia="ro-RO"/>
        </w:rPr>
        <w:t xml:space="preserve">there were </w:t>
      </w:r>
      <w:r w:rsidRPr="00EE08C7">
        <w:rPr>
          <w:rFonts w:ascii="Times New Roman" w:eastAsia="Arial Unicode MS" w:hAnsi="Times New Roman" w:cs="Times New Roman"/>
          <w:color w:val="000000"/>
          <w:sz w:val="28"/>
          <w:szCs w:val="28"/>
          <w:lang w:val="en-GB" w:eastAsia="ro-RO"/>
        </w:rPr>
        <w:t xml:space="preserve">approximately 13 days in which the Parliament could </w:t>
      </w:r>
      <w:r w:rsidR="00BF57A9" w:rsidRPr="00EE08C7">
        <w:rPr>
          <w:rFonts w:ascii="Times New Roman" w:eastAsia="Arial Unicode MS" w:hAnsi="Times New Roman" w:cs="Times New Roman"/>
          <w:color w:val="000000"/>
          <w:sz w:val="28"/>
          <w:szCs w:val="28"/>
          <w:lang w:val="en-GB" w:eastAsia="ro-RO"/>
        </w:rPr>
        <w:t xml:space="preserve">have </w:t>
      </w:r>
      <w:r w:rsidRPr="00EE08C7">
        <w:rPr>
          <w:rFonts w:ascii="Times New Roman" w:eastAsia="Arial Unicode MS" w:hAnsi="Times New Roman" w:cs="Times New Roman"/>
          <w:color w:val="000000"/>
          <w:sz w:val="28"/>
          <w:szCs w:val="28"/>
          <w:lang w:val="en-GB" w:eastAsia="ro-RO"/>
        </w:rPr>
        <w:t>adopt</w:t>
      </w:r>
      <w:r w:rsidR="00BF57A9" w:rsidRPr="00EE08C7">
        <w:rPr>
          <w:rFonts w:ascii="Times New Roman" w:eastAsia="Arial Unicode MS" w:hAnsi="Times New Roman" w:cs="Times New Roman"/>
          <w:color w:val="000000"/>
          <w:sz w:val="28"/>
          <w:szCs w:val="28"/>
          <w:lang w:val="en-GB" w:eastAsia="ro-RO"/>
        </w:rPr>
        <w:t>ed</w:t>
      </w:r>
      <w:r w:rsidRPr="00EE08C7">
        <w:rPr>
          <w:rFonts w:ascii="Times New Roman" w:eastAsia="Arial Unicode MS" w:hAnsi="Times New Roman" w:cs="Times New Roman"/>
          <w:color w:val="000000"/>
          <w:sz w:val="28"/>
          <w:szCs w:val="28"/>
          <w:lang w:val="en-GB" w:eastAsia="ro-RO"/>
        </w:rPr>
        <w:t xml:space="preserve"> a law with urgency </w:t>
      </w:r>
      <w:r w:rsidR="00BF57A9" w:rsidRPr="00EE08C7">
        <w:rPr>
          <w:rFonts w:ascii="Times New Roman" w:eastAsia="Arial Unicode MS" w:hAnsi="Times New Roman" w:cs="Times New Roman"/>
          <w:color w:val="000000"/>
          <w:sz w:val="28"/>
          <w:szCs w:val="28"/>
          <w:lang w:val="en-GB" w:eastAsia="ro-RO"/>
        </w:rPr>
        <w:t>procedure, the Government deems</w:t>
      </w:r>
      <w:r w:rsidRPr="00EE08C7">
        <w:rPr>
          <w:rFonts w:ascii="Times New Roman" w:eastAsia="Arial Unicode MS" w:hAnsi="Times New Roman" w:cs="Times New Roman"/>
          <w:color w:val="000000"/>
          <w:sz w:val="28"/>
          <w:szCs w:val="28"/>
          <w:lang w:val="en-GB" w:eastAsia="ro-RO"/>
        </w:rPr>
        <w:t xml:space="preserve"> that it was </w:t>
      </w:r>
      <w:r w:rsidR="00BF57A9" w:rsidRPr="00EE08C7">
        <w:rPr>
          <w:rFonts w:ascii="Times New Roman" w:eastAsia="Arial Unicode MS" w:hAnsi="Times New Roman" w:cs="Times New Roman"/>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unrealistic, taking into </w:t>
      </w:r>
      <w:r w:rsidRPr="00EE08C7">
        <w:rPr>
          <w:rFonts w:ascii="Times New Roman" w:eastAsia="Arial Unicode MS" w:hAnsi="Times New Roman" w:cs="Times New Roman"/>
          <w:color w:val="000000"/>
          <w:sz w:val="28"/>
          <w:szCs w:val="28"/>
          <w:lang w:val="en-GB" w:eastAsia="ro-RO"/>
        </w:rPr>
        <w:lastRenderedPageBreak/>
        <w:t>account the foreseeable</w:t>
      </w:r>
      <w:r w:rsidR="00BF57A9" w:rsidRPr="00EE08C7">
        <w:rPr>
          <w:rFonts w:ascii="Times New Roman" w:eastAsia="Arial Unicode MS" w:hAnsi="Times New Roman" w:cs="Times New Roman"/>
          <w:color w:val="000000"/>
          <w:sz w:val="28"/>
          <w:szCs w:val="28"/>
          <w:lang w:val="en-GB" w:eastAsia="ro-RO"/>
        </w:rPr>
        <w:t>, cumulated</w:t>
      </w:r>
      <w:r w:rsidRPr="00EE08C7">
        <w:rPr>
          <w:rFonts w:ascii="Times New Roman" w:eastAsia="Arial Unicode MS" w:hAnsi="Times New Roman" w:cs="Times New Roman"/>
          <w:color w:val="000000"/>
          <w:sz w:val="28"/>
          <w:szCs w:val="28"/>
          <w:lang w:val="en-GB" w:eastAsia="ro-RO"/>
        </w:rPr>
        <w:t xml:space="preserve"> duration of the law making procedure and the entry into force of a law and the extremely short time until the expiry of the deadline set by Parliament for </w:t>
      </w:r>
      <w:r w:rsidR="00BF57A9" w:rsidRPr="00EE08C7">
        <w:rPr>
          <w:rFonts w:ascii="Times New Roman" w:eastAsia="Arial Unicode MS" w:hAnsi="Times New Roman" w:cs="Times New Roman"/>
          <w:color w:val="000000"/>
          <w:sz w:val="28"/>
          <w:szCs w:val="28"/>
          <w:lang w:val="en-GB" w:eastAsia="ro-RO"/>
        </w:rPr>
        <w:t xml:space="preserve">making </w:t>
      </w:r>
      <w:r w:rsidRPr="00EE08C7">
        <w:rPr>
          <w:rFonts w:ascii="Times New Roman" w:eastAsia="Arial Unicode MS" w:hAnsi="Times New Roman" w:cs="Times New Roman"/>
          <w:color w:val="000000"/>
          <w:sz w:val="28"/>
          <w:szCs w:val="28"/>
          <w:lang w:val="en-GB" w:eastAsia="ro-RO"/>
        </w:rPr>
        <w:t>the section</w:t>
      </w:r>
      <w:r w:rsidR="00BF57A9" w:rsidRPr="00EE08C7">
        <w:rPr>
          <w:rFonts w:ascii="Times New Roman" w:eastAsia="Arial Unicode MS" w:hAnsi="Times New Roman" w:cs="Times New Roman"/>
          <w:color w:val="000000"/>
          <w:sz w:val="28"/>
          <w:szCs w:val="28"/>
          <w:lang w:val="en-GB" w:eastAsia="ro-RO"/>
        </w:rPr>
        <w:t xml:space="preserve"> operational</w:t>
      </w:r>
      <w:r w:rsidRPr="00EE08C7">
        <w:rPr>
          <w:rFonts w:ascii="Times New Roman" w:eastAsia="Arial Unicode MS" w:hAnsi="Times New Roman" w:cs="Times New Roman"/>
          <w:color w:val="000000"/>
          <w:sz w:val="28"/>
          <w:szCs w:val="28"/>
          <w:lang w:val="en-GB" w:eastAsia="ro-RO"/>
        </w:rPr>
        <w:t xml:space="preserve">; moreover, at the time of the adoption of the emergency ordinance there was no legislative initiative </w:t>
      </w:r>
      <w:r w:rsidR="00BF57A9" w:rsidRPr="00EE08C7">
        <w:rPr>
          <w:rFonts w:ascii="Times New Roman" w:eastAsia="Arial Unicode MS" w:hAnsi="Times New Roman" w:cs="Times New Roman"/>
          <w:color w:val="000000"/>
          <w:sz w:val="28"/>
          <w:szCs w:val="28"/>
          <w:lang w:val="en-GB" w:eastAsia="ro-RO"/>
        </w:rPr>
        <w:t xml:space="preserve">debated by the </w:t>
      </w:r>
      <w:r w:rsidRPr="00EE08C7">
        <w:rPr>
          <w:rFonts w:ascii="Times New Roman" w:eastAsia="Arial Unicode MS" w:hAnsi="Times New Roman" w:cs="Times New Roman"/>
          <w:color w:val="000000"/>
          <w:sz w:val="28"/>
          <w:szCs w:val="28"/>
          <w:lang w:val="en-GB" w:eastAsia="ro-RO"/>
        </w:rPr>
        <w:t xml:space="preserve">Parliament </w:t>
      </w:r>
      <w:r w:rsidR="00BF57A9" w:rsidRPr="00EE08C7">
        <w:rPr>
          <w:rFonts w:ascii="Times New Roman" w:eastAsia="Arial Unicode MS" w:hAnsi="Times New Roman" w:cs="Times New Roman"/>
          <w:color w:val="000000"/>
          <w:sz w:val="28"/>
          <w:szCs w:val="28"/>
          <w:lang w:val="en-GB" w:eastAsia="ro-RO"/>
        </w:rPr>
        <w:t xml:space="preserve">having as object </w:t>
      </w:r>
      <w:r w:rsidRPr="00EE08C7">
        <w:rPr>
          <w:rFonts w:ascii="Times New Roman" w:eastAsia="Arial Unicode MS" w:hAnsi="Times New Roman" w:cs="Times New Roman"/>
          <w:color w:val="000000"/>
          <w:sz w:val="28"/>
          <w:szCs w:val="28"/>
          <w:lang w:val="en-GB" w:eastAsia="ro-RO"/>
        </w:rPr>
        <w:t xml:space="preserve">to take </w:t>
      </w:r>
      <w:r w:rsidR="00BF57A9" w:rsidRPr="00EE08C7">
        <w:rPr>
          <w:rFonts w:ascii="Times New Roman" w:eastAsia="Arial Unicode MS" w:hAnsi="Times New Roman" w:cs="Times New Roman"/>
          <w:color w:val="000000"/>
          <w:sz w:val="28"/>
          <w:szCs w:val="28"/>
          <w:lang w:val="en-GB" w:eastAsia="ro-RO"/>
        </w:rPr>
        <w:t xml:space="preserve">some measures </w:t>
      </w:r>
      <w:r w:rsidRPr="00EE08C7">
        <w:rPr>
          <w:rFonts w:ascii="Times New Roman" w:eastAsia="Arial Unicode MS" w:hAnsi="Times New Roman" w:cs="Times New Roman"/>
          <w:color w:val="000000"/>
          <w:sz w:val="28"/>
          <w:szCs w:val="28"/>
          <w:lang w:val="en-GB" w:eastAsia="ro-RO"/>
        </w:rPr>
        <w:t xml:space="preserve">to remedy the </w:t>
      </w:r>
      <w:r w:rsidR="00BF57A9" w:rsidRPr="00EE08C7">
        <w:rPr>
          <w:rFonts w:ascii="Times New Roman" w:eastAsia="Arial Unicode MS" w:hAnsi="Times New Roman" w:cs="Times New Roman"/>
          <w:color w:val="000000"/>
          <w:sz w:val="28"/>
          <w:szCs w:val="28"/>
          <w:lang w:val="en-GB" w:eastAsia="ro-RO"/>
        </w:rPr>
        <w:t xml:space="preserve">presented </w:t>
      </w:r>
      <w:r w:rsidRPr="00EE08C7">
        <w:rPr>
          <w:rFonts w:ascii="Times New Roman" w:eastAsia="Arial Unicode MS" w:hAnsi="Times New Roman" w:cs="Times New Roman"/>
          <w:color w:val="000000"/>
          <w:sz w:val="28"/>
          <w:szCs w:val="28"/>
          <w:lang w:val="en-GB" w:eastAsia="ro-RO"/>
        </w:rPr>
        <w:t>extraordinary situation”.</w:t>
      </w:r>
    </w:p>
    <w:p w:rsidR="0021723C" w:rsidRPr="00EE08C7" w:rsidRDefault="0021723C">
      <w:pPr>
        <w:pStyle w:val="ListParagraph"/>
        <w:numPr>
          <w:ilvl w:val="0"/>
          <w:numId w:val="2"/>
        </w:numPr>
        <w:autoSpaceDE w:val="0"/>
        <w:spacing w:after="0" w:line="360" w:lineRule="auto"/>
        <w:ind w:left="0" w:firstLine="630"/>
        <w:jc w:val="both"/>
        <w:rPr>
          <w:rFonts w:ascii="Times New Roman" w:hAnsi="Times New Roman" w:cs="Times New Roman"/>
          <w:sz w:val="28"/>
          <w:szCs w:val="28"/>
          <w:lang w:val="en-GB"/>
        </w:rPr>
      </w:pPr>
      <w:r w:rsidRPr="00EE08C7">
        <w:rPr>
          <w:rFonts w:ascii="Times New Roman" w:eastAsia="Arial Unicode MS" w:hAnsi="Times New Roman" w:cs="Times New Roman"/>
          <w:color w:val="000000"/>
          <w:sz w:val="28"/>
          <w:szCs w:val="28"/>
          <w:lang w:val="en-GB" w:eastAsia="ro-RO"/>
        </w:rPr>
        <w:t xml:space="preserve">With regard to the criticism </w:t>
      </w:r>
      <w:r w:rsidR="00F5431B" w:rsidRPr="00EE08C7">
        <w:rPr>
          <w:rFonts w:ascii="Times New Roman" w:eastAsia="Arial Unicode MS" w:hAnsi="Times New Roman" w:cs="Times New Roman"/>
          <w:color w:val="000000"/>
          <w:sz w:val="28"/>
          <w:szCs w:val="28"/>
          <w:lang w:val="en-GB" w:eastAsia="ro-RO"/>
        </w:rPr>
        <w:t xml:space="preserve">on </w:t>
      </w:r>
      <w:r w:rsidRPr="00EE08C7">
        <w:rPr>
          <w:rFonts w:ascii="Times New Roman" w:eastAsia="Arial Unicode MS" w:hAnsi="Times New Roman" w:cs="Times New Roman"/>
          <w:color w:val="000000"/>
          <w:sz w:val="28"/>
          <w:szCs w:val="28"/>
          <w:lang w:val="en-GB" w:eastAsia="ro-RO"/>
        </w:rPr>
        <w:t>Article 1 of Government Emergency Ord</w:t>
      </w:r>
      <w:r w:rsidR="00F5431B" w:rsidRPr="00EE08C7">
        <w:rPr>
          <w:rFonts w:ascii="Times New Roman" w:eastAsia="Arial Unicode MS" w:hAnsi="Times New Roman" w:cs="Times New Roman"/>
          <w:color w:val="000000"/>
          <w:sz w:val="28"/>
          <w:szCs w:val="28"/>
          <w:lang w:val="en-GB" w:eastAsia="ro-RO"/>
        </w:rPr>
        <w:t>inance</w:t>
      </w:r>
      <w:r w:rsidRPr="00EE08C7">
        <w:rPr>
          <w:rFonts w:ascii="Times New Roman" w:eastAsia="Arial Unicode MS" w:hAnsi="Times New Roman" w:cs="Times New Roman"/>
          <w:color w:val="000000"/>
          <w:sz w:val="28"/>
          <w:szCs w:val="28"/>
          <w:lang w:val="en-GB" w:eastAsia="ro-RO"/>
        </w:rPr>
        <w:t xml:space="preserve"> </w:t>
      </w:r>
      <w:r w:rsidR="00BF7E59">
        <w:rPr>
          <w:rFonts w:ascii="Times New Roman" w:eastAsia="Arial Unicode MS" w:hAnsi="Times New Roman" w:cs="Times New Roman"/>
          <w:color w:val="000000"/>
          <w:sz w:val="28"/>
          <w:szCs w:val="28"/>
          <w:lang w:val="en-GB" w:eastAsia="ro-RO"/>
        </w:rPr>
        <w:t>no.</w:t>
      </w:r>
      <w:r w:rsidRPr="00EE08C7">
        <w:rPr>
          <w:rFonts w:ascii="Times New Roman" w:eastAsia="Arial Unicode MS" w:hAnsi="Times New Roman" w:cs="Times New Roman"/>
          <w:color w:val="000000"/>
          <w:sz w:val="28"/>
          <w:szCs w:val="28"/>
          <w:lang w:val="en-GB" w:eastAsia="ro-RO"/>
        </w:rPr>
        <w:t xml:space="preserve"> 90/2018, the Government </w:t>
      </w:r>
      <w:r w:rsidR="00F5431B" w:rsidRPr="00EE08C7">
        <w:rPr>
          <w:rFonts w:ascii="Times New Roman" w:eastAsia="Arial Unicode MS" w:hAnsi="Times New Roman" w:cs="Times New Roman"/>
          <w:color w:val="000000"/>
          <w:sz w:val="28"/>
          <w:szCs w:val="28"/>
          <w:lang w:val="en-GB" w:eastAsia="ro-RO"/>
        </w:rPr>
        <w:t>states</w:t>
      </w:r>
      <w:r w:rsidRPr="00EE08C7">
        <w:rPr>
          <w:rFonts w:ascii="Times New Roman" w:eastAsia="Arial Unicode MS" w:hAnsi="Times New Roman" w:cs="Times New Roman"/>
          <w:color w:val="000000"/>
          <w:sz w:val="28"/>
          <w:szCs w:val="28"/>
          <w:lang w:val="en-GB" w:eastAsia="ro-RO"/>
        </w:rPr>
        <w:t xml:space="preserve"> that the text of Article 88</w:t>
      </w:r>
      <w:r w:rsidRPr="00EE08C7">
        <w:rPr>
          <w:rFonts w:ascii="Times New Roman" w:eastAsia="Arial Unicode MS" w:hAnsi="Times New Roman" w:cs="Times New Roman"/>
          <w:color w:val="000000"/>
          <w:sz w:val="28"/>
          <w:szCs w:val="28"/>
          <w:vertAlign w:val="superscript"/>
          <w:lang w:val="en-GB" w:eastAsia="ro-RO"/>
        </w:rPr>
        <w:t>2</w:t>
      </w:r>
      <w:r w:rsidRPr="00EE08C7">
        <w:rPr>
          <w:rFonts w:ascii="Times New Roman" w:eastAsia="Arial Unicode MS" w:hAnsi="Times New Roman" w:cs="Times New Roman"/>
          <w:color w:val="000000"/>
          <w:sz w:val="28"/>
          <w:szCs w:val="28"/>
          <w:lang w:val="en-GB" w:eastAsia="ro-RO"/>
        </w:rPr>
        <w:t xml:space="preserve"> </w:t>
      </w:r>
      <w:r w:rsidRPr="00EE08C7">
        <w:rPr>
          <w:rFonts w:ascii="Times New Roman" w:hAnsi="Times New Roman" w:cs="Times New Roman"/>
          <w:sz w:val="28"/>
          <w:szCs w:val="28"/>
          <w:lang w:val="en-GB"/>
        </w:rPr>
        <w:t xml:space="preserve">(3) of Law </w:t>
      </w:r>
      <w:r w:rsidR="00BF7E59">
        <w:rPr>
          <w:rFonts w:ascii="Times New Roman" w:hAnsi="Times New Roman" w:cs="Times New Roman"/>
          <w:sz w:val="28"/>
          <w:szCs w:val="28"/>
          <w:lang w:val="en-GB"/>
        </w:rPr>
        <w:t>no.</w:t>
      </w:r>
      <w:r w:rsidRPr="00EE08C7">
        <w:rPr>
          <w:rFonts w:ascii="Times New Roman" w:hAnsi="Times New Roman" w:cs="Times New Roman"/>
          <w:sz w:val="28"/>
          <w:szCs w:val="28"/>
          <w:lang w:val="en-GB"/>
        </w:rPr>
        <w:t xml:space="preserve"> 304/2004, a</w:t>
      </w:r>
      <w:r w:rsidR="00F5431B" w:rsidRPr="00EE08C7">
        <w:rPr>
          <w:rFonts w:ascii="Times New Roman" w:hAnsi="Times New Roman" w:cs="Times New Roman"/>
          <w:sz w:val="28"/>
          <w:szCs w:val="28"/>
          <w:lang w:val="en-GB"/>
        </w:rPr>
        <w:t>s amended by the emergency ordinance</w:t>
      </w:r>
      <w:r w:rsidRPr="00EE08C7">
        <w:rPr>
          <w:rFonts w:ascii="Times New Roman" w:hAnsi="Times New Roman" w:cs="Times New Roman"/>
          <w:sz w:val="28"/>
          <w:szCs w:val="28"/>
          <w:lang w:val="en-GB"/>
        </w:rPr>
        <w:t>, provides that the</w:t>
      </w:r>
      <w:r w:rsidRPr="00EE08C7">
        <w:rPr>
          <w:rFonts w:ascii="Times New Roman" w:eastAsia="Arial Unicode MS" w:hAnsi="Times New Roman" w:cs="Times New Roman"/>
          <w:i/>
          <w:color w:val="000000"/>
          <w:sz w:val="28"/>
          <w:szCs w:val="28"/>
          <w:lang w:val="en-GB" w:eastAsia="ro-RO"/>
        </w:rPr>
        <w:t xml:space="preserve"> </w:t>
      </w:r>
      <w:r w:rsidR="00F5431B" w:rsidRPr="00EE08C7">
        <w:rPr>
          <w:rFonts w:ascii="Times New Roman" w:eastAsia="Arial Unicode MS" w:hAnsi="Times New Roman" w:cs="Times New Roman"/>
          <w:i/>
          <w:color w:val="000000"/>
          <w:sz w:val="28"/>
          <w:szCs w:val="28"/>
          <w:lang w:val="en-GB" w:eastAsia="ro-RO"/>
        </w:rPr>
        <w:t>“</w:t>
      </w:r>
      <w:r w:rsidRPr="00EE08C7">
        <w:rPr>
          <w:rFonts w:ascii="Times New Roman" w:eastAsia="Arial Unicode MS" w:hAnsi="Times New Roman" w:cs="Times New Roman"/>
          <w:i/>
          <w:color w:val="000000"/>
          <w:sz w:val="28"/>
          <w:szCs w:val="28"/>
          <w:lang w:val="en-GB" w:eastAsia="ro-RO"/>
        </w:rPr>
        <w:t xml:space="preserve">Section for the investigation of </w:t>
      </w:r>
      <w:r w:rsidR="00F5431B" w:rsidRPr="00EE08C7">
        <w:rPr>
          <w:rFonts w:ascii="Times New Roman" w:eastAsia="Arial Unicode MS" w:hAnsi="Times New Roman" w:cs="Times New Roman"/>
          <w:i/>
          <w:color w:val="000000"/>
          <w:sz w:val="28"/>
          <w:szCs w:val="28"/>
          <w:lang w:val="en-GB" w:eastAsia="ro-RO"/>
        </w:rPr>
        <w:t xml:space="preserve">justice-related </w:t>
      </w:r>
      <w:r w:rsidRPr="00EE08C7">
        <w:rPr>
          <w:rFonts w:ascii="Times New Roman" w:eastAsia="Arial Unicode MS" w:hAnsi="Times New Roman" w:cs="Times New Roman"/>
          <w:i/>
          <w:color w:val="000000"/>
          <w:sz w:val="28"/>
          <w:szCs w:val="28"/>
          <w:lang w:val="en-GB" w:eastAsia="ro-RO"/>
        </w:rPr>
        <w:t>criminal offences operate</w:t>
      </w:r>
      <w:r w:rsidR="00386315" w:rsidRPr="00EE08C7">
        <w:rPr>
          <w:rFonts w:ascii="Times New Roman" w:eastAsia="Arial Unicode MS" w:hAnsi="Times New Roman" w:cs="Times New Roman"/>
          <w:i/>
          <w:color w:val="000000"/>
          <w:sz w:val="28"/>
          <w:szCs w:val="28"/>
          <w:lang w:val="en-GB" w:eastAsia="ro-RO"/>
        </w:rPr>
        <w:t>s</w:t>
      </w:r>
      <w:r w:rsidRPr="00EE08C7">
        <w:rPr>
          <w:rFonts w:ascii="Times New Roman" w:eastAsia="Arial Unicode MS" w:hAnsi="Times New Roman" w:cs="Times New Roman"/>
          <w:i/>
          <w:color w:val="000000"/>
          <w:sz w:val="28"/>
          <w:szCs w:val="28"/>
          <w:lang w:val="en-GB" w:eastAsia="ro-RO"/>
        </w:rPr>
        <w:t xml:space="preserve"> with 15 </w:t>
      </w:r>
      <w:r w:rsidR="00386315" w:rsidRPr="00EE08C7">
        <w:rPr>
          <w:rFonts w:ascii="Times New Roman" w:eastAsia="Arial Unicode MS" w:hAnsi="Times New Roman" w:cs="Times New Roman"/>
          <w:i/>
          <w:color w:val="000000"/>
          <w:sz w:val="28"/>
          <w:szCs w:val="28"/>
          <w:lang w:val="en-GB" w:eastAsia="ro-RO"/>
        </w:rPr>
        <w:t xml:space="preserve">positions of </w:t>
      </w:r>
      <w:r w:rsidRPr="00EE08C7">
        <w:rPr>
          <w:rFonts w:ascii="Times New Roman" w:eastAsia="Arial Unicode MS" w:hAnsi="Times New Roman" w:cs="Times New Roman"/>
          <w:i/>
          <w:color w:val="000000"/>
          <w:sz w:val="28"/>
          <w:szCs w:val="28"/>
          <w:lang w:val="en-GB" w:eastAsia="ro-RO"/>
        </w:rPr>
        <w:t>public prosecutor</w:t>
      </w:r>
      <w:r w:rsidR="00386315" w:rsidRPr="00EE08C7">
        <w:rPr>
          <w:rFonts w:ascii="Times New Roman" w:eastAsia="Arial Unicode MS" w:hAnsi="Times New Roman" w:cs="Times New Roman"/>
          <w:i/>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 compared to the previous form which established that </w:t>
      </w:r>
      <w:r w:rsidRPr="00EE08C7">
        <w:rPr>
          <w:rFonts w:ascii="Times New Roman" w:hAnsi="Times New Roman" w:cs="Times New Roman"/>
          <w:sz w:val="28"/>
          <w:szCs w:val="28"/>
          <w:lang w:val="en-GB"/>
        </w:rPr>
        <w:t>the</w:t>
      </w:r>
      <w:r w:rsidRPr="00EE08C7">
        <w:rPr>
          <w:rFonts w:ascii="Times New Roman" w:eastAsia="Arial Unicode MS" w:hAnsi="Times New Roman" w:cs="Times New Roman"/>
          <w:i/>
          <w:color w:val="000000"/>
          <w:sz w:val="28"/>
          <w:szCs w:val="28"/>
          <w:lang w:val="en-GB" w:eastAsia="ro-RO"/>
        </w:rPr>
        <w:t xml:space="preserve"> </w:t>
      </w:r>
      <w:r w:rsidR="00386315" w:rsidRPr="00EE08C7">
        <w:rPr>
          <w:rFonts w:ascii="Times New Roman" w:eastAsia="Arial Unicode MS" w:hAnsi="Times New Roman" w:cs="Times New Roman"/>
          <w:i/>
          <w:color w:val="000000"/>
          <w:sz w:val="28"/>
          <w:szCs w:val="28"/>
          <w:lang w:val="en-GB" w:eastAsia="ro-RO"/>
        </w:rPr>
        <w:t>“</w:t>
      </w:r>
      <w:r w:rsidRPr="00EE08C7">
        <w:rPr>
          <w:rFonts w:ascii="Times New Roman" w:eastAsia="Arial Unicode MS" w:hAnsi="Times New Roman" w:cs="Times New Roman"/>
          <w:i/>
          <w:color w:val="000000"/>
          <w:sz w:val="28"/>
          <w:szCs w:val="28"/>
          <w:lang w:val="en-GB" w:eastAsia="ro-RO"/>
        </w:rPr>
        <w:t xml:space="preserve">Section for the investigation of </w:t>
      </w:r>
      <w:r w:rsidR="00386315" w:rsidRPr="00EE08C7">
        <w:rPr>
          <w:rFonts w:ascii="Times New Roman" w:eastAsia="Arial Unicode MS" w:hAnsi="Times New Roman" w:cs="Times New Roman"/>
          <w:i/>
          <w:color w:val="000000"/>
          <w:sz w:val="28"/>
          <w:szCs w:val="28"/>
          <w:lang w:val="en-GB" w:eastAsia="ro-RO"/>
        </w:rPr>
        <w:t xml:space="preserve">justice-related </w:t>
      </w:r>
      <w:r w:rsidRPr="00EE08C7">
        <w:rPr>
          <w:rFonts w:ascii="Times New Roman" w:eastAsia="Arial Unicode MS" w:hAnsi="Times New Roman" w:cs="Times New Roman"/>
          <w:i/>
          <w:color w:val="000000"/>
          <w:sz w:val="28"/>
          <w:szCs w:val="28"/>
          <w:lang w:val="en-GB" w:eastAsia="ro-RO"/>
        </w:rPr>
        <w:t xml:space="preserve">criminal </w:t>
      </w:r>
      <w:r w:rsidR="00386315" w:rsidRPr="00EE08C7">
        <w:rPr>
          <w:rFonts w:ascii="Times New Roman" w:eastAsia="Arial Unicode MS" w:hAnsi="Times New Roman" w:cs="Times New Roman"/>
          <w:i/>
          <w:color w:val="000000"/>
          <w:sz w:val="28"/>
          <w:szCs w:val="28"/>
          <w:lang w:val="en-GB" w:eastAsia="ro-RO"/>
        </w:rPr>
        <w:t xml:space="preserve">offences operates </w:t>
      </w:r>
      <w:r w:rsidRPr="00EE08C7">
        <w:rPr>
          <w:rFonts w:ascii="Times New Roman" w:eastAsia="Arial Unicode MS" w:hAnsi="Times New Roman" w:cs="Times New Roman"/>
          <w:i/>
          <w:color w:val="000000"/>
          <w:sz w:val="28"/>
          <w:szCs w:val="28"/>
          <w:lang w:val="en-GB" w:eastAsia="ro-RO"/>
        </w:rPr>
        <w:t>with a maximum number of 15 prosecutors</w:t>
      </w:r>
      <w:r w:rsidR="00386315" w:rsidRPr="00EE08C7">
        <w:rPr>
          <w:rFonts w:ascii="Times New Roman" w:eastAsia="Arial Unicode MS" w:hAnsi="Times New Roman" w:cs="Times New Roman"/>
          <w:i/>
          <w:color w:val="000000"/>
          <w:sz w:val="28"/>
          <w:szCs w:val="28"/>
          <w:lang w:val="en-GB" w:eastAsia="ro-RO"/>
        </w:rPr>
        <w:t>”</w:t>
      </w:r>
      <w:r w:rsidRPr="00EE08C7">
        <w:rPr>
          <w:rFonts w:ascii="Times New Roman" w:eastAsia="Arial Unicode MS" w:hAnsi="Times New Roman" w:cs="Times New Roman"/>
          <w:color w:val="000000"/>
          <w:sz w:val="28"/>
          <w:szCs w:val="28"/>
          <w:lang w:val="en-GB" w:eastAsia="ro-RO"/>
        </w:rPr>
        <w:t xml:space="preserve">. In relation to the criticism of the authors of the referral, according to which the urgency was not justified in relation to the amendment of this text, the Government notes that it is applied in conjunction and in close connection with the other texts of the legislative act which </w:t>
      </w:r>
      <w:r w:rsidR="00F210F9" w:rsidRPr="00EE08C7">
        <w:rPr>
          <w:rFonts w:ascii="Times New Roman" w:eastAsia="Arial Unicode MS" w:hAnsi="Times New Roman" w:cs="Times New Roman"/>
          <w:color w:val="000000"/>
          <w:sz w:val="28"/>
          <w:szCs w:val="28"/>
          <w:lang w:val="en-GB" w:eastAsia="ro-RO"/>
        </w:rPr>
        <w:t xml:space="preserve">makes the object </w:t>
      </w:r>
      <w:r w:rsidRPr="00EE08C7">
        <w:rPr>
          <w:rFonts w:ascii="Times New Roman" w:eastAsia="Arial Unicode MS" w:hAnsi="Times New Roman" w:cs="Times New Roman"/>
          <w:color w:val="000000"/>
          <w:sz w:val="28"/>
          <w:szCs w:val="28"/>
          <w:lang w:val="en-GB" w:eastAsia="ro-RO"/>
        </w:rPr>
        <w:t>of the referral, texts for which urgency was justified in the preamble and in the explanatory memorandum.</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With regard to affecting the </w:t>
      </w:r>
      <w:r w:rsidR="001326AB" w:rsidRPr="00EE08C7">
        <w:rPr>
          <w:rFonts w:ascii="Times New Roman" w:eastAsia="Times New Roman" w:hAnsi="Times New Roman" w:cs="Times New Roman"/>
          <w:sz w:val="28"/>
          <w:szCs w:val="28"/>
          <w:lang w:val="en-GB"/>
        </w:rPr>
        <w:t>regime</w:t>
      </w:r>
      <w:r w:rsidRPr="00EE08C7">
        <w:rPr>
          <w:rFonts w:ascii="Times New Roman" w:eastAsia="Times New Roman" w:hAnsi="Times New Roman" w:cs="Times New Roman"/>
          <w:sz w:val="28"/>
          <w:szCs w:val="28"/>
          <w:lang w:val="en-GB"/>
        </w:rPr>
        <w:t xml:space="preserve"> of a fundamental </w:t>
      </w:r>
      <w:r w:rsidR="001326AB" w:rsidRPr="00EE08C7">
        <w:rPr>
          <w:rFonts w:ascii="Times New Roman" w:eastAsia="Times New Roman" w:hAnsi="Times New Roman" w:cs="Times New Roman"/>
          <w:sz w:val="28"/>
          <w:szCs w:val="28"/>
          <w:lang w:val="en-GB"/>
        </w:rPr>
        <w:t xml:space="preserve">State </w:t>
      </w:r>
      <w:r w:rsidRPr="00EE08C7">
        <w:rPr>
          <w:rFonts w:ascii="Times New Roman" w:eastAsia="Times New Roman" w:hAnsi="Times New Roman" w:cs="Times New Roman"/>
          <w:sz w:val="28"/>
          <w:szCs w:val="28"/>
          <w:lang w:val="en-GB"/>
        </w:rPr>
        <w:t xml:space="preserve">institution, with regard to the meaning of </w:t>
      </w:r>
      <w:r w:rsidR="001326AB" w:rsidRPr="00EE08C7">
        <w:rPr>
          <w:rFonts w:ascii="Times New Roman" w:eastAsia="Times New Roman" w:hAnsi="Times New Roman" w:cs="Times New Roman"/>
          <w:sz w:val="28"/>
          <w:szCs w:val="28"/>
          <w:lang w:val="en-GB"/>
        </w:rPr>
        <w:t xml:space="preserve">the provisions of </w:t>
      </w:r>
      <w:r w:rsidRPr="00EE08C7">
        <w:rPr>
          <w:rFonts w:ascii="Times New Roman" w:eastAsia="Times New Roman" w:hAnsi="Times New Roman" w:cs="Times New Roman"/>
          <w:sz w:val="28"/>
          <w:szCs w:val="28"/>
          <w:lang w:val="en-GB"/>
        </w:rPr>
        <w:t xml:space="preserve">Article 115 (6) of the </w:t>
      </w:r>
      <w:r w:rsidR="001326AB" w:rsidRPr="00EE08C7">
        <w:rPr>
          <w:rFonts w:ascii="Times New Roman" w:eastAsia="Times New Roman" w:hAnsi="Times New Roman" w:cs="Times New Roman"/>
          <w:sz w:val="28"/>
          <w:szCs w:val="28"/>
          <w:lang w:val="en-GB"/>
        </w:rPr>
        <w:t xml:space="preserve">Basic </w:t>
      </w:r>
      <w:r w:rsidRPr="00EE08C7">
        <w:rPr>
          <w:rFonts w:ascii="Times New Roman" w:eastAsia="Times New Roman" w:hAnsi="Times New Roman" w:cs="Times New Roman"/>
          <w:sz w:val="28"/>
          <w:szCs w:val="28"/>
          <w:lang w:val="en-GB"/>
        </w:rPr>
        <w:t xml:space="preserve">Law, the Constitutional Court held by Decision </w:t>
      </w:r>
      <w:r w:rsidR="00BF7E59">
        <w:rPr>
          <w:rFonts w:ascii="Times New Roman" w:eastAsia="Times New Roman" w:hAnsi="Times New Roman" w:cs="Times New Roman"/>
          <w:sz w:val="28"/>
          <w:szCs w:val="28"/>
          <w:lang w:val="en-GB"/>
        </w:rPr>
        <w:t>n</w:t>
      </w:r>
      <w:r w:rsidRPr="00EE08C7">
        <w:rPr>
          <w:rFonts w:ascii="Times New Roman" w:eastAsia="Times New Roman" w:hAnsi="Times New Roman" w:cs="Times New Roman"/>
          <w:sz w:val="28"/>
          <w:szCs w:val="28"/>
          <w:lang w:val="en-GB"/>
        </w:rPr>
        <w:t>o</w:t>
      </w:r>
      <w:r w:rsidR="00BF7E59">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1.189 of 6 November 2008, published in </w:t>
      </w:r>
      <w:r w:rsidR="001326AB"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Official Gazette of Romania</w:t>
      </w:r>
      <w:r w:rsidR="001326AB"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Part I</w:t>
      </w:r>
      <w:r w:rsidR="001326AB"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787 of 25 November 2008, that </w:t>
      </w:r>
      <w:r w:rsidR="001326AB" w:rsidRPr="00EE08C7">
        <w:rPr>
          <w:rFonts w:ascii="Times New Roman" w:eastAsia="Times New Roman" w:hAnsi="Times New Roman" w:cs="Times New Roman"/>
          <w:sz w:val="28"/>
          <w:szCs w:val="28"/>
          <w:lang w:val="en-GB"/>
        </w:rPr>
        <w:t>“emergency ordinances</w:t>
      </w:r>
      <w:r w:rsidR="00BF7E59">
        <w:rPr>
          <w:rFonts w:ascii="Times New Roman" w:eastAsia="Times New Roman" w:hAnsi="Times New Roman" w:cs="Times New Roman"/>
          <w:sz w:val="28"/>
          <w:szCs w:val="28"/>
          <w:lang w:val="en-GB"/>
        </w:rPr>
        <w:t xml:space="preserve"> cannot be adopted if they ‘</w:t>
      </w:r>
      <w:r w:rsidR="001326AB" w:rsidRPr="00EE08C7">
        <w:rPr>
          <w:rFonts w:ascii="Times New Roman" w:eastAsia="Times New Roman" w:hAnsi="Times New Roman" w:cs="Times New Roman"/>
          <w:sz w:val="28"/>
          <w:szCs w:val="28"/>
          <w:lang w:val="en-GB"/>
        </w:rPr>
        <w:t>affect</w:t>
      </w:r>
      <w:r w:rsidR="00BF7E59">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if they have negative consequences, but </w:t>
      </w:r>
      <w:r w:rsidR="00D07A41" w:rsidRPr="00EE08C7">
        <w:rPr>
          <w:rFonts w:ascii="Times New Roman" w:eastAsia="Times New Roman" w:hAnsi="Times New Roman" w:cs="Times New Roman"/>
          <w:sz w:val="28"/>
          <w:szCs w:val="28"/>
          <w:lang w:val="en-GB"/>
        </w:rPr>
        <w:t xml:space="preserve">in exchange </w:t>
      </w:r>
      <w:r w:rsidRPr="00EE08C7">
        <w:rPr>
          <w:rFonts w:ascii="Times New Roman" w:eastAsia="Times New Roman" w:hAnsi="Times New Roman" w:cs="Times New Roman"/>
          <w:sz w:val="28"/>
          <w:szCs w:val="28"/>
          <w:lang w:val="en-GB"/>
        </w:rPr>
        <w:t xml:space="preserve">they can be adopted if, through the </w:t>
      </w:r>
      <w:r w:rsidR="00D07A41" w:rsidRPr="00EE08C7">
        <w:rPr>
          <w:rFonts w:ascii="Times New Roman" w:eastAsia="Times New Roman" w:hAnsi="Times New Roman" w:cs="Times New Roman"/>
          <w:sz w:val="28"/>
          <w:szCs w:val="28"/>
          <w:lang w:val="en-GB"/>
        </w:rPr>
        <w:t xml:space="preserve">regulations </w:t>
      </w:r>
      <w:r w:rsidRPr="00EE08C7">
        <w:rPr>
          <w:rFonts w:ascii="Times New Roman" w:eastAsia="Times New Roman" w:hAnsi="Times New Roman" w:cs="Times New Roman"/>
          <w:sz w:val="28"/>
          <w:szCs w:val="28"/>
          <w:lang w:val="en-GB"/>
        </w:rPr>
        <w:t xml:space="preserve">contained therein, </w:t>
      </w:r>
      <w:r w:rsidR="00D07A41" w:rsidRPr="00EE08C7">
        <w:rPr>
          <w:rFonts w:ascii="Times New Roman" w:eastAsia="Times New Roman" w:hAnsi="Times New Roman" w:cs="Times New Roman"/>
          <w:sz w:val="28"/>
          <w:szCs w:val="28"/>
          <w:lang w:val="en-GB"/>
        </w:rPr>
        <w:t xml:space="preserve">they have </w:t>
      </w:r>
      <w:r w:rsidRPr="00EE08C7">
        <w:rPr>
          <w:rFonts w:ascii="Times New Roman" w:eastAsia="Times New Roman" w:hAnsi="Times New Roman" w:cs="Times New Roman"/>
          <w:sz w:val="28"/>
          <w:szCs w:val="28"/>
          <w:lang w:val="en-GB"/>
        </w:rPr>
        <w:t>positive consequences in the areas in which they occur</w:t>
      </w:r>
      <w:r w:rsidR="00D07A4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Likewise, in the case</w:t>
      </w:r>
      <w:r w:rsidR="00D07A41" w:rsidRPr="00EE08C7">
        <w:rPr>
          <w:rFonts w:ascii="Times New Roman" w:eastAsia="Times New Roman" w:hAnsi="Times New Roman" w:cs="Times New Roman"/>
          <w:sz w:val="28"/>
          <w:szCs w:val="28"/>
          <w:lang w:val="en-GB"/>
        </w:rPr>
        <w:t>-law of the Constitutional Court</w:t>
      </w:r>
      <w:r w:rsidRPr="00EE08C7">
        <w:rPr>
          <w:rFonts w:ascii="Times New Roman" w:eastAsia="Times New Roman" w:hAnsi="Times New Roman" w:cs="Times New Roman"/>
          <w:sz w:val="28"/>
          <w:szCs w:val="28"/>
          <w:lang w:val="en-GB"/>
        </w:rPr>
        <w:t xml:space="preserve"> it has been shown that not every legislative measure adopted in the course of an emergency ord</w:t>
      </w:r>
      <w:r w:rsidR="00D07A41"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xml:space="preserve"> and concerning the organisational structure of </w:t>
      </w:r>
      <w:r w:rsidR="00D07A41" w:rsidRPr="00EE08C7">
        <w:rPr>
          <w:rFonts w:ascii="Times New Roman" w:eastAsia="Times New Roman" w:hAnsi="Times New Roman" w:cs="Times New Roman"/>
          <w:sz w:val="28"/>
          <w:szCs w:val="28"/>
          <w:lang w:val="en-GB"/>
        </w:rPr>
        <w:t xml:space="preserve">a fundamental State </w:t>
      </w:r>
      <w:r w:rsidRPr="00EE08C7">
        <w:rPr>
          <w:rFonts w:ascii="Times New Roman" w:eastAsia="Times New Roman" w:hAnsi="Times New Roman" w:cs="Times New Roman"/>
          <w:sz w:val="28"/>
          <w:szCs w:val="28"/>
          <w:lang w:val="en-GB"/>
        </w:rPr>
        <w:t xml:space="preserve">institutions is such as </w:t>
      </w:r>
      <w:r w:rsidRPr="00EE08C7">
        <w:rPr>
          <w:rFonts w:ascii="Times New Roman" w:eastAsia="Times New Roman" w:hAnsi="Times New Roman" w:cs="Times New Roman"/>
          <w:sz w:val="28"/>
          <w:szCs w:val="28"/>
          <w:lang w:val="en-GB"/>
        </w:rPr>
        <w:lastRenderedPageBreak/>
        <w:t xml:space="preserve">to violate Article 115 (6) of the Constitution, “in so far as it does not affect the administrative capacity or operation thereof”. The Government argues that </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the solutions contained in Government Emergency Ordinance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90/2018 are not of a nature to adversely affect the functioning of the Public Ministry</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but, on the contrary, have positive consequences in terms of fulfilling the constitutional role of the </w:t>
      </w:r>
      <w:r w:rsidR="00E050BA" w:rsidRPr="00EE08C7">
        <w:rPr>
          <w:rFonts w:ascii="Times New Roman" w:eastAsia="Times New Roman" w:hAnsi="Times New Roman" w:cs="Times New Roman"/>
          <w:sz w:val="28"/>
          <w:szCs w:val="28"/>
          <w:lang w:val="en-GB"/>
        </w:rPr>
        <w:t>Public Ministry</w:t>
      </w:r>
      <w:r w:rsidRPr="00EE08C7">
        <w:rPr>
          <w:rFonts w:ascii="Times New Roman" w:eastAsia="Times New Roman" w:hAnsi="Times New Roman" w:cs="Times New Roman"/>
          <w:sz w:val="28"/>
          <w:szCs w:val="28"/>
          <w:lang w:val="en-GB"/>
        </w:rPr>
        <w:t xml:space="preserve">, as it puts in place measures for </w:t>
      </w:r>
      <w:r w:rsidR="00E050BA" w:rsidRPr="00EE08C7">
        <w:rPr>
          <w:rFonts w:ascii="Times New Roman" w:eastAsia="Times New Roman" w:hAnsi="Times New Roman" w:cs="Times New Roman"/>
          <w:sz w:val="28"/>
          <w:szCs w:val="28"/>
          <w:lang w:val="en-GB"/>
        </w:rPr>
        <w:t xml:space="preserve">making </w:t>
      </w:r>
      <w:r w:rsidRPr="00EE08C7">
        <w:rPr>
          <w:rFonts w:ascii="Times New Roman" w:eastAsia="Times New Roman" w:hAnsi="Times New Roman" w:cs="Times New Roman"/>
          <w:sz w:val="28"/>
          <w:szCs w:val="28"/>
          <w:lang w:val="en-GB"/>
        </w:rPr>
        <w:t xml:space="preserve">the </w:t>
      </w:r>
      <w:r w:rsidR="00E050BA" w:rsidRPr="00EE08C7">
        <w:rPr>
          <w:rFonts w:ascii="Times New Roman" w:eastAsia="Times New Roman" w:hAnsi="Times New Roman" w:cs="Times New Roman"/>
          <w:sz w:val="28"/>
          <w:szCs w:val="28"/>
          <w:lang w:val="en-GB"/>
        </w:rPr>
        <w:t>respective S</w:t>
      </w:r>
      <w:r w:rsidRPr="00EE08C7">
        <w:rPr>
          <w:rFonts w:ascii="Times New Roman" w:eastAsia="Times New Roman" w:hAnsi="Times New Roman" w:cs="Times New Roman"/>
          <w:sz w:val="28"/>
          <w:szCs w:val="28"/>
          <w:lang w:val="en-GB"/>
        </w:rPr>
        <w:t xml:space="preserve">ection </w:t>
      </w:r>
      <w:r w:rsidR="00E050BA" w:rsidRPr="00EE08C7">
        <w:rPr>
          <w:rFonts w:ascii="Times New Roman" w:eastAsia="Times New Roman" w:hAnsi="Times New Roman" w:cs="Times New Roman"/>
          <w:sz w:val="28"/>
          <w:szCs w:val="28"/>
          <w:lang w:val="en-GB"/>
        </w:rPr>
        <w:t xml:space="preserve">operational </w:t>
      </w:r>
      <w:r w:rsidRPr="00EE08C7">
        <w:rPr>
          <w:rFonts w:ascii="Times New Roman" w:eastAsia="Times New Roman" w:hAnsi="Times New Roman" w:cs="Times New Roman"/>
          <w:sz w:val="28"/>
          <w:szCs w:val="28"/>
          <w:lang w:val="en-GB"/>
        </w:rPr>
        <w:t>within the deadline</w:t>
      </w:r>
      <w:r w:rsidR="00E050BA" w:rsidRPr="00EE08C7">
        <w:rPr>
          <w:rFonts w:ascii="Times New Roman" w:eastAsia="Times New Roman" w:hAnsi="Times New Roman" w:cs="Times New Roman"/>
          <w:sz w:val="28"/>
          <w:szCs w:val="28"/>
          <w:lang w:val="en-GB"/>
        </w:rPr>
        <w:t xml:space="preserve"> established by law</w:t>
      </w:r>
      <w:r w:rsidRPr="00EE08C7">
        <w:rPr>
          <w:rFonts w:ascii="Times New Roman" w:eastAsia="Times New Roman" w:hAnsi="Times New Roman" w:cs="Times New Roman"/>
          <w:sz w:val="28"/>
          <w:szCs w:val="28"/>
          <w:lang w:val="en-GB"/>
        </w:rPr>
        <w:t xml:space="preserve">, according to the will of the legislator and removes institutional </w:t>
      </w:r>
      <w:r w:rsidR="00E050BA" w:rsidRPr="00EE08C7">
        <w:rPr>
          <w:rFonts w:ascii="Times New Roman" w:eastAsia="Times New Roman" w:hAnsi="Times New Roman" w:cs="Times New Roman"/>
          <w:sz w:val="28"/>
          <w:szCs w:val="28"/>
          <w:lang w:val="en-GB"/>
        </w:rPr>
        <w:t xml:space="preserve">blockage </w:t>
      </w:r>
      <w:r w:rsidRPr="00EE08C7">
        <w:rPr>
          <w:rFonts w:ascii="Times New Roman" w:eastAsia="Times New Roman" w:hAnsi="Times New Roman" w:cs="Times New Roman"/>
          <w:sz w:val="28"/>
          <w:szCs w:val="28"/>
          <w:lang w:val="en-GB"/>
        </w:rPr>
        <w:t xml:space="preserve">due to the impossibility of running the </w:t>
      </w:r>
      <w:r w:rsidR="00E050BA"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ection on the </w:t>
      </w:r>
      <w:r w:rsidR="00E050BA" w:rsidRPr="00EE08C7">
        <w:rPr>
          <w:rFonts w:ascii="Times New Roman" w:eastAsia="Times New Roman" w:hAnsi="Times New Roman" w:cs="Times New Roman"/>
          <w:sz w:val="28"/>
          <w:szCs w:val="28"/>
          <w:lang w:val="en-GB"/>
        </w:rPr>
        <w:t xml:space="preserve">established </w:t>
      </w:r>
      <w:r w:rsidRPr="00EE08C7">
        <w:rPr>
          <w:rFonts w:ascii="Times New Roman" w:eastAsia="Times New Roman" w:hAnsi="Times New Roman" w:cs="Times New Roman"/>
          <w:sz w:val="28"/>
          <w:szCs w:val="28"/>
          <w:lang w:val="en-GB"/>
        </w:rPr>
        <w:t>date, as well as the legal uncertainty created in this way”.</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With regard to the </w:t>
      </w:r>
      <w:r w:rsidR="00E050BA" w:rsidRPr="00EE08C7">
        <w:rPr>
          <w:rFonts w:ascii="Times New Roman" w:eastAsia="Times New Roman" w:hAnsi="Times New Roman" w:cs="Times New Roman"/>
          <w:sz w:val="28"/>
          <w:szCs w:val="28"/>
          <w:lang w:val="en-GB"/>
        </w:rPr>
        <w:t xml:space="preserve">criticism of </w:t>
      </w:r>
      <w:r w:rsidRPr="00EE08C7">
        <w:rPr>
          <w:rFonts w:ascii="Times New Roman" w:eastAsia="Times New Roman" w:hAnsi="Times New Roman" w:cs="Times New Roman"/>
          <w:sz w:val="28"/>
          <w:szCs w:val="28"/>
          <w:lang w:val="en-GB"/>
        </w:rPr>
        <w:t xml:space="preserve">unconstitutionality </w:t>
      </w:r>
      <w:r w:rsidR="00E050BA" w:rsidRPr="00EE08C7">
        <w:rPr>
          <w:rFonts w:ascii="Times New Roman" w:eastAsia="Times New Roman" w:hAnsi="Times New Roman" w:cs="Times New Roman"/>
          <w:sz w:val="28"/>
          <w:szCs w:val="28"/>
          <w:lang w:val="en-GB"/>
        </w:rPr>
        <w:t>stating</w:t>
      </w:r>
      <w:r w:rsidRPr="00EE08C7">
        <w:rPr>
          <w:rFonts w:ascii="Times New Roman" w:eastAsia="Times New Roman" w:hAnsi="Times New Roman" w:cs="Times New Roman"/>
          <w:sz w:val="28"/>
          <w:szCs w:val="28"/>
          <w:lang w:val="en-GB"/>
        </w:rPr>
        <w:t xml:space="preserve"> the </w:t>
      </w:r>
      <w:r w:rsidR="00E050BA" w:rsidRPr="00EE08C7">
        <w:rPr>
          <w:rFonts w:ascii="Times New Roman" w:eastAsia="Times New Roman" w:hAnsi="Times New Roman" w:cs="Times New Roman"/>
          <w:sz w:val="28"/>
          <w:szCs w:val="28"/>
          <w:lang w:val="en-GB"/>
        </w:rPr>
        <w:t xml:space="preserve">breach </w:t>
      </w:r>
      <w:r w:rsidRPr="00EE08C7">
        <w:rPr>
          <w:rFonts w:ascii="Times New Roman" w:eastAsia="Times New Roman" w:hAnsi="Times New Roman" w:cs="Times New Roman"/>
          <w:sz w:val="28"/>
          <w:szCs w:val="28"/>
          <w:lang w:val="en-GB"/>
        </w:rPr>
        <w:t xml:space="preserve">of Article 148 (2) and (4) of the Constitution, the Government considers them unfounded. Thus, with regard to the nature of the recommendations contained in the </w:t>
      </w:r>
      <w:r w:rsidR="00BF7E59">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xml:space="preserve"> reports in the light of Article 148 (2) of the </w:t>
      </w:r>
      <w:r w:rsidR="00E050BA" w:rsidRPr="00EE08C7">
        <w:rPr>
          <w:rFonts w:ascii="Times New Roman" w:eastAsia="Times New Roman" w:hAnsi="Times New Roman" w:cs="Times New Roman"/>
          <w:sz w:val="28"/>
          <w:szCs w:val="28"/>
          <w:lang w:val="en-GB"/>
        </w:rPr>
        <w:t xml:space="preserve">Basic </w:t>
      </w:r>
      <w:r w:rsidRPr="00EE08C7">
        <w:rPr>
          <w:rFonts w:ascii="Times New Roman" w:eastAsia="Times New Roman" w:hAnsi="Times New Roman" w:cs="Times New Roman"/>
          <w:sz w:val="28"/>
          <w:szCs w:val="28"/>
          <w:lang w:val="en-GB"/>
        </w:rPr>
        <w:t xml:space="preserve">Law, the Constitutional Court has already ruled, in its capacity as guarantor of compliance with the Constitution, and its decisions </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in accordance with Article 147 (4) of the Constitution </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are compulsory </w:t>
      </w:r>
      <w:r w:rsidRPr="00EE08C7">
        <w:rPr>
          <w:rFonts w:ascii="Times New Roman" w:eastAsia="Times New Roman" w:hAnsi="Times New Roman" w:cs="Times New Roman"/>
          <w:i/>
          <w:sz w:val="28"/>
          <w:szCs w:val="28"/>
          <w:lang w:val="en-GB"/>
        </w:rPr>
        <w:t>erga omnes</w:t>
      </w:r>
      <w:r w:rsidRPr="00EE08C7">
        <w:rPr>
          <w:rFonts w:ascii="Times New Roman" w:eastAsia="Times New Roman" w:hAnsi="Times New Roman" w:cs="Times New Roman"/>
          <w:sz w:val="28"/>
          <w:szCs w:val="28"/>
          <w:lang w:val="en-GB"/>
        </w:rPr>
        <w:t>, from the date of their publication in the Official Gazette of Romania</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Part I</w:t>
      </w:r>
      <w:r w:rsidR="00E050BA"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9770D8" w:rsidRPr="00EE08C7">
        <w:rPr>
          <w:rFonts w:ascii="Times New Roman" w:eastAsia="Times New Roman" w:hAnsi="Times New Roman" w:cs="Times New Roman"/>
          <w:sz w:val="28"/>
          <w:szCs w:val="28"/>
          <w:lang w:val="en-GB"/>
        </w:rPr>
        <w:t xml:space="preserve">Ruling on the constitutional relevance of Decision 2006/928/EC of the European Commission in light of the provisions of </w:t>
      </w:r>
      <w:r w:rsidRPr="00EE08C7">
        <w:rPr>
          <w:rFonts w:ascii="Times New Roman" w:eastAsia="Times New Roman" w:hAnsi="Times New Roman" w:cs="Times New Roman"/>
          <w:sz w:val="28"/>
          <w:szCs w:val="28"/>
          <w:lang w:val="en-GB"/>
        </w:rPr>
        <w:t xml:space="preserve">Article 148 </w:t>
      </w:r>
      <w:r w:rsidR="009770D8" w:rsidRPr="00EE08C7">
        <w:rPr>
          <w:rFonts w:ascii="Times New Roman" w:eastAsia="Times New Roman" w:hAnsi="Times New Roman" w:cs="Times New Roman"/>
          <w:sz w:val="28"/>
          <w:szCs w:val="28"/>
          <w:lang w:val="en-GB"/>
        </w:rPr>
        <w:t xml:space="preserve">(4) </w:t>
      </w:r>
      <w:r w:rsidRPr="00EE08C7">
        <w:rPr>
          <w:rFonts w:ascii="Times New Roman" w:eastAsia="Times New Roman" w:hAnsi="Times New Roman" w:cs="Times New Roman"/>
          <w:sz w:val="28"/>
          <w:szCs w:val="28"/>
          <w:lang w:val="en-GB"/>
        </w:rPr>
        <w:t xml:space="preserve">of the Basic Law, </w:t>
      </w:r>
      <w:r w:rsidR="009770D8" w:rsidRPr="00EE08C7">
        <w:rPr>
          <w:rFonts w:ascii="Times New Roman" w:eastAsia="Times New Roman" w:hAnsi="Times New Roman" w:cs="Times New Roman"/>
          <w:sz w:val="28"/>
          <w:szCs w:val="28"/>
          <w:lang w:val="en-GB"/>
        </w:rPr>
        <w:t xml:space="preserve">in Decision </w:t>
      </w:r>
      <w:r w:rsidR="00BF7E59">
        <w:rPr>
          <w:rFonts w:ascii="Times New Roman" w:eastAsia="Times New Roman" w:hAnsi="Times New Roman" w:cs="Times New Roman"/>
          <w:sz w:val="28"/>
          <w:szCs w:val="28"/>
          <w:lang w:val="en-GB"/>
        </w:rPr>
        <w:t>no.</w:t>
      </w:r>
      <w:r w:rsidR="009770D8" w:rsidRPr="00EE08C7">
        <w:rPr>
          <w:rFonts w:ascii="Times New Roman" w:eastAsia="Times New Roman" w:hAnsi="Times New Roman" w:cs="Times New Roman"/>
          <w:sz w:val="28"/>
          <w:szCs w:val="28"/>
          <w:lang w:val="en-GB"/>
        </w:rPr>
        <w:t xml:space="preserve"> 104 of 6 March 2018, </w:t>
      </w:r>
      <w:r w:rsidRPr="00EE08C7">
        <w:rPr>
          <w:rFonts w:ascii="Times New Roman" w:eastAsia="Times New Roman" w:hAnsi="Times New Roman" w:cs="Times New Roman"/>
          <w:sz w:val="28"/>
          <w:szCs w:val="28"/>
          <w:lang w:val="en-GB"/>
        </w:rPr>
        <w:t xml:space="preserve">having indicated that </w:t>
      </w:r>
      <w:r w:rsidR="009770D8" w:rsidRPr="00EE08C7">
        <w:rPr>
          <w:rFonts w:ascii="Times New Roman" w:eastAsia="Times New Roman" w:hAnsi="Times New Roman" w:cs="Times New Roman"/>
          <w:sz w:val="28"/>
          <w:szCs w:val="28"/>
          <w:lang w:val="en-GB"/>
        </w:rPr>
        <w:t xml:space="preserve">“adhering to the legal order of the European Union, Romania accepted, in the areas in which the European Union has exclusive competence […[, the implementation </w:t>
      </w:r>
      <w:r w:rsidRPr="00EE08C7">
        <w:rPr>
          <w:rFonts w:ascii="Times New Roman" w:eastAsia="Times New Roman" w:hAnsi="Times New Roman" w:cs="Times New Roman"/>
          <w:sz w:val="28"/>
          <w:szCs w:val="28"/>
          <w:lang w:val="en-GB"/>
        </w:rPr>
        <w:t xml:space="preserve">of the obligations under </w:t>
      </w:r>
      <w:r w:rsidR="00703D2A" w:rsidRPr="00EE08C7">
        <w:rPr>
          <w:rFonts w:ascii="Times New Roman" w:eastAsia="Times New Roman" w:hAnsi="Times New Roman" w:cs="Times New Roman"/>
          <w:sz w:val="28"/>
          <w:szCs w:val="28"/>
          <w:lang w:val="en-GB"/>
        </w:rPr>
        <w:t xml:space="preserve">this </w:t>
      </w:r>
      <w:r w:rsidRPr="00EE08C7">
        <w:rPr>
          <w:rFonts w:ascii="Times New Roman" w:eastAsia="Times New Roman" w:hAnsi="Times New Roman" w:cs="Times New Roman"/>
          <w:sz w:val="28"/>
          <w:szCs w:val="28"/>
          <w:lang w:val="en-GB"/>
        </w:rPr>
        <w:t xml:space="preserve">Article </w:t>
      </w:r>
      <w:r w:rsidR="00703D2A" w:rsidRPr="00EE08C7">
        <w:rPr>
          <w:rFonts w:ascii="Times New Roman" w:eastAsia="Times New Roman" w:hAnsi="Times New Roman" w:cs="Times New Roman"/>
          <w:sz w:val="28"/>
          <w:szCs w:val="28"/>
          <w:lang w:val="en-GB"/>
        </w:rPr>
        <w:t xml:space="preserve">be submitted to the Union’s rules […]” and that, “by virtue of the conformity clause contained in the text of Article 148 of the Constitution, Romania cannot adopt a regulatory act contrary to9 the obligations to which it engages as Member State”, the Constitution Court indicated though that “the above statements </w:t>
      </w:r>
      <w:r w:rsidR="00AA5875" w:rsidRPr="00EE08C7">
        <w:rPr>
          <w:rFonts w:ascii="Times New Roman" w:eastAsia="Times New Roman" w:hAnsi="Times New Roman" w:cs="Times New Roman"/>
          <w:sz w:val="28"/>
          <w:szCs w:val="28"/>
          <w:lang w:val="en-GB"/>
        </w:rPr>
        <w:t xml:space="preserve">have a constitutional limit, expressed in what the Court has qualified “national constitutional identity”, and that “the meaning of Decision 2006/928/EC of the European Commission of 13.12.2006 […], </w:t>
      </w:r>
      <w:r w:rsidR="00AA5875" w:rsidRPr="00EE08C7">
        <w:rPr>
          <w:rFonts w:ascii="Times New Roman" w:eastAsia="Times New Roman" w:hAnsi="Times New Roman" w:cs="Times New Roman"/>
          <w:sz w:val="28"/>
          <w:szCs w:val="28"/>
          <w:lang w:val="en-GB"/>
        </w:rPr>
        <w:lastRenderedPageBreak/>
        <w:t xml:space="preserve">act </w:t>
      </w:r>
      <w:r w:rsidRPr="00EE08C7">
        <w:rPr>
          <w:rFonts w:ascii="Times New Roman" w:eastAsia="Times New Roman" w:hAnsi="Times New Roman" w:cs="Times New Roman"/>
          <w:sz w:val="28"/>
          <w:szCs w:val="28"/>
          <w:lang w:val="en-GB"/>
        </w:rPr>
        <w:t xml:space="preserve">adopted prior to Romania’s accession to the European Union, has not been taken up by the Court of Justice of the European Union in respect of its content, its character and its temporal scope and </w:t>
      </w:r>
      <w:r w:rsidR="00AA5875" w:rsidRPr="00EE08C7">
        <w:rPr>
          <w:rFonts w:ascii="Times New Roman" w:eastAsia="Times New Roman" w:hAnsi="Times New Roman" w:cs="Times New Roman"/>
          <w:sz w:val="28"/>
          <w:szCs w:val="28"/>
          <w:lang w:val="en-GB"/>
        </w:rPr>
        <w:t>whether they fall</w:t>
      </w:r>
      <w:r w:rsidRPr="00EE08C7">
        <w:rPr>
          <w:rFonts w:ascii="Times New Roman" w:eastAsia="Times New Roman" w:hAnsi="Times New Roman" w:cs="Times New Roman"/>
          <w:sz w:val="28"/>
          <w:szCs w:val="28"/>
          <w:lang w:val="en-GB"/>
        </w:rPr>
        <w:t xml:space="preserve"> within the scope of those laid down in the Treaty of Accession, [...], which forms part of the internal legal order, so that Decision 2006/928/EC cannot serve as a reference rule in the context of </w:t>
      </w:r>
      <w:r w:rsidR="00AA5875"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constitutional review in accordance with Article 148 of the Constitution</w:t>
      </w:r>
      <w:r w:rsidR="00AA5875"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 </w:t>
      </w:r>
      <w:r w:rsidR="00AA5875" w:rsidRPr="00EE08C7">
        <w:rPr>
          <w:rFonts w:ascii="Times New Roman" w:eastAsia="Times New Roman" w:hAnsi="Times New Roman" w:cs="Times New Roman"/>
          <w:sz w:val="28"/>
          <w:szCs w:val="28"/>
          <w:lang w:val="en-GB"/>
        </w:rPr>
        <w:t xml:space="preserve">(par. </w:t>
      </w:r>
      <w:r w:rsidRPr="00EE08C7">
        <w:rPr>
          <w:rFonts w:ascii="Times New Roman" w:eastAsia="Times New Roman" w:hAnsi="Times New Roman" w:cs="Times New Roman"/>
          <w:sz w:val="28"/>
          <w:szCs w:val="28"/>
          <w:lang w:val="en-GB"/>
        </w:rPr>
        <w:t xml:space="preserve">88, final sentence). </w:t>
      </w:r>
    </w:p>
    <w:p w:rsidR="0021723C" w:rsidRPr="00EE08C7" w:rsidRDefault="0021723C">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The Government therefore concludes that, since the European Commission Decision 2006/928/EC cannot constitute a reference rule </w:t>
      </w:r>
      <w:r w:rsidR="007C3AAC" w:rsidRPr="00EE08C7">
        <w:rPr>
          <w:rFonts w:ascii="Times New Roman" w:eastAsia="Times New Roman" w:hAnsi="Times New Roman" w:cs="Times New Roman"/>
          <w:sz w:val="28"/>
          <w:szCs w:val="28"/>
          <w:lang w:val="en-GB"/>
        </w:rPr>
        <w:t xml:space="preserve">within </w:t>
      </w:r>
      <w:r w:rsidRPr="00EE08C7">
        <w:rPr>
          <w:rFonts w:ascii="Times New Roman" w:eastAsia="Times New Roman" w:hAnsi="Times New Roman" w:cs="Times New Roman"/>
          <w:sz w:val="28"/>
          <w:szCs w:val="28"/>
          <w:lang w:val="en-GB"/>
        </w:rPr>
        <w:t xml:space="preserve">the constitutionality </w:t>
      </w:r>
      <w:r w:rsidR="007C3AAC" w:rsidRPr="00EE08C7">
        <w:rPr>
          <w:rFonts w:ascii="Times New Roman" w:eastAsia="Times New Roman" w:hAnsi="Times New Roman" w:cs="Times New Roman"/>
          <w:sz w:val="28"/>
          <w:szCs w:val="28"/>
          <w:lang w:val="en-GB"/>
        </w:rPr>
        <w:t xml:space="preserve">review </w:t>
      </w:r>
      <w:r w:rsidRPr="00EE08C7">
        <w:rPr>
          <w:rFonts w:ascii="Times New Roman" w:eastAsia="Times New Roman" w:hAnsi="Times New Roman" w:cs="Times New Roman"/>
          <w:sz w:val="28"/>
          <w:szCs w:val="28"/>
          <w:lang w:val="en-GB"/>
        </w:rPr>
        <w:t xml:space="preserve">by reference to Article 148 (2) and (4) of the </w:t>
      </w:r>
      <w:r w:rsidR="007C3AAC" w:rsidRPr="00EE08C7">
        <w:rPr>
          <w:rFonts w:ascii="Times New Roman" w:eastAsia="Times New Roman" w:hAnsi="Times New Roman" w:cs="Times New Roman"/>
          <w:sz w:val="28"/>
          <w:szCs w:val="28"/>
          <w:lang w:val="en-GB"/>
        </w:rPr>
        <w:t xml:space="preserve">Basic </w:t>
      </w:r>
      <w:r w:rsidRPr="00EE08C7">
        <w:rPr>
          <w:rFonts w:ascii="Times New Roman" w:eastAsia="Times New Roman" w:hAnsi="Times New Roman" w:cs="Times New Roman"/>
          <w:sz w:val="28"/>
          <w:szCs w:val="28"/>
          <w:lang w:val="en-GB"/>
        </w:rPr>
        <w:t xml:space="preserve">Law, nor do the recommendations of the </w:t>
      </w:r>
      <w:r w:rsidR="00BF7E59">
        <w:rPr>
          <w:rFonts w:ascii="Times New Roman" w:eastAsia="Times New Roman" w:hAnsi="Times New Roman" w:cs="Times New Roman"/>
          <w:sz w:val="28"/>
          <w:szCs w:val="28"/>
          <w:lang w:val="en-GB"/>
        </w:rPr>
        <w:t>CVM</w:t>
      </w:r>
      <w:r w:rsidRPr="00EE08C7">
        <w:rPr>
          <w:rFonts w:ascii="Times New Roman" w:eastAsia="Times New Roman" w:hAnsi="Times New Roman" w:cs="Times New Roman"/>
          <w:sz w:val="28"/>
          <w:szCs w:val="28"/>
          <w:lang w:val="en-GB"/>
        </w:rPr>
        <w:t xml:space="preserve"> </w:t>
      </w:r>
      <w:r w:rsidR="00BF7E59">
        <w:rPr>
          <w:rFonts w:ascii="Times New Roman" w:eastAsia="Times New Roman" w:hAnsi="Times New Roman" w:cs="Times New Roman"/>
          <w:sz w:val="28"/>
          <w:szCs w:val="28"/>
          <w:lang w:val="en-GB"/>
        </w:rPr>
        <w:t>r</w:t>
      </w:r>
      <w:r w:rsidRPr="00EE08C7">
        <w:rPr>
          <w:rFonts w:ascii="Times New Roman" w:eastAsia="Times New Roman" w:hAnsi="Times New Roman" w:cs="Times New Roman"/>
          <w:sz w:val="28"/>
          <w:szCs w:val="28"/>
          <w:lang w:val="en-GB"/>
        </w:rPr>
        <w:t xml:space="preserve">eports drawn up in application of Decision 2006/928/EC constitute, for the purpose of the same constitutional provisions, “Community binding </w:t>
      </w:r>
      <w:r w:rsidR="00085C21" w:rsidRPr="00EE08C7">
        <w:rPr>
          <w:rFonts w:ascii="Times New Roman" w:eastAsia="Times New Roman" w:hAnsi="Times New Roman" w:cs="Times New Roman"/>
          <w:sz w:val="28"/>
          <w:szCs w:val="28"/>
          <w:lang w:val="en-GB"/>
        </w:rPr>
        <w:t>regulations</w:t>
      </w:r>
      <w:r w:rsidRPr="00EE08C7">
        <w:rPr>
          <w:rFonts w:ascii="Times New Roman" w:eastAsia="Times New Roman" w:hAnsi="Times New Roman" w:cs="Times New Roman"/>
          <w:sz w:val="28"/>
          <w:szCs w:val="28"/>
          <w:lang w:val="en-GB"/>
        </w:rPr>
        <w:t xml:space="preserve">”, which can be considered as a set of reference rules in the assessment of the constitutionality of the manner in which </w:t>
      </w:r>
      <w:r w:rsidR="00085C21"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Parliament, the President of Romania, the Government and the </w:t>
      </w:r>
      <w:r w:rsidR="00085C21" w:rsidRPr="00EE08C7">
        <w:rPr>
          <w:rFonts w:ascii="Times New Roman" w:eastAsia="Times New Roman" w:hAnsi="Times New Roman" w:cs="Times New Roman"/>
          <w:sz w:val="28"/>
          <w:szCs w:val="28"/>
          <w:lang w:val="en-GB"/>
        </w:rPr>
        <w:t xml:space="preserve">judicial authority </w:t>
      </w:r>
      <w:r w:rsidRPr="00EE08C7">
        <w:rPr>
          <w:rFonts w:ascii="Times New Roman" w:eastAsia="Times New Roman" w:hAnsi="Times New Roman" w:cs="Times New Roman"/>
          <w:sz w:val="28"/>
          <w:szCs w:val="28"/>
          <w:lang w:val="en-GB"/>
        </w:rPr>
        <w:t>ensure that they are complied with.</w:t>
      </w:r>
    </w:p>
    <w:p w:rsidR="00427602" w:rsidRPr="00EE08C7" w:rsidRDefault="0021723C" w:rsidP="006A40ED">
      <w:pPr>
        <w:pStyle w:val="ListParagraph"/>
        <w:numPr>
          <w:ilvl w:val="0"/>
          <w:numId w:val="2"/>
        </w:numPr>
        <w:autoSpaceDE w:val="0"/>
        <w:spacing w:after="0" w:line="360" w:lineRule="auto"/>
        <w:ind w:left="0" w:firstLine="708"/>
        <w:jc w:val="both"/>
        <w:rPr>
          <w:lang w:val="en-GB"/>
        </w:rPr>
      </w:pPr>
      <w:r w:rsidRPr="00EE08C7">
        <w:rPr>
          <w:rFonts w:ascii="Times New Roman" w:eastAsia="Times New Roman" w:hAnsi="Times New Roman" w:cs="Times New Roman"/>
          <w:sz w:val="28"/>
          <w:szCs w:val="28"/>
          <w:lang w:val="en-GB"/>
        </w:rPr>
        <w:t xml:space="preserve">With regard to the criticism of </w:t>
      </w:r>
      <w:r w:rsidR="00085C21" w:rsidRPr="00EE08C7">
        <w:rPr>
          <w:rFonts w:ascii="Times New Roman" w:eastAsia="Times New Roman" w:hAnsi="Times New Roman" w:cs="Times New Roman"/>
          <w:sz w:val="28"/>
          <w:szCs w:val="28"/>
          <w:lang w:val="en-GB"/>
        </w:rPr>
        <w:t xml:space="preserve">intrinsic </w:t>
      </w:r>
      <w:r w:rsidRPr="00EE08C7">
        <w:rPr>
          <w:rFonts w:ascii="Times New Roman" w:eastAsia="Times New Roman" w:hAnsi="Times New Roman" w:cs="Times New Roman"/>
          <w:sz w:val="28"/>
          <w:szCs w:val="28"/>
          <w:lang w:val="en-GB"/>
        </w:rPr>
        <w:t>unconstitutionality relating to the provisions of Article II (11) of the Emergency Ord</w:t>
      </w:r>
      <w:r w:rsidR="00085C21" w:rsidRPr="00EE08C7">
        <w:rPr>
          <w:rFonts w:ascii="Times New Roman" w:eastAsia="Times New Roman" w:hAnsi="Times New Roman" w:cs="Times New Roman"/>
          <w:sz w:val="28"/>
          <w:szCs w:val="28"/>
          <w:lang w:val="en-GB"/>
        </w:rPr>
        <w:t>inance</w:t>
      </w:r>
      <w:r w:rsidRPr="00EE08C7">
        <w:rPr>
          <w:rFonts w:ascii="Times New Roman" w:eastAsia="Times New Roman" w:hAnsi="Times New Roman" w:cs="Times New Roman"/>
          <w:sz w:val="28"/>
          <w:szCs w:val="28"/>
          <w:lang w:val="en-GB"/>
        </w:rPr>
        <w:t>, the Government notes that</w:t>
      </w:r>
      <w:r w:rsidR="00085C21" w:rsidRPr="00EE08C7">
        <w:rPr>
          <w:rFonts w:ascii="Times New Roman" w:eastAsia="Times New Roman" w:hAnsi="Times New Roman" w:cs="Times New Roman"/>
          <w:sz w:val="28"/>
          <w:szCs w:val="28"/>
          <w:lang w:val="en-GB"/>
        </w:rPr>
        <w:t xml:space="preserve"> the mentioned</w:t>
      </w:r>
      <w:r w:rsidRPr="00EE08C7">
        <w:rPr>
          <w:lang w:val="en-GB"/>
        </w:rPr>
        <w:t xml:space="preserve"> </w:t>
      </w:r>
      <w:r w:rsidRPr="00EE08C7">
        <w:rPr>
          <w:rFonts w:ascii="Times New Roman" w:eastAsia="Times New Roman" w:hAnsi="Times New Roman" w:cs="Times New Roman"/>
          <w:sz w:val="28"/>
          <w:szCs w:val="28"/>
          <w:lang w:val="en-GB"/>
        </w:rPr>
        <w:t xml:space="preserve">provisions, contrary to what the authors of the referral </w:t>
      </w:r>
      <w:r w:rsidR="00085C21" w:rsidRPr="00EE08C7">
        <w:rPr>
          <w:rFonts w:ascii="Times New Roman" w:eastAsia="Times New Roman" w:hAnsi="Times New Roman" w:cs="Times New Roman"/>
          <w:sz w:val="28"/>
          <w:szCs w:val="28"/>
          <w:lang w:val="en-GB"/>
        </w:rPr>
        <w:t>stated</w:t>
      </w:r>
      <w:r w:rsidRPr="00EE08C7">
        <w:rPr>
          <w:rFonts w:ascii="Times New Roman" w:eastAsia="Times New Roman" w:hAnsi="Times New Roman" w:cs="Times New Roman"/>
          <w:sz w:val="28"/>
          <w:szCs w:val="28"/>
          <w:lang w:val="en-GB"/>
        </w:rPr>
        <w:t xml:space="preserve">, </w:t>
      </w:r>
      <w:r w:rsidR="00085C21" w:rsidRPr="00EE08C7">
        <w:rPr>
          <w:rFonts w:ascii="Times New Roman" w:eastAsia="Times New Roman" w:hAnsi="Times New Roman" w:cs="Times New Roman"/>
          <w:sz w:val="28"/>
          <w:szCs w:val="28"/>
          <w:lang w:val="en-GB"/>
        </w:rPr>
        <w:t>“</w:t>
      </w:r>
      <w:r w:rsidRPr="00EE08C7">
        <w:rPr>
          <w:rFonts w:ascii="Times New Roman" w:eastAsia="Times New Roman" w:hAnsi="Times New Roman" w:cs="Times New Roman"/>
          <w:sz w:val="28"/>
          <w:szCs w:val="28"/>
          <w:lang w:val="en-GB"/>
        </w:rPr>
        <w:t xml:space="preserve">do not have the purpose of establishing </w:t>
      </w:r>
      <w:r w:rsidR="00085C21"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jurisdiction </w:t>
      </w:r>
      <w:r w:rsidR="00426AE6" w:rsidRPr="00EE08C7">
        <w:rPr>
          <w:rFonts w:ascii="Times New Roman" w:eastAsia="Times New Roman" w:hAnsi="Times New Roman" w:cs="Times New Roman"/>
          <w:sz w:val="28"/>
          <w:szCs w:val="28"/>
          <w:lang w:val="en-GB"/>
        </w:rPr>
        <w:t xml:space="preserve">as to the </w:t>
      </w:r>
      <w:r w:rsidRPr="00EE08C7">
        <w:rPr>
          <w:rFonts w:ascii="Times New Roman" w:eastAsia="Times New Roman" w:hAnsi="Times New Roman" w:cs="Times New Roman"/>
          <w:sz w:val="28"/>
          <w:szCs w:val="28"/>
          <w:lang w:val="en-GB"/>
        </w:rPr>
        <w:t xml:space="preserve">subject and person of the </w:t>
      </w:r>
      <w:r w:rsidR="00426AE6" w:rsidRPr="00EE08C7">
        <w:rPr>
          <w:rFonts w:ascii="Times New Roman" w:eastAsia="Times New Roman" w:hAnsi="Times New Roman" w:cs="Times New Roman"/>
          <w:sz w:val="28"/>
          <w:szCs w:val="28"/>
          <w:lang w:val="en-GB"/>
        </w:rPr>
        <w:t>S</w:t>
      </w:r>
      <w:r w:rsidRPr="00EE08C7">
        <w:rPr>
          <w:rFonts w:ascii="Times New Roman" w:eastAsia="Times New Roman" w:hAnsi="Times New Roman" w:cs="Times New Roman"/>
          <w:sz w:val="28"/>
          <w:szCs w:val="28"/>
          <w:lang w:val="en-GB"/>
        </w:rPr>
        <w:t xml:space="preserve">ection, in order to extend it, but rather to lay down, in addition to the initial regulation, as a natural consequence of the establishment of a new structure with exclusive competence in that </w:t>
      </w:r>
      <w:r w:rsidR="00426AE6" w:rsidRPr="00EE08C7">
        <w:rPr>
          <w:rFonts w:ascii="Times New Roman" w:eastAsia="Times New Roman" w:hAnsi="Times New Roman" w:cs="Times New Roman"/>
          <w:sz w:val="28"/>
          <w:szCs w:val="28"/>
          <w:lang w:val="en-GB"/>
        </w:rPr>
        <w:t>Section</w:t>
      </w:r>
      <w:r w:rsidRPr="00EE08C7">
        <w:rPr>
          <w:rFonts w:ascii="Times New Roman" w:eastAsia="Times New Roman" w:hAnsi="Times New Roman" w:cs="Times New Roman"/>
          <w:sz w:val="28"/>
          <w:szCs w:val="28"/>
          <w:lang w:val="en-GB"/>
        </w:rPr>
        <w:t xml:space="preserve">, the fact that </w:t>
      </w:r>
      <w:r w:rsidR="00426AE6" w:rsidRPr="00EE08C7">
        <w:rPr>
          <w:rFonts w:ascii="Times New Roman" w:eastAsia="Times New Roman" w:hAnsi="Times New Roman" w:cs="Times New Roman"/>
          <w:sz w:val="28"/>
          <w:szCs w:val="28"/>
          <w:lang w:val="en-GB"/>
        </w:rPr>
        <w:t>files</w:t>
      </w:r>
      <w:r w:rsidRPr="00EE08C7">
        <w:rPr>
          <w:rFonts w:ascii="Times New Roman" w:eastAsia="Times New Roman" w:hAnsi="Times New Roman" w:cs="Times New Roman"/>
          <w:sz w:val="28"/>
          <w:szCs w:val="28"/>
          <w:lang w:val="en-GB"/>
        </w:rPr>
        <w:t xml:space="preserve"> </w:t>
      </w:r>
      <w:r w:rsidR="00426AE6" w:rsidRPr="00EE08C7">
        <w:rPr>
          <w:rFonts w:ascii="Times New Roman" w:eastAsia="Times New Roman" w:hAnsi="Times New Roman" w:cs="Times New Roman"/>
          <w:sz w:val="28"/>
          <w:szCs w:val="28"/>
          <w:lang w:val="en-GB"/>
        </w:rPr>
        <w:t xml:space="preserve">of the </w:t>
      </w:r>
      <w:r w:rsidRPr="00EE08C7">
        <w:rPr>
          <w:rFonts w:ascii="Times New Roman" w:eastAsia="Times New Roman" w:hAnsi="Times New Roman" w:cs="Times New Roman"/>
          <w:sz w:val="28"/>
          <w:szCs w:val="28"/>
          <w:lang w:val="en-GB"/>
        </w:rPr>
        <w:t xml:space="preserve">cases concerning </w:t>
      </w:r>
      <w:r w:rsidR="00426AE6" w:rsidRPr="00EE08C7">
        <w:rPr>
          <w:rFonts w:ascii="Times New Roman" w:eastAsia="Times New Roman" w:hAnsi="Times New Roman" w:cs="Times New Roman"/>
          <w:sz w:val="28"/>
          <w:szCs w:val="28"/>
          <w:lang w:val="en-GB"/>
        </w:rPr>
        <w:t xml:space="preserve">the </w:t>
      </w:r>
      <w:r w:rsidRPr="00EE08C7">
        <w:rPr>
          <w:rFonts w:ascii="Times New Roman" w:eastAsia="Times New Roman" w:hAnsi="Times New Roman" w:cs="Times New Roman"/>
          <w:sz w:val="28"/>
          <w:szCs w:val="28"/>
          <w:lang w:val="en-GB"/>
        </w:rPr>
        <w:t xml:space="preserve">offences falling within the competence </w:t>
      </w:r>
      <w:r w:rsidR="00426AE6" w:rsidRPr="00EE08C7">
        <w:rPr>
          <w:rFonts w:ascii="Times New Roman" w:eastAsia="Times New Roman" w:hAnsi="Times New Roman" w:cs="Times New Roman"/>
          <w:sz w:val="28"/>
          <w:szCs w:val="28"/>
          <w:lang w:val="en-GB"/>
        </w:rPr>
        <w:t xml:space="preserve">of the Section – competence </w:t>
      </w:r>
      <w:r w:rsidRPr="00EE08C7">
        <w:rPr>
          <w:rFonts w:ascii="Times New Roman" w:eastAsia="Times New Roman" w:hAnsi="Times New Roman" w:cs="Times New Roman"/>
          <w:sz w:val="28"/>
          <w:szCs w:val="28"/>
          <w:lang w:val="en-GB"/>
        </w:rPr>
        <w:t xml:space="preserve">referred to in Article 881 (1) of Law </w:t>
      </w:r>
      <w:r w:rsidR="00BF7E59">
        <w:rPr>
          <w:rFonts w:ascii="Times New Roman" w:eastAsia="Times New Roman" w:hAnsi="Times New Roman" w:cs="Times New Roman"/>
          <w:sz w:val="28"/>
          <w:szCs w:val="28"/>
          <w:lang w:val="en-GB"/>
        </w:rPr>
        <w:t>no.</w:t>
      </w:r>
      <w:r w:rsidRPr="00EE08C7">
        <w:rPr>
          <w:rFonts w:ascii="Times New Roman" w:eastAsia="Times New Roman" w:hAnsi="Times New Roman" w:cs="Times New Roman"/>
          <w:sz w:val="28"/>
          <w:szCs w:val="28"/>
          <w:lang w:val="en-GB"/>
        </w:rPr>
        <w:t xml:space="preserve"> 304/2004, republished, amended and completed</w:t>
      </w:r>
      <w:r w:rsidR="00426AE6" w:rsidRPr="00EE08C7">
        <w:rPr>
          <w:rFonts w:ascii="Times New Roman" w:eastAsia="Times New Roman" w:hAnsi="Times New Roman" w:cs="Times New Roman"/>
          <w:sz w:val="28"/>
          <w:szCs w:val="28"/>
          <w:lang w:val="en-GB"/>
        </w:rPr>
        <w:t xml:space="preserve"> -</w:t>
      </w:r>
      <w:r w:rsidRPr="00EE08C7">
        <w:rPr>
          <w:rFonts w:ascii="Times New Roman" w:eastAsia="Times New Roman" w:hAnsi="Times New Roman" w:cs="Times New Roman"/>
          <w:sz w:val="28"/>
          <w:szCs w:val="28"/>
          <w:lang w:val="en-GB"/>
        </w:rPr>
        <w:t xml:space="preserve"> and settled until the date of its operationalisation, are taken over by the latter. Therefore, in the light of the </w:t>
      </w:r>
      <w:r w:rsidR="00426AE6" w:rsidRPr="00EE08C7">
        <w:rPr>
          <w:rFonts w:ascii="Times New Roman" w:eastAsia="Times New Roman" w:hAnsi="Times New Roman" w:cs="Times New Roman"/>
          <w:sz w:val="28"/>
          <w:szCs w:val="28"/>
          <w:lang w:val="en-GB"/>
        </w:rPr>
        <w:t xml:space="preserve">observance of the </w:t>
      </w:r>
      <w:r w:rsidRPr="00EE08C7">
        <w:rPr>
          <w:rFonts w:ascii="Times New Roman" w:eastAsia="Times New Roman" w:hAnsi="Times New Roman" w:cs="Times New Roman"/>
          <w:sz w:val="28"/>
          <w:szCs w:val="28"/>
          <w:lang w:val="en-GB"/>
        </w:rPr>
        <w:t xml:space="preserve">principle of legality referred to in Article 1 (5) of the Constitution, the criticised </w:t>
      </w:r>
      <w:r w:rsidR="00426AE6" w:rsidRPr="00EE08C7">
        <w:rPr>
          <w:rFonts w:ascii="Times New Roman" w:eastAsia="Times New Roman" w:hAnsi="Times New Roman" w:cs="Times New Roman"/>
          <w:sz w:val="28"/>
          <w:szCs w:val="28"/>
          <w:lang w:val="en-GB"/>
        </w:rPr>
        <w:t xml:space="preserve">provisions </w:t>
      </w:r>
      <w:r w:rsidRPr="00EE08C7">
        <w:rPr>
          <w:rFonts w:ascii="Times New Roman" w:eastAsia="Times New Roman" w:hAnsi="Times New Roman" w:cs="Times New Roman"/>
          <w:sz w:val="28"/>
          <w:szCs w:val="28"/>
          <w:lang w:val="en-GB"/>
        </w:rPr>
        <w:t xml:space="preserve">shall have a clear, unambiguous and </w:t>
      </w:r>
      <w:r w:rsidRPr="00EE08C7">
        <w:rPr>
          <w:rFonts w:ascii="Times New Roman" w:eastAsia="Times New Roman" w:hAnsi="Times New Roman" w:cs="Times New Roman"/>
          <w:sz w:val="28"/>
          <w:szCs w:val="28"/>
          <w:lang w:val="en-GB"/>
        </w:rPr>
        <w:lastRenderedPageBreak/>
        <w:t xml:space="preserve">predictable </w:t>
      </w:r>
      <w:r w:rsidR="00426AE6" w:rsidRPr="00EE08C7">
        <w:rPr>
          <w:rFonts w:ascii="Times New Roman" w:eastAsia="Times New Roman" w:hAnsi="Times New Roman" w:cs="Times New Roman"/>
          <w:sz w:val="28"/>
          <w:szCs w:val="28"/>
          <w:lang w:val="en-GB"/>
        </w:rPr>
        <w:t xml:space="preserve">meaning, </w:t>
      </w:r>
      <w:r w:rsidRPr="00EE08C7">
        <w:rPr>
          <w:rFonts w:ascii="Times New Roman" w:eastAsia="Times New Roman" w:hAnsi="Times New Roman" w:cs="Times New Roman"/>
          <w:sz w:val="28"/>
          <w:szCs w:val="28"/>
          <w:lang w:val="en-GB"/>
        </w:rPr>
        <w:t>so that they cannot retain a lack of clarity and predictability of legal rules, or that they are affected by editorial shortcomings which render them unconstitutional.”</w:t>
      </w:r>
      <w:bookmarkStart w:id="20" w:name="_Hlk536008388"/>
      <w:bookmarkEnd w:id="20"/>
      <w:r w:rsidR="006A40ED" w:rsidRPr="00EE08C7">
        <w:rPr>
          <w:rFonts w:ascii="Times New Roman" w:eastAsia="Times New Roman" w:hAnsi="Times New Roman" w:cs="Times New Roman"/>
          <w:sz w:val="28"/>
          <w:szCs w:val="28"/>
          <w:lang w:val="en-GB"/>
        </w:rPr>
        <w:t xml:space="preserve"> </w:t>
      </w:r>
    </w:p>
    <w:p w:rsidR="006A40ED" w:rsidRPr="00EE08C7" w:rsidRDefault="006A40ED" w:rsidP="006A40ED">
      <w:pPr>
        <w:spacing w:after="0" w:line="276" w:lineRule="auto"/>
        <w:jc w:val="right"/>
        <w:rPr>
          <w:rFonts w:ascii="Times New Roman" w:eastAsia="Times New Roman" w:hAnsi="Times New Roman" w:cs="Times New Roman"/>
          <w:sz w:val="24"/>
          <w:szCs w:val="24"/>
          <w:lang w:val="en-GB"/>
        </w:rPr>
      </w:pPr>
    </w:p>
    <w:p w:rsidR="006A40ED" w:rsidRPr="00EE08C7" w:rsidRDefault="006A40ED" w:rsidP="006A40ED">
      <w:pPr>
        <w:autoSpaceDE w:val="0"/>
        <w:autoSpaceDN w:val="0"/>
        <w:adjustRightInd w:val="0"/>
        <w:spacing w:after="0" w:line="360" w:lineRule="auto"/>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THE COURT,</w:t>
      </w:r>
    </w:p>
    <w:p w:rsidR="006A40ED" w:rsidRPr="00EE08C7" w:rsidRDefault="006A40ED" w:rsidP="006A40ED">
      <w:pPr>
        <w:autoSpaceDE w:val="0"/>
        <w:autoSpaceDN w:val="0"/>
        <w:adjustRightInd w:val="0"/>
        <w:spacing w:after="0" w:line="360" w:lineRule="auto"/>
        <w:contextualSpacing/>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having examined the objection of unconstitutionality, the viewpoints of the President of the Senate, of the President of the Chamber of Deputies and of the Government, the report drafted by the judge-rapporteur, the provisions of the Law approving Government Emergency Ordinance no. 90/2018 concerning certain measures aimed at making the Section for the investigation of justice-related criminal offences operational, as well as the provisions of the Constitution, held the following:</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09"/>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subject-matter of the act of referral is represented by the pleas of unconstitutionality of the provisions of the Law </w:t>
      </w:r>
      <w:bookmarkStart w:id="21" w:name="_Hlk535920936"/>
      <w:r w:rsidRPr="00EE08C7">
        <w:rPr>
          <w:rFonts w:ascii="Times New Roman" w:hAnsi="Times New Roman"/>
          <w:sz w:val="28"/>
          <w:szCs w:val="28"/>
          <w:lang w:val="en-GB"/>
        </w:rPr>
        <w:t>approving Government Emergency Ordinance no. 90/2018 concerning certain measures aimed at making the Section for the investigation of justice-related criminal offences operational</w:t>
      </w:r>
      <w:bookmarkEnd w:id="21"/>
      <w:r w:rsidRPr="00EE08C7">
        <w:rPr>
          <w:rFonts w:ascii="Times New Roman" w:hAnsi="Times New Roman"/>
          <w:sz w:val="28"/>
          <w:szCs w:val="28"/>
          <w:lang w:val="en-GB"/>
        </w:rPr>
        <w:t>, ordinance published in the Official Gazette of Romania, Part I, no. 862 of 10 October 2018, as a whole, as well as by the provisions of Article II (11) of Government Emergency Ordinance no. 90/2018, in particular.</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08"/>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The authors of the referral claim that the impugned provisions are contrary to the constitutional provisions of Article 1 (4) and (5), Article 61 (1), Article 115 (4) and (6) and Article 148 (2) and (4).</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For the purpose of settling this objection of unconstitutionality, the Court shall verify whether or not the conditions for its admissibility are met, as referred to in the first sentence of Article 146 (a) of the Constitution and of Article 15 (2) of Law no. 47/1992, concerning the holder of the right to refer to the constitutional court, as well as the subject-matter of the constitutional review. In its case-law, the Court has stated that the first two conditions referred to the regularity of the referral addressed to the constitutional court, from the point of view of its </w:t>
      </w:r>
      <w:r w:rsidRPr="00EE08C7">
        <w:rPr>
          <w:rFonts w:ascii="Times New Roman" w:hAnsi="Times New Roman"/>
          <w:sz w:val="28"/>
          <w:szCs w:val="28"/>
          <w:lang w:val="en-GB"/>
        </w:rPr>
        <w:lastRenderedPageBreak/>
        <w:t>lawful referral, while the third was aimed at establishing its jurisdiction, so that they shall be examined in that order, and if one is found not to have been met, this shall have insurmountable effects and shall make the analysis of the other conditions pointless (see, to this effect, Decision no. 334 of 10 May 2018, published in the Official Gazette of Romania, Part I, no. 455 of 31 May 2018, par. 27, or Decision no. 385 of 5 June 2018, published in the Official Gazette of Romania, Part I, no. 488 of 13 June 2018, par. 32).</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With regard to the holder of the right of referral, this objection of unconstitutionality was filed by a group of 92 Deputies belonging to the parliamentary group of the National Liberal Party and to the parliamentary group of the Save Romania Union, which, under the first sentence of Article 146 (a) of the Constitution and under Article 15 (1) of Law no. 47/1992, has the right to refer to the Constitutional Court for the purpose of exercising the </w:t>
      </w:r>
      <w:r w:rsidRPr="00EE08C7">
        <w:rPr>
          <w:rFonts w:ascii="Times New Roman" w:hAnsi="Times New Roman"/>
          <w:i/>
          <w:iCs/>
          <w:sz w:val="28"/>
          <w:szCs w:val="28"/>
          <w:lang w:val="en-GB"/>
        </w:rPr>
        <w:t>a priori</w:t>
      </w:r>
      <w:r w:rsidRPr="00EE08C7">
        <w:rPr>
          <w:rFonts w:ascii="Times New Roman" w:hAnsi="Times New Roman"/>
          <w:sz w:val="28"/>
          <w:szCs w:val="28"/>
          <w:lang w:val="en-GB"/>
        </w:rPr>
        <w:t xml:space="preserve"> constitutional review, thus fulfilling this first condition of admissibility.</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With regard to the time limit within which the constitutional court may be referred to, according to Article 15 (2) of Law no. 47/1992, it is five days from the date of submission of the adopted law with the general-secretaries of the two Chambers of Parliament, respectively two days, as of the same moment, if the law was adopted by urgent procedure. At the same time, under the first sentence of Article 146 (a) of the Basic Law, the Constitutional Court decides on the constitutionality of laws before their promulgation, which, according to the second sentence of Article 77 (1) of the Constitution, must not exceed 20 days after receiving the law adopted by Parliament. In this regard, it is noted that the Law approving Government Emergency Ordinance no. 90/2018 concerning certain measures aimed at making the Section for the investigation of justice-related criminal offences operational was adopted, by urgent procedure, by the Senate of Romania, as the decision-making Chamber, on 10 December 2018, was submitted on 17 December 2018 to the general-secretary in order to exercise the right of </w:t>
      </w:r>
      <w:r w:rsidRPr="00EE08C7">
        <w:rPr>
          <w:rFonts w:ascii="Times New Roman" w:hAnsi="Times New Roman"/>
          <w:sz w:val="28"/>
          <w:szCs w:val="28"/>
          <w:lang w:val="en-GB"/>
        </w:rPr>
        <w:lastRenderedPageBreak/>
        <w:t>referral concerning the unconstitutionality of the law, and was then sent for promulgation on 19 December 2018. This referral was registered with the Constitutional Court on 18 December 2018. In such a case, taking note that the claim of unconstitutionality was filed within the legal time limit of two days, referred to in Article 15 (2) of Law no. 47/1992, the Court finds that the objection of unconstitutionality is admissible with regard to the observance of the time limit within which the constitutional court may be referred to.</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order to examine the admissibility of this claim with regard to the third aspect of admissibility - the subject-matter of the constitutional review, i.e. the determination of the Court’s jurisdiction with regard to the law subject to review, it is necessary to analyse the pleas raised by the author of the referral. </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By analysing the constitutional grounds invoked in support of the unconstitutionality complaint, as well as the grounds of the objection filed, the Court notes that the subject-matter of the plea in this case is represented by the procedure for adopting the Law approving Government Emergency Ordinance no. 90/2018 concerning certain measures aimed at making the Section for the investigation of justice-related criminal offences operational, as well as some of its provisions. </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Consequently, as there is no reason to dismiss the referral thus lodged, the Constitutional Court has been legally referred to and is competent, pursuant to the provisions of Article 146 (a) of the Constitution and of Articles 1, 10, 15, 16 and 18 of Law no. 47/1992, to adjudicate on the constitutionality of the impugned legal provisions.</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right="47"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As a preliminary aspect, the Court shall examine the request to address a series of preliminary questions to the </w:t>
      </w:r>
      <w:bookmarkStart w:id="22" w:name="_Hlk3900658"/>
      <w:r w:rsidRPr="00EE08C7">
        <w:rPr>
          <w:rFonts w:ascii="Times New Roman" w:hAnsi="Times New Roman"/>
          <w:sz w:val="28"/>
          <w:szCs w:val="28"/>
          <w:lang w:val="en-GB"/>
        </w:rPr>
        <w:t>CJEU</w:t>
      </w:r>
      <w:bookmarkEnd w:id="22"/>
      <w:r w:rsidRPr="00EE08C7">
        <w:rPr>
          <w:rFonts w:ascii="Times New Roman" w:hAnsi="Times New Roman"/>
          <w:sz w:val="28"/>
          <w:szCs w:val="28"/>
          <w:lang w:val="en-GB"/>
        </w:rPr>
        <w:t xml:space="preserve">, as well as </w:t>
      </w:r>
      <w:bookmarkStart w:id="23" w:name="_Hlk3563019"/>
      <w:r w:rsidRPr="00EE08C7">
        <w:rPr>
          <w:rFonts w:ascii="Times New Roman" w:hAnsi="Times New Roman"/>
          <w:sz w:val="28"/>
          <w:szCs w:val="28"/>
          <w:lang w:val="en-GB"/>
        </w:rPr>
        <w:t>the request to stay the proceedings in the case subject to constitutional review.</w:t>
      </w:r>
    </w:p>
    <w:bookmarkEnd w:id="23"/>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right="47" w:firstLine="720"/>
        <w:jc w:val="both"/>
        <w:rPr>
          <w:rFonts w:ascii="Times New Roman" w:eastAsia="Times New Roman" w:hAnsi="Times New Roman" w:cs="Times New Roman"/>
          <w:color w:val="000000"/>
          <w:sz w:val="28"/>
          <w:szCs w:val="28"/>
          <w:lang w:val="en-GB"/>
        </w:rPr>
      </w:pPr>
      <w:r w:rsidRPr="00EE08C7">
        <w:rPr>
          <w:rFonts w:ascii="Times New Roman" w:hAnsi="Times New Roman"/>
          <w:sz w:val="28"/>
          <w:szCs w:val="28"/>
          <w:lang w:val="en-GB"/>
        </w:rPr>
        <w:t xml:space="preserve">Following an alleged non-compliance, by the Romanian State, with some of the recommendations in the Report of 13 November 2018 drafted as part of </w:t>
      </w:r>
      <w:r w:rsidRPr="00EE08C7">
        <w:rPr>
          <w:rFonts w:ascii="Times New Roman" w:hAnsi="Times New Roman"/>
          <w:sz w:val="28"/>
          <w:szCs w:val="28"/>
          <w:lang w:val="en-GB"/>
        </w:rPr>
        <w:lastRenderedPageBreak/>
        <w:t xml:space="preserve">the Cooperation and Verification Mechanism (CVM) established under the Commission Decision 2006/928/EC of 13 December 2006, the authors of the referral claim that a referral, by the national court, of the C.J.E.U. “becomes the main legal instrument of coercion for preventing a violation of the obligations related to the European Union”. </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right="47" w:firstLine="720"/>
        <w:jc w:val="both"/>
        <w:rPr>
          <w:rFonts w:ascii="Times New Roman" w:eastAsia="Times New Roman" w:hAnsi="Times New Roman" w:cs="Times New Roman"/>
          <w:color w:val="000000"/>
          <w:sz w:val="28"/>
          <w:szCs w:val="28"/>
          <w:lang w:val="en-GB"/>
        </w:rPr>
      </w:pPr>
      <w:r w:rsidRPr="00EE08C7">
        <w:rPr>
          <w:rFonts w:ascii="Times New Roman" w:hAnsi="Times New Roman"/>
          <w:sz w:val="28"/>
          <w:szCs w:val="28"/>
          <w:lang w:val="en-GB"/>
        </w:rPr>
        <w:t xml:space="preserve">Considering the request to address a series of preliminary questions to the CJEU, the Court deems it necessary, in order to settle it, to identify the recommendations made in the respective Report. Thus, in point 3.1., </w:t>
      </w:r>
      <w:r w:rsidRPr="00EE08C7">
        <w:rPr>
          <w:rFonts w:ascii="Times New Roman" w:hAnsi="Times New Roman"/>
          <w:i/>
          <w:iCs/>
          <w:sz w:val="28"/>
          <w:szCs w:val="28"/>
          <w:lang w:val="en-GB"/>
        </w:rPr>
        <w:t>Benchmark One: Judicial independence and Judicial reform</w:t>
      </w:r>
      <w:r w:rsidRPr="00EE08C7">
        <w:rPr>
          <w:rFonts w:ascii="Times New Roman" w:hAnsi="Times New Roman"/>
          <w:sz w:val="28"/>
          <w:szCs w:val="28"/>
          <w:lang w:val="en-GB"/>
        </w:rPr>
        <w:t>, the document looks at the developments in the two areas that made it necessary for the Commission to re-examine the previous assessments:</w:t>
      </w:r>
      <w:r w:rsidRPr="00EE08C7">
        <w:rPr>
          <w:rFonts w:ascii="Times New Roman" w:hAnsi="Times New Roman"/>
          <w:color w:val="000000"/>
          <w:sz w:val="28"/>
          <w:szCs w:val="28"/>
          <w:lang w:val="en-GB"/>
        </w:rPr>
        <w:t xml:space="preserve"> (i) justice laws and legal guarantees for judicial independence and (ii) dismissal of the DNA Chief Prosecutor and political pressure on judicial institutions. </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right="47" w:firstLine="720"/>
        <w:jc w:val="both"/>
        <w:rPr>
          <w:rFonts w:ascii="Times New Roman" w:eastAsia="Times New Roman" w:hAnsi="Times New Roman" w:cs="Times New Roman"/>
          <w:i/>
          <w:color w:val="000000"/>
          <w:sz w:val="28"/>
          <w:szCs w:val="28"/>
          <w:lang w:val="en-GB"/>
        </w:rPr>
      </w:pPr>
      <w:r w:rsidRPr="00EE08C7">
        <w:rPr>
          <w:rFonts w:ascii="Times New Roman" w:hAnsi="Times New Roman"/>
          <w:color w:val="000000"/>
          <w:sz w:val="28"/>
          <w:szCs w:val="28"/>
          <w:lang w:val="en-GB"/>
        </w:rPr>
        <w:t xml:space="preserve">Relevant for the analysis in this case is the first field, with regard to which the CVM Report makes the following statements: </w:t>
      </w:r>
      <w:r w:rsidRPr="00EE08C7">
        <w:rPr>
          <w:rFonts w:ascii="Times New Roman" w:hAnsi="Times New Roman"/>
          <w:i/>
          <w:color w:val="000000"/>
          <w:sz w:val="28"/>
          <w:szCs w:val="28"/>
          <w:lang w:val="en-GB"/>
        </w:rPr>
        <w:t>“The three Justice laws, dating back to 2004, regulate the status of judges and prosecutors, the organisation and functioning of the courts and prosecution offices, and the Superior Council of the Magistracy.   The Justice laws were an essential basis for the positive assessment of the progress of Romania in the CVM in January 2017. The November 2017 report had already underlined the need for the Government and the Parliament to ensure an open, transparent and constructive legislative process, in which judicial independence and the opinion of the judiciary is valued and given due account</w:t>
      </w:r>
      <w:r w:rsidRPr="00EE08C7">
        <w:rPr>
          <w:rFonts w:ascii="Times New Roman" w:eastAsia="Times New Roman" w:hAnsi="Times New Roman" w:cs="Times New Roman"/>
          <w:i/>
          <w:color w:val="000000"/>
          <w:sz w:val="28"/>
          <w:szCs w:val="28"/>
          <w:vertAlign w:val="superscript"/>
          <w:lang w:val="en-GB"/>
        </w:rPr>
        <w:footnoteReference w:id="1"/>
      </w:r>
      <w:r w:rsidRPr="00EE08C7">
        <w:rPr>
          <w:rFonts w:ascii="Times New Roman" w:hAnsi="Times New Roman"/>
          <w:i/>
          <w:color w:val="000000"/>
          <w:sz w:val="28"/>
          <w:szCs w:val="28"/>
          <w:lang w:val="en-GB"/>
        </w:rPr>
        <w:t xml:space="preserve">. The report also recalled the importance of drawing on the opinion of the Venice Commission, as the best way to ensure the sustainability of reform and to fulfil the CVM benchmarks. </w:t>
      </w:r>
    </w:p>
    <w:p w:rsidR="006A40ED" w:rsidRPr="00EE08C7" w:rsidRDefault="006A40ED" w:rsidP="006A40ED">
      <w:pPr>
        <w:autoSpaceDE w:val="0"/>
        <w:autoSpaceDN w:val="0"/>
        <w:adjustRightInd w:val="0"/>
        <w:spacing w:after="0" w:line="360" w:lineRule="auto"/>
        <w:ind w:right="47" w:firstLine="720"/>
        <w:jc w:val="both"/>
        <w:rPr>
          <w:rFonts w:ascii="Times New Roman" w:eastAsia="Times New Roman" w:hAnsi="Times New Roman" w:cs="Times New Roman"/>
          <w:i/>
          <w:color w:val="000000"/>
          <w:sz w:val="28"/>
          <w:szCs w:val="28"/>
          <w:lang w:val="en-GB"/>
        </w:rPr>
      </w:pPr>
      <w:r w:rsidRPr="00EE08C7">
        <w:rPr>
          <w:rFonts w:ascii="Times New Roman" w:hAnsi="Times New Roman"/>
          <w:i/>
          <w:color w:val="000000"/>
          <w:sz w:val="28"/>
          <w:szCs w:val="28"/>
          <w:lang w:val="en-GB"/>
        </w:rPr>
        <w:lastRenderedPageBreak/>
        <w:t>The amended Justice laws are now in force</w:t>
      </w:r>
      <w:r w:rsidRPr="00EE08C7">
        <w:rPr>
          <w:i/>
          <w:vertAlign w:val="superscript"/>
          <w:lang w:val="en-GB"/>
        </w:rPr>
        <w:footnoteReference w:id="2"/>
      </w:r>
      <w:r w:rsidRPr="00EE08C7">
        <w:rPr>
          <w:rFonts w:ascii="Times New Roman" w:hAnsi="Times New Roman"/>
          <w:i/>
          <w:color w:val="000000"/>
          <w:sz w:val="28"/>
          <w:szCs w:val="28"/>
          <w:lang w:val="en-GB"/>
        </w:rPr>
        <w:t xml:space="preserve">. They contain a number of measures weakening the legal guarantees for judicial independence which are likely to undermine the effective independence of judges and prosecutors, and hence public confidence in the judiciary.  This has been the focus of the negative reactions from the judiciary and civil society. Key problematic provisions include in particular: </w:t>
      </w:r>
      <w:r w:rsidRPr="00EE08C7">
        <w:rPr>
          <w:rFonts w:ascii="Times New Roman" w:hAnsi="Times New Roman"/>
          <w:i/>
          <w:iCs/>
          <w:color w:val="000000"/>
          <w:sz w:val="28"/>
          <w:szCs w:val="28"/>
          <w:u w:val="single"/>
          <w:lang w:val="en-GB"/>
        </w:rPr>
        <w:t>the establishment of a special prosecution section for investigating offences committed by magistrates</w:t>
      </w:r>
      <w:r w:rsidRPr="00EE08C7">
        <w:rPr>
          <w:rFonts w:ascii="Times New Roman" w:hAnsi="Times New Roman"/>
          <w:i/>
          <w:color w:val="000000"/>
          <w:sz w:val="28"/>
          <w:szCs w:val="28"/>
          <w:lang w:val="en-GB"/>
        </w:rPr>
        <w:t xml:space="preserve"> (s.n.), new provisions on material liability of magistrates for their decisions, a new early retirement scheme</w:t>
      </w:r>
      <w:r w:rsidRPr="00EE08C7">
        <w:rPr>
          <w:i/>
          <w:vertAlign w:val="superscript"/>
          <w:lang w:val="en-GB"/>
        </w:rPr>
        <w:footnoteReference w:id="3"/>
      </w:r>
      <w:r w:rsidRPr="00EE08C7">
        <w:rPr>
          <w:rFonts w:ascii="Times New Roman" w:hAnsi="Times New Roman"/>
          <w:i/>
          <w:color w:val="000000"/>
          <w:sz w:val="28"/>
          <w:szCs w:val="28"/>
          <w:lang w:val="en-GB"/>
        </w:rPr>
        <w:t>, restrictions on the freedom of expression for magistrates</w:t>
      </w:r>
      <w:r w:rsidRPr="00EE08C7">
        <w:rPr>
          <w:i/>
          <w:vertAlign w:val="superscript"/>
          <w:lang w:val="en-GB"/>
        </w:rPr>
        <w:footnoteReference w:id="4"/>
      </w:r>
      <w:r w:rsidRPr="00EE08C7">
        <w:rPr>
          <w:rFonts w:ascii="Times New Roman" w:hAnsi="Times New Roman"/>
          <w:i/>
          <w:color w:val="000000"/>
          <w:sz w:val="28"/>
          <w:szCs w:val="28"/>
          <w:lang w:val="en-GB"/>
        </w:rPr>
        <w:t xml:space="preserve"> and extended grounds for revoking members of the Superior Council of Magistracy</w:t>
      </w:r>
      <w:r w:rsidRPr="00EE08C7">
        <w:rPr>
          <w:i/>
          <w:vertAlign w:val="superscript"/>
          <w:lang w:val="en-GB"/>
        </w:rPr>
        <w:footnoteReference w:id="5"/>
      </w:r>
      <w:r w:rsidRPr="00EE08C7">
        <w:rPr>
          <w:rFonts w:ascii="Times New Roman" w:hAnsi="Times New Roman"/>
          <w:i/>
          <w:color w:val="000000"/>
          <w:sz w:val="28"/>
          <w:szCs w:val="28"/>
          <w:vertAlign w:val="superscript"/>
          <w:lang w:val="en-GB"/>
        </w:rPr>
        <w:t>,</w:t>
      </w:r>
      <w:r w:rsidRPr="00EE08C7">
        <w:rPr>
          <w:rFonts w:ascii="Times New Roman" w:hAnsi="Times New Roman"/>
          <w:i/>
          <w:color w:val="000000"/>
          <w:sz w:val="28"/>
          <w:szCs w:val="28"/>
          <w:lang w:val="en-GB"/>
        </w:rPr>
        <w:t xml:space="preserve"> </w:t>
      </w:r>
      <w:r w:rsidRPr="00EE08C7">
        <w:rPr>
          <w:i/>
          <w:vertAlign w:val="superscript"/>
          <w:lang w:val="en-GB"/>
        </w:rPr>
        <w:footnoteReference w:id="6"/>
      </w:r>
      <w:r w:rsidRPr="00EE08C7">
        <w:rPr>
          <w:rFonts w:ascii="Times New Roman" w:hAnsi="Times New Roman"/>
          <w:i/>
          <w:color w:val="000000"/>
          <w:sz w:val="28"/>
          <w:szCs w:val="28"/>
          <w:lang w:val="en-GB"/>
        </w:rPr>
        <w:t xml:space="preserve">.  </w:t>
      </w:r>
    </w:p>
    <w:p w:rsidR="006A40ED" w:rsidRPr="00EE08C7" w:rsidRDefault="006A40ED" w:rsidP="006A40ED">
      <w:pPr>
        <w:spacing w:after="0" w:line="360" w:lineRule="auto"/>
        <w:ind w:right="47" w:firstLine="720"/>
        <w:jc w:val="both"/>
        <w:rPr>
          <w:rFonts w:ascii="Times New Roman" w:eastAsia="Times New Roman" w:hAnsi="Times New Roman" w:cs="Times New Roman"/>
          <w:i/>
          <w:color w:val="000000"/>
          <w:sz w:val="28"/>
          <w:szCs w:val="28"/>
          <w:lang w:val="en-GB"/>
        </w:rPr>
      </w:pPr>
      <w:r w:rsidRPr="00EE08C7">
        <w:rPr>
          <w:rFonts w:ascii="Times New Roman" w:hAnsi="Times New Roman"/>
          <w:i/>
          <w:color w:val="000000"/>
          <w:sz w:val="28"/>
          <w:szCs w:val="28"/>
          <w:lang w:val="en-GB"/>
        </w:rPr>
        <w:t>None of these changes correspond to CVM recommendations. The one recommendation which specifically called for legislative change within the scope of the Justice laws concerned the appointment procedure for top prosecutors</w:t>
      </w:r>
      <w:r w:rsidRPr="00EE08C7">
        <w:rPr>
          <w:rFonts w:ascii="Times New Roman" w:eastAsia="Times New Roman" w:hAnsi="Times New Roman" w:cs="Times New Roman"/>
          <w:i/>
          <w:color w:val="000000"/>
          <w:sz w:val="28"/>
          <w:szCs w:val="28"/>
          <w:vertAlign w:val="superscript"/>
          <w:lang w:val="en-GB"/>
        </w:rPr>
        <w:footnoteReference w:id="7"/>
      </w:r>
      <w:r w:rsidRPr="00EE08C7">
        <w:rPr>
          <w:rFonts w:ascii="Times New Roman" w:hAnsi="Times New Roman"/>
          <w:i/>
          <w:color w:val="000000"/>
          <w:sz w:val="28"/>
          <w:szCs w:val="28"/>
          <w:lang w:val="en-GB"/>
        </w:rPr>
        <w:t>. This has not been implemented, and the cumulative impacts of legislative changes rather weaken the checks and balances underlying the operational independence of prosecutors, further strengthening the role of the Minister of Justice</w:t>
      </w:r>
      <w:r w:rsidRPr="00EE08C7">
        <w:rPr>
          <w:rFonts w:ascii="Times New Roman" w:eastAsia="Times New Roman" w:hAnsi="Times New Roman" w:cs="Times New Roman"/>
          <w:i/>
          <w:color w:val="000000"/>
          <w:sz w:val="28"/>
          <w:szCs w:val="28"/>
          <w:vertAlign w:val="superscript"/>
          <w:lang w:val="en-GB"/>
        </w:rPr>
        <w:footnoteReference w:id="8"/>
      </w:r>
      <w:r w:rsidRPr="00EE08C7">
        <w:rPr>
          <w:rFonts w:ascii="Times New Roman" w:hAnsi="Times New Roman"/>
          <w:i/>
          <w:color w:val="000000"/>
          <w:sz w:val="28"/>
          <w:szCs w:val="28"/>
          <w:lang w:val="en-GB"/>
        </w:rPr>
        <w:t xml:space="preserve">.  The amendments also raise questions as regards the capacity of the prosecution to continue the fight against high-level corruption with the same degree of independence. </w:t>
      </w:r>
    </w:p>
    <w:p w:rsidR="006A40ED" w:rsidRPr="00EE08C7" w:rsidRDefault="006A40ED" w:rsidP="006A40ED">
      <w:pPr>
        <w:spacing w:after="0" w:line="360" w:lineRule="auto"/>
        <w:ind w:right="47" w:firstLine="720"/>
        <w:jc w:val="both"/>
        <w:rPr>
          <w:rFonts w:ascii="Times New Roman" w:eastAsia="Times New Roman" w:hAnsi="Times New Roman" w:cs="Times New Roman"/>
          <w:i/>
          <w:color w:val="000000"/>
          <w:sz w:val="28"/>
          <w:szCs w:val="28"/>
          <w:lang w:val="en-GB"/>
        </w:rPr>
      </w:pPr>
      <w:r w:rsidRPr="00EE08C7">
        <w:rPr>
          <w:rFonts w:ascii="Times New Roman" w:hAnsi="Times New Roman"/>
          <w:i/>
          <w:color w:val="000000"/>
          <w:sz w:val="28"/>
          <w:szCs w:val="28"/>
          <w:lang w:val="en-GB"/>
        </w:rPr>
        <w:t xml:space="preserve">The risk that these elements – independently but also in terms of their cumulative effect – could result in pressure on judges and prosecutors, and </w:t>
      </w:r>
      <w:r w:rsidRPr="00EE08C7">
        <w:rPr>
          <w:rFonts w:ascii="Times New Roman" w:hAnsi="Times New Roman"/>
          <w:i/>
          <w:color w:val="000000"/>
          <w:sz w:val="28"/>
          <w:szCs w:val="28"/>
          <w:lang w:val="en-GB"/>
        </w:rPr>
        <w:lastRenderedPageBreak/>
        <w:t>ultimately undermine the independence as well as the efficiency and quality of the judiciary, has also been underlined by a number of outside observers: notably the Council of Europe Venice Commission</w:t>
      </w:r>
      <w:r w:rsidRPr="00EE08C7">
        <w:rPr>
          <w:rFonts w:ascii="Times New Roman" w:eastAsia="Times New Roman" w:hAnsi="Times New Roman" w:cs="Times New Roman"/>
          <w:i/>
          <w:color w:val="000000"/>
          <w:sz w:val="28"/>
          <w:szCs w:val="28"/>
          <w:vertAlign w:val="superscript"/>
          <w:lang w:val="en-GB"/>
        </w:rPr>
        <w:footnoteReference w:id="9"/>
      </w:r>
      <w:r w:rsidRPr="00EE08C7">
        <w:rPr>
          <w:rFonts w:ascii="Times New Roman" w:hAnsi="Times New Roman"/>
          <w:i/>
          <w:color w:val="000000"/>
          <w:sz w:val="28"/>
          <w:szCs w:val="28"/>
          <w:lang w:val="en-GB"/>
        </w:rPr>
        <w:t>, the Group of States Against Corruption (GRECO)</w:t>
      </w:r>
      <w:r w:rsidRPr="00EE08C7">
        <w:rPr>
          <w:rFonts w:ascii="Times New Roman" w:eastAsia="Times New Roman" w:hAnsi="Times New Roman" w:cs="Times New Roman"/>
          <w:i/>
          <w:color w:val="000000"/>
          <w:sz w:val="28"/>
          <w:szCs w:val="28"/>
          <w:vertAlign w:val="superscript"/>
          <w:lang w:val="en-GB"/>
        </w:rPr>
        <w:footnoteReference w:id="10"/>
      </w:r>
      <w:r w:rsidRPr="00EE08C7">
        <w:rPr>
          <w:rFonts w:ascii="Times New Roman" w:hAnsi="Times New Roman"/>
          <w:i/>
          <w:color w:val="000000"/>
          <w:sz w:val="28"/>
          <w:szCs w:val="28"/>
          <w:lang w:val="en-GB"/>
        </w:rPr>
        <w:t xml:space="preserve"> , other Member States and international partners</w:t>
      </w:r>
      <w:r w:rsidRPr="00EE08C7">
        <w:rPr>
          <w:rFonts w:ascii="Times New Roman" w:eastAsia="Times New Roman" w:hAnsi="Times New Roman" w:cs="Times New Roman"/>
          <w:i/>
          <w:color w:val="000000"/>
          <w:sz w:val="28"/>
          <w:szCs w:val="28"/>
          <w:vertAlign w:val="superscript"/>
          <w:lang w:val="en-GB"/>
        </w:rPr>
        <w:footnoteReference w:id="11"/>
      </w:r>
      <w:r w:rsidRPr="00EE08C7">
        <w:rPr>
          <w:rFonts w:ascii="Times New Roman" w:hAnsi="Times New Roman"/>
          <w:i/>
          <w:color w:val="000000"/>
          <w:sz w:val="28"/>
          <w:szCs w:val="28"/>
          <w:vertAlign w:val="subscript"/>
          <w:lang w:val="en-GB"/>
        </w:rPr>
        <w:t>.</w:t>
      </w:r>
      <w:r w:rsidRPr="00EE08C7">
        <w:rPr>
          <w:rFonts w:ascii="Times New Roman" w:hAnsi="Times New Roman"/>
          <w:i/>
          <w:color w:val="000000"/>
          <w:sz w:val="28"/>
          <w:szCs w:val="28"/>
          <w:vertAlign w:val="superscript"/>
          <w:lang w:val="en-GB"/>
        </w:rPr>
        <w:t xml:space="preserve"> </w:t>
      </w:r>
      <w:r w:rsidRPr="00EE08C7">
        <w:rPr>
          <w:rFonts w:ascii="Times New Roman" w:hAnsi="Times New Roman"/>
          <w:i/>
          <w:color w:val="000000"/>
          <w:sz w:val="28"/>
          <w:szCs w:val="28"/>
          <w:lang w:val="en-GB"/>
        </w:rPr>
        <w:t xml:space="preserve"> </w:t>
      </w:r>
    </w:p>
    <w:p w:rsidR="006A40ED" w:rsidRPr="00EE08C7" w:rsidRDefault="006A40ED" w:rsidP="006A40ED">
      <w:pPr>
        <w:spacing w:after="0" w:line="360" w:lineRule="auto"/>
        <w:ind w:right="47" w:firstLine="720"/>
        <w:jc w:val="both"/>
        <w:rPr>
          <w:rFonts w:ascii="Times New Roman" w:eastAsia="Times New Roman" w:hAnsi="Times New Roman" w:cs="Times New Roman"/>
          <w:i/>
          <w:color w:val="000000"/>
          <w:sz w:val="28"/>
          <w:szCs w:val="28"/>
          <w:lang w:val="en-GB"/>
        </w:rPr>
      </w:pPr>
      <w:r w:rsidRPr="00EE08C7">
        <w:rPr>
          <w:rFonts w:ascii="Times New Roman" w:hAnsi="Times New Roman"/>
          <w:i/>
          <w:color w:val="000000"/>
          <w:sz w:val="28"/>
          <w:szCs w:val="28"/>
          <w:lang w:val="en-GB"/>
        </w:rPr>
        <w:t xml:space="preserve">These assessments also underline that constitutionality checks are important but not the only issue at stake: they do not replace the necessity for a debate on the policy choices underlying major changes.  </w:t>
      </w:r>
    </w:p>
    <w:p w:rsidR="006A40ED" w:rsidRPr="00EE08C7" w:rsidRDefault="006A40ED" w:rsidP="006A40ED">
      <w:pPr>
        <w:spacing w:after="0" w:line="360" w:lineRule="auto"/>
        <w:ind w:right="47" w:firstLine="720"/>
        <w:jc w:val="both"/>
        <w:rPr>
          <w:rFonts w:ascii="Times New Roman" w:eastAsia="Times New Roman" w:hAnsi="Times New Roman" w:cs="Times New Roman"/>
          <w:color w:val="000000"/>
          <w:sz w:val="28"/>
          <w:szCs w:val="28"/>
          <w:lang w:val="en-GB"/>
        </w:rPr>
      </w:pPr>
      <w:r w:rsidRPr="00EE08C7">
        <w:rPr>
          <w:rFonts w:ascii="Times New Roman" w:hAnsi="Times New Roman"/>
          <w:i/>
          <w:color w:val="000000"/>
          <w:sz w:val="28"/>
          <w:szCs w:val="28"/>
          <w:lang w:val="en-GB"/>
        </w:rPr>
        <w:t>The Venice Commission delivered a preliminary opinion in July, but the laws were nevertheless promulgated as they stood. In addition, the Government adopted several emergency ordinances which accentuated some of the problems identified, for example by consolidating the authority of the Minister of Justice over prosecutors in particular through the triggering of disciplinary proceedings</w:t>
      </w:r>
      <w:r w:rsidRPr="00EE08C7">
        <w:rPr>
          <w:rFonts w:ascii="Times New Roman" w:eastAsia="Times New Roman" w:hAnsi="Times New Roman" w:cs="Times New Roman"/>
          <w:i/>
          <w:color w:val="000000"/>
          <w:sz w:val="28"/>
          <w:szCs w:val="28"/>
          <w:vertAlign w:val="superscript"/>
          <w:lang w:val="en-GB"/>
        </w:rPr>
        <w:footnoteReference w:id="12"/>
      </w:r>
      <w:r w:rsidRPr="00EE08C7">
        <w:rPr>
          <w:rFonts w:ascii="Times New Roman" w:hAnsi="Times New Roman"/>
          <w:i/>
          <w:color w:val="000000"/>
          <w:sz w:val="28"/>
          <w:szCs w:val="28"/>
          <w:lang w:val="en-GB"/>
        </w:rPr>
        <w:t>.</w:t>
      </w:r>
      <w:r w:rsidRPr="00EE08C7">
        <w:rPr>
          <w:rFonts w:ascii="Times New Roman" w:hAnsi="Times New Roman"/>
          <w:i/>
          <w:color w:val="000000"/>
          <w:sz w:val="28"/>
          <w:szCs w:val="28"/>
          <w:vertAlign w:val="superscript"/>
          <w:lang w:val="en-GB"/>
        </w:rPr>
        <w:t xml:space="preserve"> </w:t>
      </w:r>
      <w:r w:rsidRPr="00EE08C7">
        <w:rPr>
          <w:rFonts w:ascii="Times New Roman" w:hAnsi="Times New Roman"/>
          <w:i/>
          <w:color w:val="000000"/>
          <w:sz w:val="28"/>
          <w:szCs w:val="28"/>
          <w:u w:val="single"/>
          <w:lang w:val="en-GB"/>
        </w:rPr>
        <w:t>The decision of the Government to amend the provisions setting up the special department for investigating magistrates in this way, and to impose new procedures on how this body would be set up by the Superior Council of Magistracy, has raised further questions about the department’s independence</w:t>
      </w:r>
      <w:r w:rsidRPr="00EE08C7">
        <w:rPr>
          <w:rStyle w:val="FootnoteReference"/>
          <w:rFonts w:ascii="Times New Roman" w:eastAsia="Times New Roman" w:hAnsi="Times New Roman" w:cs="Times New Roman"/>
          <w:i/>
          <w:color w:val="000000"/>
          <w:sz w:val="28"/>
          <w:szCs w:val="28"/>
          <w:lang w:val="en-GB"/>
        </w:rPr>
        <w:footnoteReference w:id="13"/>
      </w:r>
      <w:r w:rsidRPr="00EE08C7">
        <w:rPr>
          <w:rFonts w:ascii="Times New Roman" w:hAnsi="Times New Roman"/>
          <w:i/>
          <w:color w:val="000000"/>
          <w:sz w:val="28"/>
          <w:szCs w:val="28"/>
          <w:lang w:val="en-GB"/>
        </w:rPr>
        <w:t xml:space="preserve"> </w:t>
      </w:r>
      <w:r w:rsidRPr="00EE08C7">
        <w:rPr>
          <w:rFonts w:ascii="Times New Roman" w:hAnsi="Times New Roman"/>
          <w:color w:val="000000"/>
          <w:sz w:val="28"/>
          <w:szCs w:val="28"/>
          <w:lang w:val="en-GB"/>
        </w:rPr>
        <w:t>(s.n.).</w:t>
      </w:r>
      <w:r w:rsidRPr="00EE08C7">
        <w:rPr>
          <w:rFonts w:ascii="Times New Roman" w:hAnsi="Times New Roman"/>
          <w:i/>
          <w:color w:val="000000"/>
          <w:sz w:val="28"/>
          <w:szCs w:val="28"/>
          <w:lang w:val="en-GB"/>
        </w:rPr>
        <w:t xml:space="preserve"> It also raised questions about the readiness of the Government to address the Venice Commission recommendations only in a selective manner.  In this sense, an opportunity was missed.”</w:t>
      </w:r>
    </w:p>
    <w:p w:rsidR="006A40ED" w:rsidRPr="00EE08C7" w:rsidRDefault="006A40ED" w:rsidP="006A40ED">
      <w:pPr>
        <w:pStyle w:val="ListParagraph"/>
        <w:numPr>
          <w:ilvl w:val="0"/>
          <w:numId w:val="2"/>
        </w:numPr>
        <w:suppressAutoHyphens w:val="0"/>
        <w:spacing w:after="0" w:line="360" w:lineRule="auto"/>
        <w:ind w:left="0" w:right="47"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In conclusion, with regard to the Justice laws, the CVM Report of 13 November 2018 recommends the following:</w:t>
      </w:r>
      <w:r w:rsidRPr="00EE08C7">
        <w:rPr>
          <w:rFonts w:ascii="Times New Roman" w:hAnsi="Times New Roman"/>
          <w:i/>
          <w:sz w:val="28"/>
          <w:szCs w:val="28"/>
          <w:lang w:val="en-GB"/>
        </w:rPr>
        <w:t xml:space="preserve"> </w:t>
      </w:r>
      <w:r w:rsidRPr="00EE08C7">
        <w:rPr>
          <w:lang w:val="en-GB"/>
        </w:rPr>
        <w:t>“</w:t>
      </w:r>
      <w:bookmarkStart w:id="24" w:name="_Hlk536017854"/>
      <w:r w:rsidRPr="00EE08C7">
        <w:rPr>
          <w:rFonts w:ascii="Times New Roman" w:hAnsi="Times New Roman"/>
          <w:i/>
          <w:sz w:val="28"/>
          <w:szCs w:val="28"/>
          <w:lang w:val="en-GB"/>
        </w:rPr>
        <w:t>suspend immediately the implementation of the Justice laws and subsequent emergency ordinances” and “revise the Justice laws</w:t>
      </w:r>
      <w:bookmarkEnd w:id="24"/>
      <w:r w:rsidRPr="00EE08C7">
        <w:rPr>
          <w:rFonts w:ascii="Times New Roman" w:hAnsi="Times New Roman"/>
          <w:i/>
          <w:sz w:val="28"/>
          <w:szCs w:val="28"/>
          <w:lang w:val="en-GB"/>
        </w:rPr>
        <w:t>, taking fully into account the recommendations under the CVM and issued by the Venice Commission and GRECO”</w:t>
      </w:r>
      <w:r w:rsidRPr="00EE08C7">
        <w:rPr>
          <w:rFonts w:ascii="Times New Roman" w:hAnsi="Times New Roman"/>
          <w:sz w:val="28"/>
          <w:szCs w:val="28"/>
          <w:lang w:val="en-GB"/>
        </w:rPr>
        <w:t xml:space="preserve">.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lastRenderedPageBreak/>
        <w:t xml:space="preserve">In support of the request to </w:t>
      </w:r>
      <w:bookmarkStart w:id="25" w:name="_Hlk536017340"/>
      <w:r w:rsidRPr="00EE08C7">
        <w:rPr>
          <w:rFonts w:ascii="Times New Roman" w:hAnsi="Times New Roman"/>
          <w:sz w:val="28"/>
          <w:szCs w:val="28"/>
          <w:lang w:val="en-GB"/>
        </w:rPr>
        <w:t>address the preliminary questions</w:t>
      </w:r>
      <w:bookmarkEnd w:id="25"/>
      <w:r w:rsidRPr="00EE08C7">
        <w:rPr>
          <w:rFonts w:ascii="Times New Roman" w:hAnsi="Times New Roman"/>
          <w:sz w:val="28"/>
          <w:szCs w:val="28"/>
          <w:lang w:val="en-GB"/>
        </w:rPr>
        <w:t>, the authors rely on arguments taken from the accompanying technical report, from Opinion no. 934 of 13 July 2018, CDL-PI(2018)007 of the European Commission for Democracy through Law of the Council of Europe (the Venice Commission), from the Ad hoc Report on Romania (Rule 34) adopted by the Group of states against Corruption (GRECO) at its 79</w:t>
      </w:r>
      <w:r w:rsidRPr="00EE08C7">
        <w:rPr>
          <w:rFonts w:ascii="Times New Roman" w:hAnsi="Times New Roman"/>
          <w:sz w:val="28"/>
          <w:szCs w:val="28"/>
          <w:vertAlign w:val="superscript"/>
          <w:lang w:val="en-GB"/>
        </w:rPr>
        <w:t>th</w:t>
      </w:r>
      <w:r w:rsidRPr="00EE08C7">
        <w:rPr>
          <w:rFonts w:ascii="Times New Roman" w:hAnsi="Times New Roman"/>
          <w:sz w:val="28"/>
          <w:szCs w:val="28"/>
          <w:lang w:val="en-GB"/>
        </w:rPr>
        <w:t xml:space="preserve"> Plenary Meeting (Strasbourg, 19-23 March 2018), as well as on a series of judgements of the CJEU. </w:t>
      </w:r>
      <w:r w:rsidRPr="00EE08C7">
        <w:rPr>
          <w:rFonts w:ascii="Times New Roman" w:hAnsi="Times New Roman"/>
          <w:b/>
          <w:bCs/>
          <w:i/>
          <w:iCs/>
          <w:sz w:val="28"/>
          <w:szCs w:val="28"/>
          <w:lang w:val="en-GB"/>
        </w:rPr>
        <w:t>The pleas filed refer to the establishment of the Section for the investigation of justice-related criminal offences</w:t>
      </w:r>
      <w:r w:rsidRPr="00EE08C7">
        <w:rPr>
          <w:rFonts w:ascii="Times New Roman" w:hAnsi="Times New Roman"/>
          <w:sz w:val="28"/>
          <w:szCs w:val="28"/>
          <w:lang w:val="en-GB"/>
        </w:rPr>
        <w:t xml:space="preserve">, mainly for the following reasons: “the requirement concerning the independence of judges refers to the substance of the fundamental right to a fair trial, which is of a vital importance in ensuring the safeguarding of all the rights conferred on citizens by Union law and in preserving the common values ​​of the Member States enshrined in Article 2 TEU, especially the value of the rule of law”; “proving the sustainability and irreversibility of the developments made in fighting corruption does not mean a division of the specialized prosecutor’s office, as long as its results are appreciated and encouraged by the European Commission, but its institutional strengthening”; the setting-up of this section also undermines the use of specialised prosecutors (corruption, money laundering, trading of influence, etc.), not being proportionate to any possible goal to be pursued; “annually, there are thousands of fictitious complaints against magistrates, where a minimum investigation must be carried out; these complaints are currently being investigated by more than 150 prosecutors in 19 prosecutor offices (the Prosecutor’s Office attached to the Court of Appeal, the Prosecutor’s Office attached to the High Court of Cassation and Justice, the Directorate for Investigating Organized Crime and Terrorism and the National Anticorruption Directorate). It is obvious that the 15 prosecutors of the new section will be overloaded”; the location of this single structure in Bucharest, where the 15 prosecutors will carry out their activity, will require extra effort from the investigated magistrates compared to other categories </w:t>
      </w:r>
      <w:r w:rsidRPr="00EE08C7">
        <w:rPr>
          <w:rFonts w:ascii="Times New Roman" w:hAnsi="Times New Roman"/>
          <w:sz w:val="28"/>
          <w:szCs w:val="28"/>
          <w:lang w:val="en-GB"/>
        </w:rPr>
        <w:lastRenderedPageBreak/>
        <w:t>of persons; the method of appointment of the chief prosecutor and of the other 14 prosecutors does not provide sufficient guarantees for an impartial selection process, which is likely to be reflected also in the activity of this section.</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With regard to the Section for the investigation of justice-related criminal offences, the Court notes that it was established by Law no. 207/2018 amending and supplementing Law no. 304/2004 on the judicial organisation, published in the Official Gazette of Romania, Part I, no. 636 of 20 July 2018. According to Article III (1) of the law, the section was to become operational within three months from the date of entry into force of the law, respectively on 23 October 2018.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On 10 October 2018, as the competent authority - the Superior Council of Magistracy - did not finalise the procedure for making the Section for the investigation of justice-related criminal offences operational, the Government adopted Emergency Ordinance no. 90/2018 by which it ordered a procedure derogatory from the legal provisions in force, but of a temporary nature, for the purpose of the temporary/provisional appointment of the chief prosecutor, the deputy chief prosecutor and of at least one third of the section’s  prosecutors. The adoption of these measures led to this section becoming operational within the time limit set by the law establishing this prosecutor’s office structure.</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constitutionality of this regulatory act, </w:t>
      </w:r>
      <w:bookmarkStart w:id="26" w:name="_Hlk536017636"/>
      <w:r w:rsidRPr="00EE08C7">
        <w:rPr>
          <w:rFonts w:ascii="Times New Roman" w:hAnsi="Times New Roman"/>
          <w:sz w:val="28"/>
          <w:szCs w:val="28"/>
          <w:lang w:val="en-GB"/>
        </w:rPr>
        <w:t xml:space="preserve">i.e. Government Emergency Ordinance no. 90/2018, </w:t>
      </w:r>
      <w:bookmarkEnd w:id="26"/>
      <w:r w:rsidRPr="00EE08C7">
        <w:rPr>
          <w:rFonts w:ascii="Times New Roman" w:hAnsi="Times New Roman"/>
          <w:sz w:val="28"/>
          <w:szCs w:val="28"/>
          <w:lang w:val="en-GB"/>
        </w:rPr>
        <w:t xml:space="preserve">is challenged before the Constitutional Court in this case, through the approval law adopted by Parliament. Therefore, this case implies the </w:t>
      </w:r>
      <w:r w:rsidRPr="00EE08C7">
        <w:rPr>
          <w:rFonts w:ascii="Times New Roman" w:hAnsi="Times New Roman"/>
          <w:i/>
          <w:iCs/>
          <w:sz w:val="28"/>
          <w:szCs w:val="28"/>
          <w:lang w:val="en-GB"/>
        </w:rPr>
        <w:t>a priori</w:t>
      </w:r>
      <w:r w:rsidRPr="00EE08C7">
        <w:rPr>
          <w:rFonts w:ascii="Times New Roman" w:hAnsi="Times New Roman"/>
          <w:sz w:val="28"/>
          <w:szCs w:val="28"/>
          <w:lang w:val="en-GB"/>
        </w:rPr>
        <w:t xml:space="preserve"> constitutional review of the provisions of the Law for the approval of Government Emergency Ordinance no. 90/2018 concerning certain measures aimed at making the Section for the investigation of justice-related criminal offences operational. Within this procedural framework, a request for addressing preliminary questions to the CJUE was made.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lastRenderedPageBreak/>
        <w:t xml:space="preserve">By examining the request </w:t>
      </w:r>
      <w:bookmarkStart w:id="27" w:name="_Hlk536029506"/>
      <w:r w:rsidRPr="00EE08C7">
        <w:rPr>
          <w:rFonts w:ascii="Times New Roman" w:hAnsi="Times New Roman"/>
          <w:sz w:val="28"/>
          <w:szCs w:val="28"/>
          <w:lang w:val="en-GB"/>
        </w:rPr>
        <w:t>to address preliminary questions</w:t>
      </w:r>
      <w:bookmarkEnd w:id="27"/>
      <w:r w:rsidRPr="00EE08C7">
        <w:rPr>
          <w:rFonts w:ascii="Times New Roman" w:hAnsi="Times New Roman"/>
          <w:sz w:val="28"/>
          <w:szCs w:val="28"/>
          <w:lang w:val="en-GB"/>
        </w:rPr>
        <w:t xml:space="preserve">, i.e. the four questions drafted, the CVM Report of 13 November 2018, as well as the arguments underlying the questions, the Court finds that there is no direct connection between all this, on the one hand, and the provisions of Government Emergency Ordinance no. 90/2018, on the other hand, but only an indirect connection, in that they refer to the Section for the investigation of justice-related criminal offences.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Thus, the authors of the request aim at ascertaining the binding nature of the recommendations in the CVM Report of 13 November 2018, namely the immediate staying of the implementation of the Justice laws and subsequent emergency ordinances and the revision of the Justice laws establishing the Section for the investigation of justice-related criminal offences. In other words, their aim is to suspend the activity of this prosecutor’s office structure and, subsequently, by amending the law, to dismantle it. </w:t>
      </w:r>
      <w:r w:rsidRPr="00EE08C7">
        <w:rPr>
          <w:rFonts w:ascii="Times New Roman" w:hAnsi="Times New Roman"/>
          <w:b/>
          <w:i/>
          <w:sz w:val="28"/>
          <w:szCs w:val="28"/>
          <w:lang w:val="en-GB"/>
        </w:rPr>
        <w:t>Or, the subject-matter of this case is the constitutional review of a regulatory act subsequent to the law establishing the contested prosecutor’s office structure, so the effect of the decision to be taken by the Constitutional Court shall be limited to the provisions of this regulatory act, and shall not affect the existence of the Section for the investigation of justice-related criminal offences, which remains established and operational under Law no. 304/2004, as amended by Law no. 207/2018.</w:t>
      </w:r>
      <w:r w:rsidRPr="00EE08C7">
        <w:rPr>
          <w:rFonts w:ascii="Times New Roman" w:hAnsi="Times New Roman"/>
          <w:sz w:val="28"/>
          <w:szCs w:val="28"/>
          <w:lang w:val="en-GB"/>
        </w:rPr>
        <w:t xml:space="preserve"> Therefore, besides the fact that, by means of constitutional review, the constitutional court has no jurisdiction to order any of the measures sought by the authors of the referral, the procedural framework in which the request was made is not appropriate either. Thus, since </w:t>
      </w:r>
      <w:r w:rsidRPr="00EE08C7">
        <w:rPr>
          <w:rFonts w:ascii="Times New Roman" w:hAnsi="Times New Roman"/>
          <w:b/>
          <w:bCs/>
          <w:i/>
          <w:iCs/>
          <w:sz w:val="28"/>
          <w:szCs w:val="28"/>
          <w:lang w:val="en-GB"/>
        </w:rPr>
        <w:t>all the arguments put forward by the authors of the request for addressing preliminary questions to the CJEU concern the establishment of the Section for the investigation of justice-related criminal offences, they are not related to the subject-matter of the case in which the request was made, which concerns only the constitutional review of certain legal provisions regarding the operationalisation of this prosecutor’s office structure</w:t>
      </w:r>
      <w:r w:rsidRPr="00EE08C7">
        <w:rPr>
          <w:rFonts w:ascii="Times New Roman" w:hAnsi="Times New Roman"/>
          <w:sz w:val="28"/>
          <w:szCs w:val="28"/>
          <w:lang w:val="en-GB"/>
        </w:rPr>
        <w:t xml:space="preserve">. In other words, even if the </w:t>
      </w:r>
      <w:r w:rsidRPr="00EE08C7">
        <w:rPr>
          <w:rFonts w:ascii="Times New Roman" w:hAnsi="Times New Roman"/>
          <w:sz w:val="28"/>
          <w:szCs w:val="28"/>
          <w:lang w:val="en-GB"/>
        </w:rPr>
        <w:lastRenderedPageBreak/>
        <w:t>Constitutional Court were to uphold the request and send the four questions to the CJUE, the answers received would have no effect on the adjudication on the merits of the case subject to the analysis of the constitutional court.</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On the other hand, with regard to the applicability of the binding acts of the European Union during the constitutional review, the Court noted that “the use of </w:t>
      </w:r>
      <w:bookmarkStart w:id="28" w:name="_Hlk536022528"/>
      <w:r w:rsidRPr="00EE08C7">
        <w:rPr>
          <w:rFonts w:ascii="Times New Roman" w:hAnsi="Times New Roman"/>
          <w:sz w:val="28"/>
          <w:szCs w:val="28"/>
          <w:lang w:val="en-GB"/>
        </w:rPr>
        <w:t>a European standard during the constitutional review as a standard replacing the standard of reference</w:t>
      </w:r>
      <w:bookmarkEnd w:id="28"/>
      <w:r w:rsidRPr="00EE08C7">
        <w:rPr>
          <w:rFonts w:ascii="Times New Roman" w:hAnsi="Times New Roman"/>
          <w:sz w:val="28"/>
          <w:szCs w:val="28"/>
          <w:lang w:val="en-GB"/>
        </w:rPr>
        <w:t xml:space="preserve"> implies, under Article 148 (2) and (4) of the Romanian Constitution, that several requirements be met cumulatively: on the one hand, this standard must </w:t>
      </w:r>
      <w:bookmarkStart w:id="29" w:name="_Hlk536028161"/>
      <w:r w:rsidRPr="00EE08C7">
        <w:rPr>
          <w:rFonts w:ascii="Times New Roman" w:hAnsi="Times New Roman"/>
          <w:sz w:val="28"/>
          <w:szCs w:val="28"/>
          <w:lang w:val="en-GB"/>
        </w:rPr>
        <w:t>be clear, accurate and unambiguous enough in itself or its meaning must have been established in a clear, accurate and unambiguous manner by the Court of Justice of the European Union, and, on the other hand, the respective standard must have a certain level of constitutional relevance, so that its regulatory content confirmed the potential violation, by the national law, of the Constitution - the sole direct standard of reference during the constitutional review</w:t>
      </w:r>
      <w:bookmarkEnd w:id="29"/>
      <w:r w:rsidRPr="00EE08C7">
        <w:rPr>
          <w:rFonts w:ascii="Times New Roman" w:hAnsi="Times New Roman"/>
          <w:sz w:val="28"/>
          <w:szCs w:val="28"/>
          <w:lang w:val="en-GB"/>
        </w:rPr>
        <w:t>”</w:t>
      </w:r>
      <w:r w:rsidRPr="00EE08C7">
        <w:rPr>
          <w:lang w:val="en-GB"/>
        </w:rPr>
        <w:t xml:space="preserve"> </w:t>
      </w:r>
      <w:r w:rsidRPr="00EE08C7">
        <w:rPr>
          <w:rFonts w:ascii="Times New Roman" w:hAnsi="Times New Roman"/>
          <w:sz w:val="28"/>
          <w:szCs w:val="28"/>
          <w:lang w:val="en-GB"/>
        </w:rPr>
        <w:t>(Decision no. 64 of 24 February 2015,</w:t>
      </w:r>
      <w:r w:rsidRPr="00EE08C7">
        <w:rPr>
          <w:lang w:val="en-GB"/>
        </w:rPr>
        <w:t xml:space="preserve"> </w:t>
      </w:r>
      <w:r w:rsidRPr="00EE08C7">
        <w:rPr>
          <w:rFonts w:ascii="Times New Roman" w:hAnsi="Times New Roman"/>
          <w:sz w:val="28"/>
          <w:szCs w:val="28"/>
          <w:lang w:val="en-GB"/>
        </w:rPr>
        <w:t xml:space="preserve">published in the Official Gazette of Romania, Part I, no. 286 of 28 April 2015 or Decision no. 668 of 18 May 2011, published in the Official Gazette of Romania, Part I, no. 487 of 8 July 2011). The European binding acts are </w:t>
      </w:r>
      <w:r w:rsidRPr="00EE08C7">
        <w:rPr>
          <w:rFonts w:ascii="Times New Roman" w:hAnsi="Times New Roman"/>
          <w:i/>
          <w:iCs/>
          <w:sz w:val="28"/>
          <w:szCs w:val="28"/>
          <w:lang w:val="en-GB"/>
        </w:rPr>
        <w:t>regulations</w:t>
      </w:r>
      <w:r w:rsidRPr="00EE08C7">
        <w:rPr>
          <w:rFonts w:ascii="Times New Roman" w:hAnsi="Times New Roman"/>
          <w:sz w:val="28"/>
          <w:szCs w:val="28"/>
          <w:lang w:val="en-GB"/>
        </w:rPr>
        <w:t xml:space="preserve"> (legislative acts to be applied in their entirety in all Member States), </w:t>
      </w:r>
      <w:r w:rsidRPr="00EE08C7">
        <w:rPr>
          <w:rFonts w:ascii="Times New Roman" w:hAnsi="Times New Roman"/>
          <w:i/>
          <w:iCs/>
          <w:sz w:val="28"/>
          <w:szCs w:val="28"/>
          <w:lang w:val="en-GB"/>
        </w:rPr>
        <w:t>directives</w:t>
      </w:r>
      <w:r w:rsidRPr="00EE08C7">
        <w:rPr>
          <w:rFonts w:ascii="Times New Roman" w:hAnsi="Times New Roman"/>
          <w:sz w:val="28"/>
          <w:szCs w:val="28"/>
          <w:lang w:val="en-GB"/>
        </w:rPr>
        <w:t xml:space="preserve"> (legislative acts setting an objective to be achieved by all Member States, each of which has the freedom to decide on how to meet the objective set) and </w:t>
      </w:r>
      <w:r w:rsidRPr="00EE08C7">
        <w:rPr>
          <w:rFonts w:ascii="Times New Roman" w:hAnsi="Times New Roman"/>
          <w:i/>
          <w:iCs/>
          <w:sz w:val="28"/>
          <w:szCs w:val="28"/>
          <w:lang w:val="en-GB"/>
        </w:rPr>
        <w:t>decisions</w:t>
      </w:r>
      <w:r w:rsidRPr="00EE08C7">
        <w:rPr>
          <w:rFonts w:ascii="Times New Roman" w:hAnsi="Times New Roman"/>
          <w:sz w:val="28"/>
          <w:szCs w:val="28"/>
          <w:lang w:val="en-GB"/>
        </w:rPr>
        <w:t xml:space="preserve"> (directly applicable legal acts, binding for all their addressees; their recipients may be Member States or even companies).</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According to the claims of the authors of the request,</w:t>
      </w:r>
      <w:r w:rsidRPr="00EE08C7">
        <w:rPr>
          <w:lang w:val="en-GB"/>
        </w:rPr>
        <w:t xml:space="preserve"> </w:t>
      </w:r>
      <w:bookmarkStart w:id="30" w:name="_Hlk536027070"/>
      <w:r w:rsidRPr="00EE08C7">
        <w:rPr>
          <w:rFonts w:ascii="Times New Roman" w:hAnsi="Times New Roman"/>
          <w:sz w:val="28"/>
          <w:szCs w:val="28"/>
          <w:lang w:val="en-GB"/>
        </w:rPr>
        <w:t>the European standard used during the constitutional review as the standard replacing the standard of reference, i.e. Article 148 (2) and (4) of the Constitution</w:t>
      </w:r>
      <w:bookmarkEnd w:id="30"/>
      <w:r w:rsidRPr="00EE08C7">
        <w:rPr>
          <w:rFonts w:ascii="Times New Roman" w:hAnsi="Times New Roman"/>
          <w:sz w:val="28"/>
          <w:szCs w:val="28"/>
          <w:lang w:val="en-GB"/>
        </w:rPr>
        <w:t xml:space="preserve">, is the Report of 13 November 2018, drafted under the Cooperation and Verification Mechanism (CVM). </w:t>
      </w:r>
      <w:r w:rsidRPr="00EE08C7">
        <w:rPr>
          <w:rFonts w:ascii="Times New Roman" w:hAnsi="Times New Roman"/>
          <w:b/>
          <w:i/>
          <w:sz w:val="28"/>
          <w:szCs w:val="28"/>
          <w:lang w:val="en-GB"/>
        </w:rPr>
        <w:t>This Mechanism was put in place under Commission Decision 2006/928/EC of 13 December 2006</w:t>
      </w:r>
      <w:r w:rsidRPr="00EE08C7">
        <w:rPr>
          <w:rFonts w:ascii="Times New Roman" w:hAnsi="Times New Roman"/>
          <w:sz w:val="28"/>
          <w:szCs w:val="28"/>
          <w:lang w:val="en-GB"/>
        </w:rPr>
        <w:t xml:space="preserve"> establishing a mechanism for cooperation and </w:t>
      </w:r>
      <w:r w:rsidRPr="00EE08C7">
        <w:rPr>
          <w:rFonts w:ascii="Times New Roman" w:hAnsi="Times New Roman"/>
          <w:sz w:val="28"/>
          <w:szCs w:val="28"/>
          <w:lang w:val="en-GB"/>
        </w:rPr>
        <w:lastRenderedPageBreak/>
        <w:t xml:space="preserve">verification of progress in Romania to address specific benchmarks in the areas of judicial reform and the fight against corruption, published in the Official Journal of the European Union, series L 354, of 14 December 2006. According to Article 1 thereof, Romania shall, by 31 March of each year, and for the first time by 31 March 2007, report to the Commission on the progress made in addressing each of the benchmarks </w:t>
      </w:r>
      <w:bookmarkStart w:id="31" w:name="_Hlk536024173"/>
      <w:r w:rsidRPr="00EE08C7">
        <w:rPr>
          <w:rFonts w:ascii="Times New Roman" w:hAnsi="Times New Roman"/>
          <w:sz w:val="28"/>
          <w:szCs w:val="28"/>
          <w:lang w:val="en-GB"/>
        </w:rPr>
        <w:t>provided for in the Annex</w:t>
      </w:r>
      <w:bookmarkEnd w:id="31"/>
      <w:r w:rsidRPr="00EE08C7">
        <w:rPr>
          <w:rFonts w:ascii="Times New Roman" w:hAnsi="Times New Roman"/>
          <w:sz w:val="28"/>
          <w:szCs w:val="28"/>
          <w:lang w:val="en-GB"/>
        </w:rPr>
        <w:t xml:space="preserve">, which are four, namely: </w:t>
      </w:r>
    </w:p>
    <w:p w:rsidR="006A40ED" w:rsidRPr="00EE08C7" w:rsidRDefault="006A40ED" w:rsidP="006A40ED">
      <w:pPr>
        <w:spacing w:after="0" w:line="360" w:lineRule="auto"/>
        <w:ind w:firstLine="720"/>
        <w:contextualSpacing/>
        <w:jc w:val="both"/>
        <w:rPr>
          <w:rFonts w:ascii="Times New Roman" w:eastAsia="Times New Roman" w:hAnsi="Times New Roman" w:cs="Times New Roman"/>
          <w:i/>
          <w:sz w:val="28"/>
          <w:szCs w:val="28"/>
          <w:lang w:val="en-GB"/>
        </w:rPr>
      </w:pPr>
      <w:r w:rsidRPr="00EE08C7">
        <w:rPr>
          <w:rFonts w:ascii="Times New Roman" w:hAnsi="Times New Roman"/>
          <w:i/>
          <w:sz w:val="28"/>
          <w:szCs w:val="28"/>
          <w:lang w:val="en-GB"/>
        </w:rPr>
        <w:t xml:space="preserve">“1. Ensure a more transparent, and efficient judicial process notably by enhancing the capacity and accountability of the Superior Council of Magistracy. Report and monitor the impact of the new civil and penal procedures codes. </w:t>
      </w:r>
    </w:p>
    <w:p w:rsidR="006A40ED" w:rsidRPr="00EE08C7" w:rsidRDefault="006A40ED" w:rsidP="006A40ED">
      <w:pPr>
        <w:spacing w:after="0" w:line="360" w:lineRule="auto"/>
        <w:ind w:firstLine="720"/>
        <w:contextualSpacing/>
        <w:jc w:val="both"/>
        <w:rPr>
          <w:rFonts w:ascii="Times New Roman" w:eastAsia="Times New Roman" w:hAnsi="Times New Roman" w:cs="Times New Roman"/>
          <w:i/>
          <w:sz w:val="28"/>
          <w:szCs w:val="28"/>
          <w:lang w:val="en-GB"/>
        </w:rPr>
      </w:pPr>
      <w:r w:rsidRPr="00EE08C7">
        <w:rPr>
          <w:rFonts w:ascii="Times New Roman" w:hAnsi="Times New Roman"/>
          <w:i/>
          <w:sz w:val="28"/>
          <w:szCs w:val="28"/>
          <w:lang w:val="en-GB"/>
        </w:rPr>
        <w:t xml:space="preserve">2. Establish, as foreseen, an integrity agency with responsibilities for verifying assets, incompatibilities and potential conflicts of interest, and for issuing mandatory decisions on the basis of which dissuasive sanctions can be taken. </w:t>
      </w:r>
    </w:p>
    <w:p w:rsidR="006A40ED" w:rsidRPr="00EE08C7" w:rsidRDefault="006A40ED" w:rsidP="006A40ED">
      <w:pPr>
        <w:spacing w:after="0" w:line="360" w:lineRule="auto"/>
        <w:ind w:firstLine="720"/>
        <w:contextualSpacing/>
        <w:jc w:val="both"/>
        <w:rPr>
          <w:rFonts w:ascii="Times New Roman" w:eastAsia="Times New Roman" w:hAnsi="Times New Roman" w:cs="Times New Roman"/>
          <w:i/>
          <w:sz w:val="28"/>
          <w:szCs w:val="28"/>
          <w:lang w:val="en-GB"/>
        </w:rPr>
      </w:pPr>
      <w:r w:rsidRPr="00EE08C7">
        <w:rPr>
          <w:rFonts w:ascii="Times New Roman" w:hAnsi="Times New Roman"/>
          <w:i/>
          <w:sz w:val="28"/>
          <w:szCs w:val="28"/>
          <w:lang w:val="en-GB"/>
        </w:rPr>
        <w:t xml:space="preserve">3. Building on progress already made, continue to conduct professional, non-partisan investigations into allegations of high-level corruption. </w:t>
      </w:r>
    </w:p>
    <w:p w:rsidR="006A40ED" w:rsidRPr="00EE08C7" w:rsidRDefault="006A40ED" w:rsidP="006A40ED">
      <w:pPr>
        <w:spacing w:after="0" w:line="360" w:lineRule="auto"/>
        <w:ind w:firstLine="720"/>
        <w:contextualSpacing/>
        <w:jc w:val="both"/>
        <w:rPr>
          <w:rFonts w:ascii="Times New Roman" w:eastAsia="Times New Roman" w:hAnsi="Times New Roman" w:cs="Times New Roman"/>
          <w:i/>
          <w:sz w:val="28"/>
          <w:szCs w:val="28"/>
          <w:lang w:val="en-GB"/>
        </w:rPr>
      </w:pPr>
      <w:r w:rsidRPr="00EE08C7">
        <w:rPr>
          <w:rFonts w:ascii="Times New Roman" w:hAnsi="Times New Roman"/>
          <w:i/>
          <w:sz w:val="28"/>
          <w:szCs w:val="28"/>
          <w:lang w:val="en-GB"/>
        </w:rPr>
        <w:t>4. Take further measures to prevent and fight against corruption, in particular within the local government.”</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European document was based on Articles 37 and 38 of the Protocol concerning  the conditions and arrangements for admission </w:t>
      </w:r>
      <w:bookmarkStart w:id="32" w:name="_Hlk1138810"/>
      <w:r w:rsidRPr="00EE08C7">
        <w:rPr>
          <w:rFonts w:ascii="Times New Roman" w:hAnsi="Times New Roman"/>
          <w:sz w:val="28"/>
          <w:szCs w:val="28"/>
          <w:lang w:val="en-GB"/>
        </w:rPr>
        <w:t xml:space="preserve">of the Republic of Bulgaria and Romania </w:t>
      </w:r>
      <w:bookmarkEnd w:id="32"/>
      <w:r w:rsidRPr="00EE08C7">
        <w:rPr>
          <w:rFonts w:ascii="Times New Roman" w:hAnsi="Times New Roman"/>
          <w:sz w:val="28"/>
          <w:szCs w:val="28"/>
          <w:lang w:val="en-GB"/>
        </w:rPr>
        <w:t xml:space="preserve">to the European Union, authorising the Commission to take the necessary measures in case of an imminent risk of disturbance of the functioning of the internal market, should Romania fail to implement commitments taken, respectively in case of an imminent risk of serious shortcomings in Romania in the transposition, state of implementation, or the application of the acts adopted under Title VI of the Treaty on European Union, or of documents adopted under Title IV of the Treaty establishing the European Community.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It follows from the analysis of the content of the decision that this European document contains a series of benchmarks, listed in its annex, setting out a series of general obligations to the Republic of Bulgaria and Romania: to ensure a </w:t>
      </w:r>
      <w:r w:rsidRPr="00EE08C7">
        <w:rPr>
          <w:rFonts w:ascii="Times New Roman" w:hAnsi="Times New Roman"/>
          <w:sz w:val="28"/>
          <w:szCs w:val="28"/>
          <w:lang w:val="en-GB"/>
        </w:rPr>
        <w:lastRenderedPageBreak/>
        <w:t xml:space="preserve">more transparent and efficient judicial process, to establish an integrity agency, to continue investigations into allegations of high-level corruption, and to take further measures to prevent and fight against corruption. All these objectives aim at strengthening an “impartial, independent and effective judicial and administrative system, properly equipped, </w:t>
      </w:r>
      <w:r w:rsidRPr="00EE08C7">
        <w:rPr>
          <w:rFonts w:ascii="Times New Roman" w:hAnsi="Times New Roman"/>
          <w:i/>
          <w:iCs/>
          <w:sz w:val="28"/>
          <w:szCs w:val="28"/>
          <w:lang w:val="en-GB"/>
        </w:rPr>
        <w:t>inter alia</w:t>
      </w:r>
      <w:r w:rsidRPr="00EE08C7">
        <w:rPr>
          <w:rFonts w:ascii="Times New Roman" w:hAnsi="Times New Roman"/>
          <w:sz w:val="28"/>
          <w:szCs w:val="28"/>
          <w:lang w:val="en-GB"/>
        </w:rPr>
        <w:t>, to fight corruption” so that “administrative and judicial decisions and practices of all Member States fully respect the rule of law”.</w:t>
      </w:r>
      <w:r w:rsidRPr="00EE08C7">
        <w:rPr>
          <w:rFonts w:ascii="Times New Roman" w:hAnsi="Times New Roman"/>
          <w:sz w:val="28"/>
          <w:szCs w:val="28"/>
          <w:lang w:val="en-GB"/>
        </w:rPr>
        <w:cr/>
      </w:r>
      <w:r w:rsidRPr="00EE08C7">
        <w:rPr>
          <w:rFonts w:ascii="Times New Roman" w:hAnsi="Times New Roman"/>
          <w:sz w:val="28"/>
          <w:szCs w:val="28"/>
          <w:lang w:val="en-GB"/>
        </w:rPr>
        <w:br/>
        <w:t xml:space="preserve"> The objectives pursued are therefore subsumed under the principle of the rule of law and the right to a fair trial, expressly enshrined in Article 1 (3) and Article 21 of the Constitution of Romania. However, without diminishing the importance of regulating such objectives, the Court finds that the European standard does not provide for concrete obligations (except for the establishment of an integrity agency) or effective safeguards that, together or separately, should contribute to the implementation of the principle of rule of law, but draws up a series of guidelines that have a maximum degree of generality and of a predominantly political value (according to point 8 of the preamble to the decision, “</w:t>
      </w:r>
      <w:r w:rsidRPr="00EE08C7">
        <w:rPr>
          <w:rFonts w:ascii="Times New Roman" w:hAnsi="Times New Roman"/>
          <w:i/>
          <w:iCs/>
          <w:sz w:val="28"/>
          <w:szCs w:val="28"/>
          <w:lang w:val="en-GB"/>
        </w:rPr>
        <w:t>This Decision does not preclude the adoption of safeguard measures at any time on the basis of Articles 36 to 38 of the Act of Accession, if the conditions for such measures are fulfilled</w:t>
      </w:r>
      <w:r w:rsidRPr="00EE08C7">
        <w:rPr>
          <w:rFonts w:ascii="Times New Roman" w:hAnsi="Times New Roman"/>
          <w:sz w:val="28"/>
          <w:szCs w:val="28"/>
          <w:lang w:val="en-GB"/>
        </w:rPr>
        <w:t xml:space="preserve">”). Or, such an act, even binding for the recipient State, </w:t>
      </w:r>
      <w:r w:rsidRPr="00EE08C7">
        <w:rPr>
          <w:rFonts w:ascii="Times New Roman" w:hAnsi="Times New Roman"/>
          <w:b/>
          <w:bCs/>
          <w:i/>
          <w:iCs/>
          <w:sz w:val="28"/>
          <w:szCs w:val="28"/>
          <w:lang w:val="en-GB"/>
        </w:rPr>
        <w:t>cannot have constitutional relevance</w:t>
      </w:r>
      <w:r w:rsidRPr="00EE08C7">
        <w:rPr>
          <w:rFonts w:ascii="Times New Roman" w:hAnsi="Times New Roman"/>
          <w:sz w:val="28"/>
          <w:szCs w:val="28"/>
          <w:lang w:val="en-GB"/>
        </w:rPr>
        <w:t xml:space="preserve">, as it does not develop a constitutional standard, being included in the already existing ones, nor does it cover a void in the national Basic Law.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this respect, the Court has also stated through </w:t>
      </w:r>
      <w:r w:rsidRPr="00EE08C7">
        <w:rPr>
          <w:rFonts w:ascii="Times New Roman" w:hAnsi="Times New Roman"/>
          <w:i/>
          <w:sz w:val="28"/>
          <w:szCs w:val="28"/>
          <w:lang w:val="en-GB"/>
        </w:rPr>
        <w:t>Decision no. 104 of 6 March 2018</w:t>
      </w:r>
      <w:r w:rsidRPr="00EE08C7">
        <w:rPr>
          <w:rFonts w:ascii="Times New Roman" w:hAnsi="Times New Roman"/>
          <w:sz w:val="28"/>
          <w:szCs w:val="28"/>
          <w:lang w:val="en-GB"/>
        </w:rPr>
        <w:t xml:space="preserve">, par. 89, where, by noting that </w:t>
      </w:r>
      <w:bookmarkStart w:id="33" w:name="_Hlk536028097"/>
      <w:r w:rsidRPr="00EE08C7">
        <w:rPr>
          <w:rFonts w:ascii="Times New Roman" w:hAnsi="Times New Roman"/>
          <w:sz w:val="28"/>
          <w:szCs w:val="28"/>
          <w:lang w:val="en-GB"/>
        </w:rPr>
        <w:t xml:space="preserve">Decision 2006/928/CE </w:t>
      </w:r>
      <w:bookmarkEnd w:id="33"/>
      <w:r w:rsidRPr="00EE08C7">
        <w:rPr>
          <w:rFonts w:ascii="Times New Roman" w:hAnsi="Times New Roman"/>
          <w:sz w:val="28"/>
          <w:szCs w:val="28"/>
          <w:lang w:val="en-GB"/>
        </w:rPr>
        <w:t xml:space="preserve">was not applicable in the case subject to review, it implicitly denied its constitutional relevance: “even if it were accepted that Decision 2006/928/EC could be an indicator for assessing the constitutionality of the norm, it would not be applicable in this case, because its wording only recommends the setting up of an integrity </w:t>
      </w:r>
      <w:r w:rsidRPr="00EE08C7">
        <w:rPr>
          <w:rFonts w:ascii="Times New Roman" w:hAnsi="Times New Roman"/>
          <w:sz w:val="28"/>
          <w:szCs w:val="28"/>
          <w:lang w:val="en-GB"/>
        </w:rPr>
        <w:lastRenderedPageBreak/>
        <w:t>agency with administrative capacity to conduct investigations into potential incompatibilities and conflicts of interest, as well as with the capacity to take binding decisions that could lead to sanctions”.</w:t>
      </w:r>
      <w:r w:rsidRPr="00EE08C7">
        <w:rPr>
          <w:rFonts w:ascii="Times New Roman" w:hAnsi="Times New Roman"/>
          <w:sz w:val="28"/>
          <w:szCs w:val="28"/>
          <w:lang w:val="en-GB"/>
        </w:rPr>
        <w:cr/>
      </w:r>
      <w:r w:rsidRPr="00EE08C7">
        <w:rPr>
          <w:rFonts w:ascii="Times New Roman" w:hAnsi="Times New Roman"/>
          <w:sz w:val="28"/>
          <w:szCs w:val="28"/>
          <w:lang w:val="en-GB"/>
        </w:rPr>
        <w:br/>
        <w:t xml:space="preserve"> In other words, the only concrete element of the norm is the obligation to set up an integrity agency, all the other aspects, through the general manner of wording the objectives envisaged, cannot cause express legal obligations for the State, which retains its own margin of appreciation.</w:t>
      </w:r>
      <w:bookmarkStart w:id="34" w:name="_Hlk536033724"/>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Given the lack of constitutional relevance of Decision 2006/928/EC, binding European act for the Romanian State, even less constitutionally relevant are the reports issued under the CVM. In this case, the document issued does not meet the requirement set in Article 148 (2) of the Constitution either, according to which “</w:t>
      </w:r>
      <w:r w:rsidRPr="00EE08C7">
        <w:rPr>
          <w:rFonts w:ascii="Times New Roman" w:hAnsi="Times New Roman"/>
          <w:i/>
          <w:iCs/>
          <w:sz w:val="28"/>
          <w:szCs w:val="28"/>
          <w:lang w:val="en-GB"/>
        </w:rPr>
        <w:t xml:space="preserve">the provisions of the founding treaties of the European Union, as well as the other </w:t>
      </w:r>
      <w:r w:rsidRPr="00EE08C7">
        <w:rPr>
          <w:rFonts w:ascii="Times New Roman" w:hAnsi="Times New Roman"/>
          <w:b/>
          <w:bCs/>
          <w:i/>
          <w:iCs/>
          <w:sz w:val="28"/>
          <w:szCs w:val="28"/>
          <w:lang w:val="en-GB"/>
        </w:rPr>
        <w:t>mandatory</w:t>
      </w:r>
      <w:r w:rsidRPr="00EE08C7">
        <w:rPr>
          <w:rFonts w:ascii="Times New Roman" w:hAnsi="Times New Roman"/>
          <w:i/>
          <w:iCs/>
          <w:sz w:val="28"/>
          <w:szCs w:val="28"/>
          <w:lang w:val="en-GB"/>
        </w:rPr>
        <w:t xml:space="preserve"> community regulations shall take precedence over the opposite provisions of the national laws, in compliance with the provisions of the accession act</w:t>
      </w:r>
      <w:r w:rsidRPr="00EE08C7">
        <w:rPr>
          <w:rFonts w:ascii="Times New Roman" w:hAnsi="Times New Roman"/>
          <w:sz w:val="28"/>
          <w:szCs w:val="28"/>
          <w:lang w:val="en-GB"/>
        </w:rPr>
        <w:t>”. Thus, although adopted under a decision, the provisions of the reports are recommendations following the assessment carried out, and, after the presentation of the conclusions, there is the phrase “</w:t>
      </w:r>
      <w:r w:rsidRPr="00EE08C7">
        <w:rPr>
          <w:rFonts w:ascii="Times New Roman" w:hAnsi="Times New Roman"/>
          <w:i/>
          <w:iCs/>
          <w:sz w:val="28"/>
          <w:szCs w:val="28"/>
          <w:lang w:val="en-GB"/>
        </w:rPr>
        <w:t>To remedy the situation the following measures are recommended:</w:t>
      </w:r>
      <w:r w:rsidRPr="00EE08C7">
        <w:rPr>
          <w:rFonts w:ascii="Times New Roman" w:hAnsi="Times New Roman"/>
          <w:i/>
          <w:sz w:val="28"/>
          <w:szCs w:val="28"/>
          <w:lang w:val="en-GB"/>
        </w:rPr>
        <w:t xml:space="preserve"> […]”. </w:t>
      </w:r>
      <w:r w:rsidRPr="00EE08C7">
        <w:rPr>
          <w:rFonts w:ascii="Times New Roman" w:hAnsi="Times New Roman"/>
          <w:sz w:val="28"/>
          <w:szCs w:val="28"/>
          <w:lang w:val="en-GB"/>
        </w:rPr>
        <w:t xml:space="preserve">Or, through recommendations, institutions make their opinion public and suggest courses of action, without, however, imposing any </w:t>
      </w:r>
      <w:bookmarkStart w:id="35" w:name="_Hlk536031959"/>
      <w:r w:rsidRPr="00EE08C7">
        <w:rPr>
          <w:rFonts w:ascii="Times New Roman" w:hAnsi="Times New Roman"/>
          <w:sz w:val="28"/>
          <w:szCs w:val="28"/>
          <w:lang w:val="en-GB"/>
        </w:rPr>
        <w:t xml:space="preserve">legal obligation on the recipients of the </w:t>
      </w:r>
      <w:bookmarkEnd w:id="35"/>
      <w:r w:rsidRPr="00EE08C7">
        <w:rPr>
          <w:rFonts w:ascii="Times New Roman" w:hAnsi="Times New Roman"/>
          <w:sz w:val="28"/>
          <w:szCs w:val="28"/>
          <w:lang w:val="en-GB"/>
        </w:rPr>
        <w:t xml:space="preserve">recommendation.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conclusion, even if these documents (Decision 2006/928/EC and the CVM reports) met the requirements of clarity, accuracy and unequivocal, the meaning of which is set by the CJEU, they are not norms with the level of constitutional relevance required for conducting a constitutional review by reference to them. As the cumulative conditions set by the established case-law of the constitutional court are not met, the Court notes that they cannot underlie a potential </w:t>
      </w:r>
      <w:r w:rsidRPr="00EE08C7">
        <w:rPr>
          <w:rFonts w:ascii="Times New Roman" w:hAnsi="Times New Roman"/>
          <w:sz w:val="28"/>
          <w:szCs w:val="28"/>
          <w:lang w:val="en-GB"/>
        </w:rPr>
        <w:lastRenderedPageBreak/>
        <w:t xml:space="preserve">violation, by the national law, of the Constitution, as the sole direct norm of reference in the case of a constitutional review. </w:t>
      </w:r>
      <w:bookmarkEnd w:id="34"/>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b/>
          <w:bCs/>
          <w:i/>
          <w:iCs/>
          <w:sz w:val="28"/>
          <w:szCs w:val="28"/>
          <w:lang w:val="en-GB"/>
        </w:rPr>
        <w:t>Finally</w:t>
      </w:r>
      <w:r w:rsidRPr="00EE08C7">
        <w:rPr>
          <w:rFonts w:ascii="Times New Roman" w:hAnsi="Times New Roman"/>
          <w:sz w:val="28"/>
          <w:szCs w:val="28"/>
          <w:lang w:val="en-GB"/>
        </w:rPr>
        <w:t xml:space="preserve">, from a different perspective, the Court cannot ignore the fact that most of the aspects that underlie the pleas of the authors of the request to submit preliminary questions to the CJEU refer to the </w:t>
      </w:r>
      <w:r w:rsidRPr="00EE08C7">
        <w:rPr>
          <w:rFonts w:ascii="Times New Roman" w:hAnsi="Times New Roman"/>
          <w:i/>
          <w:iCs/>
          <w:sz w:val="28"/>
          <w:szCs w:val="28"/>
          <w:lang w:val="en-GB"/>
        </w:rPr>
        <w:t>expediency of the law-making process</w:t>
      </w:r>
      <w:r w:rsidRPr="00EE08C7">
        <w:rPr>
          <w:rFonts w:ascii="Times New Roman" w:hAnsi="Times New Roman"/>
          <w:sz w:val="28"/>
          <w:szCs w:val="28"/>
          <w:lang w:val="en-GB"/>
        </w:rPr>
        <w:t>. Or, such aspects cannot be subject to the constitutional review carried out by the Court.</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Through </w:t>
      </w:r>
      <w:r w:rsidRPr="00EE08C7">
        <w:rPr>
          <w:rFonts w:ascii="Times New Roman" w:hAnsi="Times New Roman"/>
          <w:i/>
          <w:iCs/>
          <w:sz w:val="28"/>
          <w:szCs w:val="28"/>
          <w:lang w:val="en-GB"/>
        </w:rPr>
        <w:t>Decision no. 68 of 27 February 2017</w:t>
      </w:r>
      <w:r w:rsidRPr="00EE08C7">
        <w:rPr>
          <w:rFonts w:ascii="Times New Roman" w:hAnsi="Times New Roman"/>
          <w:sz w:val="28"/>
          <w:szCs w:val="28"/>
          <w:lang w:val="en-GB"/>
        </w:rPr>
        <w:t xml:space="preserve">, par. 78, the Court stated that, “By definition, the law, meant as a legal act of authority, is unilateral, so it gives expression only to the will of the legislator, while its content and form are determined by the need for regulations in a specific area of social relations and by the specificity thereof.  The scope of law is determined by the legislator, in that such is designed to be applicable in an unspecified number of concrete cases, depending on whether their classification falls under the hypothesis of its established norms.” Next, in par. 84, the Court noted that, “a primary regulatory act (whether a law, simple ordinance or emergency ordinance of the Government), as a legal act of authority, gives expression only to the will of the legislator, whose decision to legislate is based on the need to have regulations in a specific area of social relations and on the specificity thereof”.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b/>
          <w:i/>
          <w:sz w:val="28"/>
          <w:szCs w:val="28"/>
          <w:lang w:val="en-GB"/>
        </w:rPr>
      </w:pPr>
      <w:r w:rsidRPr="00EE08C7">
        <w:rPr>
          <w:rFonts w:ascii="Times New Roman" w:hAnsi="Times New Roman"/>
          <w:sz w:val="28"/>
          <w:szCs w:val="28"/>
          <w:lang w:val="en-GB"/>
        </w:rPr>
        <w:t xml:space="preserve">Consequently, the Court has a limited competence, the constitutional review being a lawfulness review concerning the compliance of the primary regulation with the constitutional standards. From this perspective, </w:t>
      </w:r>
      <w:r w:rsidRPr="00EE08C7">
        <w:rPr>
          <w:rFonts w:ascii="Times New Roman" w:hAnsi="Times New Roman"/>
          <w:b/>
          <w:i/>
          <w:sz w:val="28"/>
          <w:szCs w:val="28"/>
          <w:lang w:val="en-GB"/>
        </w:rPr>
        <w:t>the Court notes that the legal provisions establishing the Section for the investigation of justice-related criminal offences have been subject to review, through Decision no. 33</w:t>
      </w:r>
      <w:r w:rsidRPr="00EE08C7">
        <w:rPr>
          <w:b/>
          <w:i/>
          <w:lang w:val="en-GB"/>
        </w:rPr>
        <w:t xml:space="preserve"> </w:t>
      </w:r>
      <w:r w:rsidRPr="00EE08C7">
        <w:rPr>
          <w:rFonts w:ascii="Times New Roman" w:hAnsi="Times New Roman"/>
          <w:b/>
          <w:i/>
          <w:sz w:val="28"/>
          <w:szCs w:val="28"/>
          <w:lang w:val="en-GB"/>
        </w:rPr>
        <w:t>of 23 January 2018</w:t>
      </w:r>
      <w:r w:rsidRPr="00EE08C7">
        <w:rPr>
          <w:rFonts w:ascii="Times New Roman" w:hAnsi="Times New Roman"/>
          <w:sz w:val="28"/>
          <w:szCs w:val="28"/>
          <w:lang w:val="en-GB"/>
        </w:rPr>
        <w:t xml:space="preserve">, par. 134-159, </w:t>
      </w:r>
      <w:r w:rsidRPr="00EE08C7">
        <w:rPr>
          <w:rFonts w:ascii="Times New Roman" w:hAnsi="Times New Roman"/>
          <w:b/>
          <w:i/>
          <w:sz w:val="28"/>
          <w:szCs w:val="28"/>
          <w:lang w:val="en-GB"/>
        </w:rPr>
        <w:t>and were found to be constitutional</w:t>
      </w:r>
      <w:r w:rsidRPr="00EE08C7">
        <w:rPr>
          <w:rFonts w:ascii="Times New Roman" w:hAnsi="Times New Roman"/>
          <w:sz w:val="28"/>
          <w:szCs w:val="28"/>
          <w:lang w:val="en-GB"/>
        </w:rPr>
        <w:t>. According to Article 147 (4) of the Constitution, the Court’s decision is generally binding.</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b/>
          <w:i/>
          <w:sz w:val="28"/>
          <w:szCs w:val="28"/>
          <w:lang w:val="en-GB"/>
        </w:rPr>
      </w:pPr>
      <w:r w:rsidRPr="00EE08C7">
        <w:rPr>
          <w:rFonts w:ascii="Times New Roman" w:hAnsi="Times New Roman"/>
          <w:sz w:val="28"/>
          <w:szCs w:val="28"/>
          <w:lang w:val="en-GB"/>
        </w:rPr>
        <w:lastRenderedPageBreak/>
        <w:t>For all the arguments above,</w:t>
      </w:r>
      <w:r w:rsidRPr="00EE08C7">
        <w:rPr>
          <w:rFonts w:ascii="Times New Roman" w:hAnsi="Times New Roman"/>
          <w:b/>
          <w:i/>
          <w:sz w:val="28"/>
          <w:szCs w:val="28"/>
          <w:lang w:val="en-GB"/>
        </w:rPr>
        <w:t xml:space="preserve"> the Court dismisses</w:t>
      </w:r>
      <w:r w:rsidRPr="00EE08C7">
        <w:rPr>
          <w:rFonts w:ascii="Times New Roman" w:hAnsi="Times New Roman"/>
          <w:sz w:val="28"/>
          <w:szCs w:val="28"/>
          <w:lang w:val="en-GB"/>
        </w:rPr>
        <w:t xml:space="preserve"> </w:t>
      </w:r>
      <w:r w:rsidRPr="00EE08C7">
        <w:rPr>
          <w:rFonts w:ascii="Times New Roman" w:hAnsi="Times New Roman"/>
          <w:b/>
          <w:i/>
          <w:sz w:val="28"/>
          <w:szCs w:val="28"/>
          <w:lang w:val="en-GB"/>
        </w:rPr>
        <w:t>the request to address a series of preliminary questions to the CJEU as inadmissible</w:t>
      </w:r>
      <w:r w:rsidRPr="00EE08C7">
        <w:rPr>
          <w:rFonts w:ascii="Times New Roman" w:hAnsi="Times New Roman"/>
          <w:sz w:val="28"/>
          <w:szCs w:val="28"/>
          <w:lang w:val="en-GB"/>
        </w:rPr>
        <w:t>, as well as the request to stay the proceedings in the case subject to constitutional review.</w:t>
      </w:r>
      <w:bookmarkStart w:id="36" w:name="_Hlk535937482"/>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By examining the pleas of extrinsic unconstitutionality concerning the </w:t>
      </w:r>
      <w:bookmarkEnd w:id="36"/>
      <w:r w:rsidRPr="00EE08C7">
        <w:rPr>
          <w:rFonts w:ascii="Times New Roman" w:hAnsi="Times New Roman"/>
          <w:sz w:val="28"/>
          <w:szCs w:val="28"/>
          <w:lang w:val="en-GB"/>
        </w:rPr>
        <w:t xml:space="preserve">constitutional regime of the Government emergency ordinance, the Court holds that the provisions of the second sentence of Article 61 (1) of the Constitution grant the Parliament the capacity as sole legislative authority of the country and, by virtue of this legislative monopoly, the Parliament is the sole public authority to adopt laws. The concept of “law” is defined by reference to two criteria: formal or organic and material. According to </w:t>
      </w:r>
      <w:r w:rsidRPr="00EE08C7">
        <w:rPr>
          <w:rFonts w:ascii="Times New Roman" w:hAnsi="Times New Roman"/>
          <w:i/>
          <w:iCs/>
          <w:sz w:val="28"/>
          <w:szCs w:val="28"/>
          <w:lang w:val="en-GB"/>
        </w:rPr>
        <w:t>the formal criterion</w:t>
      </w:r>
      <w:r w:rsidRPr="00EE08C7">
        <w:rPr>
          <w:rFonts w:ascii="Times New Roman" w:hAnsi="Times New Roman"/>
          <w:sz w:val="28"/>
          <w:szCs w:val="28"/>
          <w:lang w:val="en-GB"/>
        </w:rPr>
        <w:t xml:space="preserve">, the law is characterized as an act of the legislative authority, identifiable through the body called upon to adopt it and through the procedure to be observed for this purpose. This conclusion results from the corroboration of the provisions of the second sentence of Article 61 (1) of the Constitution, according to which “Parliament is [...] the sole legislative authority of the country”, with the provisions of Articles 67, 76, 77 and 78, according to which the Chamber of Deputies and the Senate adopt laws, which are subject to promulgation by the President of Romania and which enter into force three days after their publication in the Official Gazette of Romania, Part I, if a different later date is foreseen therein. The </w:t>
      </w:r>
      <w:r w:rsidRPr="00EE08C7">
        <w:rPr>
          <w:rFonts w:ascii="Times New Roman" w:hAnsi="Times New Roman"/>
          <w:i/>
          <w:iCs/>
          <w:sz w:val="28"/>
          <w:szCs w:val="28"/>
          <w:lang w:val="en-GB"/>
        </w:rPr>
        <w:t>material criterion</w:t>
      </w:r>
      <w:r w:rsidRPr="00EE08C7">
        <w:rPr>
          <w:rFonts w:ascii="Times New Roman" w:hAnsi="Times New Roman"/>
          <w:sz w:val="28"/>
          <w:szCs w:val="28"/>
          <w:lang w:val="en-GB"/>
        </w:rPr>
        <w:t xml:space="preserve"> takes into account the content of the regulation, being defined depending on the subject-matter of the norm, respectively the nature of the regulated social relations; in this respect the Parliament enjoys the exclusive prerogative to legislate.</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original competence of the Government, executive authority, is provided for in Article 108 (2) of the Constitution and it concerns the organisation of the enforcement of laws, primary regulatory acts, by issuing resolutions, secondary regulatory acts. Government resolutions are regulatory or individual administrative acts issued for the purpose of a proper administration of the enforcement of the primary regulatory framework, which requires the establishment </w:t>
      </w:r>
      <w:r w:rsidRPr="00EE08C7">
        <w:rPr>
          <w:rFonts w:ascii="Times New Roman" w:hAnsi="Times New Roman"/>
          <w:sz w:val="28"/>
          <w:szCs w:val="28"/>
          <w:lang w:val="en-GB"/>
        </w:rPr>
        <w:lastRenderedPageBreak/>
        <w:t xml:space="preserve">of subsequent measures and rules to ensure its correct implementation. Resolutions are always adopted based on the law, </w:t>
      </w:r>
      <w:r w:rsidRPr="00EE08C7">
        <w:rPr>
          <w:rFonts w:ascii="Times New Roman" w:hAnsi="Times New Roman"/>
          <w:i/>
          <w:iCs/>
          <w:sz w:val="28"/>
          <w:szCs w:val="28"/>
          <w:lang w:val="en-GB"/>
        </w:rPr>
        <w:t>secundum legem</w:t>
      </w:r>
      <w:r w:rsidRPr="00EE08C7">
        <w:rPr>
          <w:rFonts w:ascii="Times New Roman" w:hAnsi="Times New Roman"/>
          <w:sz w:val="28"/>
          <w:szCs w:val="28"/>
          <w:lang w:val="en-GB"/>
        </w:rPr>
        <w:t>, and they ensure the implementation or enforcement of laws. In other words, the rule in the Romanian constitutional system is that the Government does not have the right to issue primary legislation to regulate social relationships, but only to adopt secondary legislation. However, the Constitution establishes, by Article 108 (3) and Article 115 (1) to (3), the power of the Government to issue ordinances, that is, a regulatory competence derived from an enabling law adopted by the Parliament, whereby the sole legislative authority in Romania delegates, for a limited time, the competence to legislate in fields strictly established by the Constitution and by the enabling law. The exercise of this competence is also included in the sphere of the executive power, because, by issuing ordinances, the Government implements the enabling law, with the specific nature that such a law has concerning the assessment of the limits of the authorisation granted. Although, through the effect of the authorisation, the Government issues an act that, by its content, is legislative in nature, being the consequence of a legislative delegation, the ordinance remains an administrative act of the executive authority.</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Also, as far as the legislative process is concerned, the Court notes the power of the Government to adopt emergency ordinances under the conditions set out in Article 115 (4) to (6) of the Constitution. Thus, emergency ordinances are the regulatory acts that allow the Government, under the control of Parliament, to cope with an extraordinary situation. The act is justified by the need and urgency of regulating this situation, which, due to its circumstances, requires the adoption of immediate solutions in order to avoid serious damage to public interest.</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special regime of emergency ordinances is laid down in Article 115 (4) to (6) of the Constitution and refers to </w:t>
      </w:r>
      <w:r w:rsidRPr="00EE08C7">
        <w:rPr>
          <w:rFonts w:ascii="Times New Roman" w:hAnsi="Times New Roman"/>
          <w:i/>
          <w:iCs/>
          <w:sz w:val="28"/>
          <w:szCs w:val="28"/>
          <w:lang w:val="en-GB"/>
        </w:rPr>
        <w:t>the cases in which they can be issued</w:t>
      </w:r>
      <w:r w:rsidRPr="00EE08C7">
        <w:rPr>
          <w:rFonts w:ascii="Times New Roman" w:hAnsi="Times New Roman"/>
          <w:sz w:val="28"/>
          <w:szCs w:val="28"/>
          <w:lang w:val="en-GB"/>
        </w:rPr>
        <w:t xml:space="preserve">: extraordinary situations whose regulation cannot be postponed, the Government having the obligation to motivate the urgency therein; </w:t>
      </w:r>
      <w:r w:rsidRPr="00EE08C7">
        <w:rPr>
          <w:rFonts w:ascii="Times New Roman" w:hAnsi="Times New Roman"/>
          <w:i/>
          <w:iCs/>
          <w:sz w:val="28"/>
          <w:szCs w:val="28"/>
          <w:lang w:val="en-GB"/>
        </w:rPr>
        <w:t>entry into force</w:t>
      </w:r>
      <w:r w:rsidRPr="00EE08C7">
        <w:rPr>
          <w:rFonts w:ascii="Times New Roman" w:hAnsi="Times New Roman"/>
          <w:sz w:val="28"/>
          <w:szCs w:val="28"/>
          <w:lang w:val="en-GB"/>
        </w:rPr>
        <w:t xml:space="preserve">: only after </w:t>
      </w:r>
      <w:r w:rsidRPr="00EE08C7">
        <w:rPr>
          <w:rFonts w:ascii="Times New Roman" w:hAnsi="Times New Roman"/>
          <w:sz w:val="28"/>
          <w:szCs w:val="28"/>
          <w:lang w:val="en-GB"/>
        </w:rPr>
        <w:lastRenderedPageBreak/>
        <w:t xml:space="preserve">their submission for debate through an urgency procedure within the Chamber initially notified and the mandatory convening of Parliament, if not in session; </w:t>
      </w:r>
      <w:r w:rsidRPr="00EE08C7">
        <w:rPr>
          <w:rFonts w:ascii="Times New Roman" w:hAnsi="Times New Roman"/>
          <w:i/>
          <w:iCs/>
          <w:sz w:val="28"/>
          <w:szCs w:val="28"/>
          <w:lang w:val="en-GB"/>
        </w:rPr>
        <w:t>field of regulation:</w:t>
      </w:r>
      <w:r w:rsidRPr="00EE08C7">
        <w:rPr>
          <w:rFonts w:ascii="Times New Roman" w:hAnsi="Times New Roman"/>
          <w:sz w:val="28"/>
          <w:szCs w:val="28"/>
          <w:lang w:val="en-GB"/>
        </w:rPr>
        <w:t xml:space="preserve"> this may also cover laws similar to organic laws, in which case the approval law is adopted by the majority provided for in Article 76 (1) of the Constitution; emergency ordinances cannot, however, be adopted in the field of constitutional laws, they cannot affect the regime of the fundamental institutions of the State; also, emergency ordinances cannot affect the rights, freedoms and duties provided by the Constitution, the electoral rights and cannot concern measures for the forced transfer of assets into public property.</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According to the case-law of the Constitutional Court regarding Article 115 (4) of the Constitution (e.g. Decision no. 255 of 11 May 2005, published in the Official Gazette of Romania, Part I, no. 511 of 16 June 2005), the Government may adopt emergency ordinances under the following conditions, met cumulatively: the existence of an extraordinary situation; the impossibility to postpone its regulation and that the urgency should be motivated in the ordinance. Extraordinary situations express a great degree of deviation from the ordinary or common and are objective in the sense that their existence does not depend on the will of the Government, which, under such circumstances, is compelled to react promptly to defend a public interest by means of emergency ordinances (see, </w:t>
      </w:r>
      <w:r w:rsidRPr="00EE08C7">
        <w:rPr>
          <w:rFonts w:ascii="Times New Roman" w:hAnsi="Times New Roman"/>
          <w:i/>
          <w:sz w:val="28"/>
          <w:szCs w:val="28"/>
          <w:lang w:val="en-GB"/>
        </w:rPr>
        <w:t>mutatis mutandis,</w:t>
      </w:r>
      <w:r w:rsidRPr="00EE08C7">
        <w:rPr>
          <w:rFonts w:ascii="Times New Roman" w:hAnsi="Times New Roman"/>
          <w:sz w:val="28"/>
          <w:szCs w:val="28"/>
          <w:lang w:val="en-GB"/>
        </w:rPr>
        <w:t xml:space="preserve"> Decision no. 83 of 19 May 1998, </w:t>
      </w:r>
      <w:bookmarkStart w:id="37" w:name="_Hlk536016572"/>
      <w:r w:rsidRPr="00EE08C7">
        <w:rPr>
          <w:rFonts w:ascii="Times New Roman" w:hAnsi="Times New Roman"/>
          <w:sz w:val="28"/>
          <w:szCs w:val="28"/>
          <w:lang w:val="en-GB"/>
        </w:rPr>
        <w:t xml:space="preserve">published in the Official Gazette of Romania, Part I, no. </w:t>
      </w:r>
      <w:bookmarkEnd w:id="37"/>
      <w:r w:rsidRPr="00EE08C7">
        <w:rPr>
          <w:rFonts w:ascii="Times New Roman" w:hAnsi="Times New Roman"/>
          <w:sz w:val="28"/>
          <w:szCs w:val="28"/>
          <w:lang w:val="en-GB"/>
        </w:rPr>
        <w:t xml:space="preserve">211 of 8 June 1998). Also, according to Decision no. 258 of 14 March 2006, published in the Official Gazette of Romania, Part I, no. 341 of 17 April 2006, “The absence of or the failure to explain the urgency of the regulation of extraordinary situations [...] clearly constitutes a constitutional barrier to the adoption, by the Government, of an emergency ordinance [...]. To decide otherwise would mean to deprive the provisions of Article 115 of the Constitution on legislative delegation of their content and to allow the Government to adopt, as a matter of urgency, regulatory acts having the force of laws at any time, and - taking into account the fact that by </w:t>
      </w:r>
      <w:r w:rsidRPr="00EE08C7">
        <w:rPr>
          <w:rFonts w:ascii="Times New Roman" w:hAnsi="Times New Roman"/>
          <w:sz w:val="28"/>
          <w:szCs w:val="28"/>
          <w:lang w:val="en-GB"/>
        </w:rPr>
        <w:lastRenderedPageBreak/>
        <w:t>emergency ordinances it is possible to regulate also in matters which are the subject of organic laws - in any field” (see also Decision no. 366 of 25 June 2014, published in the Official Gazette of Romania, Part I, no. 644 of 2 September 2014). Thus, for an emergency ordinance to be issued, it is necessary to have an objective, quantifiable factual situation, independent from the Government’s will, which endangers a public interest. Through Decision no. 255 of 11 May 2005, published in the Official Gazette of Romania, Part I, no. 511 of 16 June 2005, the Court held that “the fact of invoking the element of expediency, which is by definition subjective and which is given the decisive contributory effectiveness of the urgency, thus implicitly turning it into an extraordinary situation, leads to the conclusion that it is not, necessarily and unequivocally, objective, but that it can also give rise to subjective factors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It follows from the analysis of the above-mentioned case-law that only the existence of objective elements, which could not be foreseen, may lead to the emergence of a situation requiring speedy settlement. It is up to the Government to identify these elements and to motivate its intervention in the preamble of the adopted regulatory act. Therefore, the expediency of the law-making process is limited to the decision to adopt the regulatory act or not, to have an active or passive conduct, as long as the objective, quantifiable elements provided for by Article 115 (4) of the Constitution are proven. In other words, the decision to enact belongs exclusively to the delegated legislator, which, if deciding to regulate a certain legal situation, is bound to comply with the constitutional requirements. As the constitutional provisions lay down the framework and the limits for exercising legislative delegation, making the lawfulness and, consequently, the constitutionality of Government ordinances conditional upon certain specific requirements being met, requirements  qualified in the case-law of the Constitutional Court as constitutionality criteria, the constitutional court is the only one to adjudicate upon the fulfilment of the constitutional requirements (see </w:t>
      </w:r>
      <w:r w:rsidRPr="00EE08C7">
        <w:rPr>
          <w:rFonts w:ascii="Times New Roman" w:hAnsi="Times New Roman"/>
          <w:sz w:val="28"/>
          <w:szCs w:val="28"/>
          <w:lang w:val="en-GB"/>
        </w:rPr>
        <w:lastRenderedPageBreak/>
        <w:t>Decision no. 68 of 27 February 2017, published in the Official Gazette of Romania, Part I, no. 181 of 14 March 2017).</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Within the </w:t>
      </w:r>
      <w:r w:rsidRPr="00EE08C7">
        <w:rPr>
          <w:rFonts w:ascii="Times New Roman" w:hAnsi="Times New Roman"/>
          <w:i/>
          <w:iCs/>
          <w:sz w:val="28"/>
          <w:szCs w:val="28"/>
          <w:lang w:val="en-GB"/>
        </w:rPr>
        <w:t>a priori</w:t>
      </w:r>
      <w:r w:rsidRPr="00EE08C7">
        <w:rPr>
          <w:rFonts w:ascii="Times New Roman" w:hAnsi="Times New Roman"/>
          <w:sz w:val="28"/>
          <w:szCs w:val="28"/>
          <w:lang w:val="en-GB"/>
        </w:rPr>
        <w:t xml:space="preserve"> constitutional review carried out over the laws for the approval of ordinances, both aspects of extrinsic and intrinsic constitutionality of the ordinance thus approved can be challenged and, implicitly, be examined by the Court, given that “Government ordinances approved by the Parliament by law, under Article 115 (7) of the Constitution, cease to be independent regulatory acts and become, as a result of the approval by the legislative authority, regulatory acts having the force of laws, even if, for reasons related to the legislative technique, together with the data of the law for approval, they also preserve the identification elements assigned to them by the Government upon adoption” (see, to this effect, Decision no. 95 of 8 February 2006, published in the Official Gazette of Romania, Part I, no. 177 of 23 February 2006). Therefore, the Court found that, as concerns the power of the Constitutional Court provided for in the first sentence of Article 146 (a) of the Constitution, through the constitutional review of the law for the approval of the Government ordinance, pleas of extrinsic unconstitutionality regarding the way in which the ordinance was adopted could be raised, so only when this is formally turned into a law (see, in this respect, Decision no. 1 of 11 January 2012, published in the Official Gazette of Romania, Part I, no. 53 of 23 January 2012).</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With regard to the pleas of extrinsic unconstitutionality with reference to the provisions of </w:t>
      </w:r>
      <w:r w:rsidRPr="00EE08C7">
        <w:rPr>
          <w:rFonts w:ascii="Times New Roman" w:hAnsi="Times New Roman"/>
          <w:b/>
          <w:bCs/>
          <w:i/>
          <w:iCs/>
          <w:sz w:val="28"/>
          <w:szCs w:val="28"/>
          <w:lang w:val="en-GB"/>
        </w:rPr>
        <w:t>Article 115 (4) of the Basic Law</w:t>
      </w:r>
      <w:r w:rsidRPr="00EE08C7">
        <w:rPr>
          <w:rFonts w:ascii="Times New Roman" w:hAnsi="Times New Roman"/>
          <w:sz w:val="28"/>
          <w:szCs w:val="28"/>
          <w:lang w:val="en-GB"/>
        </w:rPr>
        <w:t xml:space="preserve">, the Court notes that, in the preamble to the emergency ordinance approved through the impugned law, the existence of an extraordinary situation whose regulation cannot be postponed and its urgency are justified by the Government as follows: </w:t>
      </w:r>
      <w:r w:rsidRPr="00EE08C7">
        <w:rPr>
          <w:rFonts w:ascii="Times New Roman" w:hAnsi="Times New Roman"/>
          <w:i/>
          <w:iCs/>
          <w:sz w:val="28"/>
          <w:szCs w:val="28"/>
          <w:lang w:val="en-GB"/>
        </w:rPr>
        <w:t>on the one hand</w:t>
      </w:r>
      <w:r w:rsidRPr="00EE08C7">
        <w:rPr>
          <w:rFonts w:ascii="Times New Roman" w:hAnsi="Times New Roman"/>
          <w:sz w:val="28"/>
          <w:szCs w:val="28"/>
          <w:lang w:val="en-GB"/>
        </w:rPr>
        <w:t xml:space="preserve">, </w:t>
      </w:r>
      <w:r w:rsidRPr="00EE08C7">
        <w:rPr>
          <w:rFonts w:ascii="Times New Roman" w:hAnsi="Times New Roman"/>
          <w:b/>
          <w:bCs/>
          <w:i/>
          <w:iCs/>
          <w:sz w:val="28"/>
          <w:szCs w:val="28"/>
          <w:lang w:val="en-GB"/>
        </w:rPr>
        <w:t>the imminent expiry of the 3-month term</w:t>
      </w:r>
      <w:r w:rsidRPr="00EE08C7">
        <w:rPr>
          <w:rFonts w:ascii="Times New Roman" w:hAnsi="Times New Roman"/>
          <w:sz w:val="28"/>
          <w:szCs w:val="28"/>
          <w:lang w:val="en-GB"/>
        </w:rPr>
        <w:t xml:space="preserve"> (which started running on the date of entry into force of Law no. 207/2018 amending and supplementing Law no. 304/2004 on the judicial organisation), respectively the approaching 23 October 2018, date when, according </w:t>
      </w:r>
      <w:r w:rsidRPr="00EE08C7">
        <w:rPr>
          <w:rFonts w:ascii="Times New Roman" w:hAnsi="Times New Roman"/>
          <w:sz w:val="28"/>
          <w:szCs w:val="28"/>
          <w:lang w:val="en-GB"/>
        </w:rPr>
        <w:lastRenderedPageBreak/>
        <w:t xml:space="preserve">to Article III (1) of Law no. 207/2018, the Section for the investigation of justice-related criminal offences was supposed to become operational, section which took over </w:t>
      </w:r>
      <w:bookmarkStart w:id="38" w:name="_Hlk535932702"/>
      <w:r w:rsidRPr="00EE08C7">
        <w:rPr>
          <w:rFonts w:ascii="Times New Roman" w:hAnsi="Times New Roman"/>
          <w:sz w:val="28"/>
          <w:szCs w:val="28"/>
          <w:lang w:val="en-GB"/>
        </w:rPr>
        <w:t>the power to carry out criminal proceedings in case of criminal offences</w:t>
      </w:r>
      <w:bookmarkEnd w:id="38"/>
      <w:r w:rsidRPr="00EE08C7">
        <w:rPr>
          <w:rFonts w:ascii="Times New Roman" w:hAnsi="Times New Roman"/>
          <w:sz w:val="28"/>
          <w:szCs w:val="28"/>
          <w:lang w:val="en-GB"/>
        </w:rPr>
        <w:t xml:space="preserve"> committed by judges and prosecutors, including military judges and prosecutors and members of the Superior Council of Magistracy, from the National Anticorruption Directorate and the other prosecutor’s offices, and, </w:t>
      </w:r>
      <w:r w:rsidRPr="00EE08C7">
        <w:rPr>
          <w:rFonts w:ascii="Times New Roman" w:hAnsi="Times New Roman"/>
          <w:i/>
          <w:iCs/>
          <w:sz w:val="28"/>
          <w:szCs w:val="28"/>
          <w:lang w:val="en-GB"/>
        </w:rPr>
        <w:t>on the other hand</w:t>
      </w:r>
      <w:r w:rsidRPr="00EE08C7">
        <w:rPr>
          <w:rFonts w:ascii="Times New Roman" w:hAnsi="Times New Roman"/>
          <w:sz w:val="28"/>
          <w:szCs w:val="28"/>
          <w:lang w:val="en-GB"/>
        </w:rPr>
        <w:t xml:space="preserve">, </w:t>
      </w:r>
      <w:r w:rsidRPr="00EE08C7">
        <w:rPr>
          <w:rFonts w:ascii="Times New Roman" w:hAnsi="Times New Roman"/>
          <w:b/>
          <w:bCs/>
          <w:i/>
          <w:iCs/>
          <w:sz w:val="28"/>
          <w:szCs w:val="28"/>
          <w:lang w:val="en-GB"/>
        </w:rPr>
        <w:t>the failure of the Superior Council of Magistracy to finalize, within the legal term, the procedure for the operationalisation</w:t>
      </w:r>
      <w:r w:rsidRPr="00EE08C7">
        <w:rPr>
          <w:rFonts w:ascii="Times New Roman" w:hAnsi="Times New Roman"/>
          <w:sz w:val="28"/>
          <w:szCs w:val="28"/>
          <w:lang w:val="en-GB"/>
        </w:rPr>
        <w:t xml:space="preserve"> of the Section for the investigation of justice-related criminal offences, corroborated with the </w:t>
      </w:r>
      <w:r w:rsidRPr="00EE08C7">
        <w:rPr>
          <w:rFonts w:ascii="Times New Roman" w:hAnsi="Times New Roman"/>
          <w:b/>
          <w:bCs/>
          <w:i/>
          <w:iCs/>
          <w:sz w:val="28"/>
          <w:szCs w:val="28"/>
          <w:lang w:val="en-GB"/>
        </w:rPr>
        <w:t>lack of transitional norms within the law in force</w:t>
      </w:r>
      <w:r w:rsidRPr="00EE08C7">
        <w:rPr>
          <w:rFonts w:ascii="Times New Roman" w:hAnsi="Times New Roman"/>
          <w:sz w:val="28"/>
          <w:szCs w:val="28"/>
          <w:lang w:val="en-GB"/>
        </w:rPr>
        <w:t xml:space="preserve"> regarding the actual operationalisation of the Section for investigation of justice-related criminal offences, in case of failure to comply with the deadline set by Law no. 207/2018. The above-described circumstances required the adoption of urgent legislative measures regulating a simple procedure, derogating from the provisions of Articles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to 88</w:t>
      </w:r>
      <w:r w:rsidRPr="00EE08C7">
        <w:rPr>
          <w:rFonts w:ascii="Times New Roman" w:hAnsi="Times New Roman"/>
          <w:sz w:val="28"/>
          <w:szCs w:val="28"/>
          <w:vertAlign w:val="superscript"/>
          <w:lang w:val="en-GB"/>
        </w:rPr>
        <w:t>5</w:t>
      </w:r>
      <w:r w:rsidRPr="00EE08C7">
        <w:rPr>
          <w:rFonts w:ascii="Times New Roman" w:hAnsi="Times New Roman"/>
          <w:sz w:val="28"/>
          <w:szCs w:val="28"/>
          <w:lang w:val="en-GB"/>
        </w:rPr>
        <w:t xml:space="preserve"> of Law no. 304/2004, republished, as subsequently amended and supplemented, for the provisional appointment of the chief prosecutor, the deputy chief prosecutor and at least one-third of the section’s prosecutors. The derogatory procedure allows the section to become operational within the time limit set by the law, i.e. 23 October 2018, and it is likely to avoid institutional deadlock, which could have seriously affected court proceedings in cases falling within the competence of the section. </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Court finds that </w:t>
      </w:r>
      <w:r w:rsidRPr="00EE08C7">
        <w:rPr>
          <w:rFonts w:ascii="Times New Roman" w:hAnsi="Times New Roman"/>
          <w:b/>
          <w:bCs/>
          <w:i/>
          <w:iCs/>
          <w:sz w:val="28"/>
          <w:szCs w:val="28"/>
          <w:lang w:val="en-GB"/>
        </w:rPr>
        <w:t>this reasoning of the extraordinary situation and of the urgency is sufficient and compliant with the requirements of the provisions of Article 115 (4) of the Constitution</w:t>
      </w:r>
      <w:r w:rsidRPr="00EE08C7">
        <w:rPr>
          <w:rFonts w:ascii="Times New Roman" w:hAnsi="Times New Roman"/>
          <w:sz w:val="28"/>
          <w:szCs w:val="28"/>
          <w:lang w:val="en-GB"/>
        </w:rPr>
        <w:t xml:space="preserve">, as established in the case-law of the constitutional court. It results from the above that the failure of the Superior Council of Magistracy to complete the procedure for the operationalisation of the Section for the investigation of justice-related criminal offences within the legal term of three months was likely to create an institutional deadlock within the Public Ministry regarding the criminal prosecution activity in the case of criminal offences </w:t>
      </w:r>
      <w:r w:rsidRPr="00EE08C7">
        <w:rPr>
          <w:rFonts w:ascii="Times New Roman" w:hAnsi="Times New Roman"/>
          <w:sz w:val="28"/>
          <w:szCs w:val="28"/>
          <w:lang w:val="en-GB"/>
        </w:rPr>
        <w:lastRenderedPageBreak/>
        <w:t>committed by judges and prosecutors, including military judges and prosecutors and members of the Superior Council of Magistracy. Thus, given that, on the date of expiry of the deadline set by the law, i.e. 23 October 2018, the competence of the National Anticorruption Directorate and of the other prosecutor’s offices to conduct criminal proceedings with regard to the criminal offences committed by these persons ceases, the lack of a functional prosecutor’s office structure to take over this competence would seriously affect the judicial proceedings in pending and future cases, a situation that will endanger, on the one hand, the activity of the Public Ministry and, on the other hand, the activity of justice in general.</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According to the case-law of the Court, for an emergency ordinance to be issued, it is necessary to have an objective, quantifiable factual situation, independent from the Government’s will, which endangers a public interest. Thus, another specificity of the extraordinary situations is their objective nature, in the sense that “their existence does not depend on the will of the Government, which, under such circumstances, is compelled to react promptly to defend a public interest by means of emergency ordinances” (Decision no. 83 of 19 May 1998, published in the Official Gazette of Romania, Part I, no. 211 of 8 June 1998). In other words, by adopting the regulatory act in urgency conditions, </w:t>
      </w:r>
      <w:r w:rsidRPr="00EE08C7">
        <w:rPr>
          <w:rFonts w:ascii="Times New Roman" w:hAnsi="Times New Roman"/>
          <w:i/>
          <w:iCs/>
          <w:sz w:val="28"/>
          <w:szCs w:val="28"/>
          <w:lang w:val="en-GB"/>
        </w:rPr>
        <w:t>the Government did not act arbitrarily, following an assessment based solely on elements of expediency, subjective by definition, but was compelled to act so as to counteract negative consequences which would have been the result of the passivity of the public authority that, according to the law, was bound to take the necessary measures to make the Section for the investigation of justice-related criminal offences operational</w:t>
      </w:r>
      <w:r w:rsidRPr="00EE08C7">
        <w:rPr>
          <w:rFonts w:ascii="Times New Roman" w:hAnsi="Times New Roman"/>
          <w:sz w:val="28"/>
          <w:szCs w:val="28"/>
          <w:lang w:val="en-GB"/>
        </w:rPr>
        <w:t>. The deferral of the procedure before the Superior Council of Magistracy represents an objective, quantifiable factual situation and, above all, independent from the Government’s will, which imposed upon the latter the legislative intervention by means of an emergency ordinance. Ordinances are acts that derogate from the law in force, ordering the necessary measures for the newly-</w:t>
      </w:r>
      <w:r w:rsidRPr="00EE08C7">
        <w:rPr>
          <w:rFonts w:ascii="Times New Roman" w:hAnsi="Times New Roman"/>
          <w:sz w:val="28"/>
          <w:szCs w:val="28"/>
          <w:lang w:val="en-GB"/>
        </w:rPr>
        <w:lastRenderedPageBreak/>
        <w:t>established section within the Public Ministry - the Prosecutor’s Office attached to the High Court of Cassation and Justice to take over the prerogatives related to the criminal prosecution activity, but whose provisions have a temporary applicability, until the finalisation of the competitions organised for the appointment of the chief prosecutor of the Section for the investigation of justice-related criminal offences and of the section’s prosecutors and until the validation of their results.</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In view of these arguments, the Court considers that </w:t>
      </w:r>
      <w:r w:rsidRPr="00EE08C7">
        <w:rPr>
          <w:rFonts w:ascii="Times New Roman" w:hAnsi="Times New Roman"/>
          <w:b/>
          <w:bCs/>
          <w:i/>
          <w:iCs/>
          <w:sz w:val="28"/>
          <w:szCs w:val="28"/>
          <w:lang w:val="en-GB"/>
        </w:rPr>
        <w:t>the adopted regulatory act meets the constitutional requirements laid down in Article 115 (4)</w:t>
      </w:r>
      <w:r w:rsidRPr="00EE08C7">
        <w:rPr>
          <w:rFonts w:ascii="Times New Roman" w:hAnsi="Times New Roman"/>
          <w:sz w:val="28"/>
          <w:szCs w:val="28"/>
          <w:lang w:val="en-GB"/>
        </w:rPr>
        <w:t>, as the Government proved the existence of an extraordinary situation whose regulation could not be postponed and motivated the urgency of the act therein.</w:t>
      </w:r>
    </w:p>
    <w:p w:rsidR="006A40ED" w:rsidRPr="00EE08C7" w:rsidRDefault="006A40ED" w:rsidP="006A40ED">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With regard to the violation of the regime of a fundamental State institution, as concerns the meaning of the provisions of </w:t>
      </w:r>
      <w:r w:rsidRPr="00EE08C7">
        <w:rPr>
          <w:rFonts w:ascii="Times New Roman" w:hAnsi="Times New Roman"/>
          <w:b/>
          <w:bCs/>
          <w:i/>
          <w:iCs/>
          <w:sz w:val="28"/>
          <w:szCs w:val="28"/>
          <w:lang w:val="en-GB"/>
        </w:rPr>
        <w:t>Article 115 (6) of the Basic Law</w:t>
      </w:r>
      <w:r w:rsidRPr="00EE08C7">
        <w:rPr>
          <w:rFonts w:ascii="Times New Roman" w:hAnsi="Times New Roman"/>
          <w:sz w:val="28"/>
          <w:szCs w:val="28"/>
          <w:lang w:val="en-GB"/>
        </w:rPr>
        <w:t xml:space="preserve">, the Constitutional Court stated, by Decision no. 1189 of 6 November 2008, published in the Official Gazette of Romania, Part I, no. 787 of 25 November 2008, that “emergency ordinances cannot be adopted if they ‘affect’, if they have negative consequences, but, however, can be adopted if, by the regulations therein, have positive consequences in the fields in which they are issued”. Also, by Decision no. 366 of 25 June 2014, published in the Official Gazette of Romania, Part I, no. 644 of 2 September 2014, the Court pointed out that not every legislative measure adopted by means of an emergency ordinance and concerning the organisational structure of certain fundamental State institutions was likely to violate Article 115 (6) of the Constitution, “insofar as they do not affect their administrative capacity or their functioning either”.  </w:t>
      </w:r>
    </w:p>
    <w:p w:rsidR="006A40ED" w:rsidRPr="00EE08C7" w:rsidRDefault="006A40ED" w:rsidP="006A40ED">
      <w:pPr>
        <w:pStyle w:val="ListParagraph"/>
        <w:numPr>
          <w:ilvl w:val="0"/>
          <w:numId w:val="2"/>
        </w:numPr>
        <w:suppressAutoHyphens w:val="0"/>
        <w:autoSpaceDE w:val="0"/>
        <w:autoSpaceDN w:val="0"/>
        <w:adjustRightInd w:val="0"/>
        <w:spacing w:after="0" w:line="360" w:lineRule="auto"/>
        <w:ind w:left="0"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But, by examining the pleas lodged, the Court notes that the authors of the referral only invoke the allegedly violated constitutional norm, without providing grounds as to the lack of compliance of the emergency ordinance with the constitutionally enshrined interdiction, respectively the way in which the regulatory act affects the regime of a fundamental State institution. Or, the mere listing of the </w:t>
      </w:r>
      <w:r w:rsidRPr="00EE08C7">
        <w:rPr>
          <w:rFonts w:ascii="Times New Roman" w:hAnsi="Times New Roman"/>
          <w:sz w:val="28"/>
          <w:szCs w:val="28"/>
          <w:lang w:val="en-GB"/>
        </w:rPr>
        <w:lastRenderedPageBreak/>
        <w:t xml:space="preserve">constitutional provisions allegedly violated, without concretely indicating the grounds underlying the non-compliance with the Basic Law, does not meet the condition for a well-founded objection, so that, by reference to </w:t>
      </w:r>
      <w:bookmarkStart w:id="39" w:name="_Hlk1139526"/>
      <w:r w:rsidRPr="00EE08C7">
        <w:rPr>
          <w:rFonts w:ascii="Times New Roman" w:hAnsi="Times New Roman"/>
          <w:sz w:val="28"/>
          <w:szCs w:val="28"/>
          <w:lang w:val="en-GB"/>
        </w:rPr>
        <w:t>the provisions of Article 115 (6) of the Basic Law, the objection of unconstitutionality is inadmissible.</w:t>
      </w:r>
      <w:bookmarkEnd w:id="39"/>
    </w:p>
    <w:p w:rsidR="003044A6" w:rsidRPr="00EE08C7" w:rsidRDefault="003044A6" w:rsidP="003044A6">
      <w:pPr>
        <w:pStyle w:val="ListParagraph"/>
        <w:numPr>
          <w:ilvl w:val="0"/>
          <w:numId w:val="2"/>
        </w:numPr>
        <w:suppressAutoHyphens w:val="0"/>
        <w:spacing w:after="0" w:line="360" w:lineRule="auto"/>
        <w:ind w:left="0" w:firstLine="567"/>
        <w:jc w:val="both"/>
        <w:rPr>
          <w:rFonts w:ascii="Times New Roman" w:hAnsi="Times New Roman" w:cs="Times New Roman"/>
          <w:sz w:val="28"/>
          <w:szCs w:val="28"/>
          <w:lang w:val="en-GB"/>
        </w:rPr>
      </w:pPr>
      <w:r w:rsidRPr="00EE08C7">
        <w:rPr>
          <w:rFonts w:ascii="Times New Roman" w:hAnsi="Times New Roman"/>
          <w:color w:val="000000"/>
          <w:sz w:val="28"/>
          <w:szCs w:val="28"/>
          <w:lang w:val="en-GB"/>
        </w:rPr>
        <w:t>As regards the criticisms relating to the infringement of Article 148</w:t>
      </w:r>
      <w:r w:rsidRPr="00EE08C7">
        <w:rPr>
          <w:rFonts w:ascii="Times New Roman" w:hAnsi="Times New Roman"/>
          <w:b/>
          <w:i/>
          <w:color w:val="000000"/>
          <w:sz w:val="28"/>
          <w:szCs w:val="28"/>
          <w:lang w:val="en-GB"/>
        </w:rPr>
        <w:t xml:space="preserve"> </w:t>
      </w:r>
      <w:bookmarkStart w:id="40" w:name="_Hlk1139574"/>
      <w:r w:rsidRPr="00EE08C7">
        <w:rPr>
          <w:rFonts w:ascii="Times New Roman" w:hAnsi="Times New Roman"/>
          <w:b/>
          <w:i/>
          <w:color w:val="000000"/>
          <w:sz w:val="28"/>
          <w:szCs w:val="28"/>
          <w:lang w:val="en-GB"/>
        </w:rPr>
        <w:t xml:space="preserve">(2) and (4) </w:t>
      </w:r>
      <w:bookmarkEnd w:id="40"/>
      <w:r w:rsidRPr="00EE08C7">
        <w:rPr>
          <w:rFonts w:ascii="Times New Roman" w:hAnsi="Times New Roman"/>
          <w:color w:val="000000"/>
          <w:sz w:val="28"/>
          <w:szCs w:val="28"/>
          <w:lang w:val="en-GB"/>
        </w:rPr>
        <w:t xml:space="preserve">of the Constitution, the Court considers relevant those stated in its decisions on the nature of the recommendations contained in the </w:t>
      </w:r>
      <w:r w:rsidR="00BF7E59">
        <w:rPr>
          <w:rFonts w:ascii="Times New Roman" w:hAnsi="Times New Roman"/>
          <w:color w:val="000000"/>
          <w:sz w:val="28"/>
          <w:szCs w:val="28"/>
          <w:lang w:val="en-GB"/>
        </w:rPr>
        <w:t>CVM r</w:t>
      </w:r>
      <w:r w:rsidRPr="00EE08C7">
        <w:rPr>
          <w:rFonts w:ascii="Times New Roman" w:hAnsi="Times New Roman"/>
          <w:color w:val="000000"/>
          <w:sz w:val="28"/>
          <w:szCs w:val="28"/>
          <w:lang w:val="en-GB"/>
        </w:rPr>
        <w:t xml:space="preserve">eports drawn up in application of Decision 2006/928/EC. </w:t>
      </w:r>
    </w:p>
    <w:p w:rsidR="003044A6" w:rsidRPr="00EE08C7" w:rsidRDefault="003044A6" w:rsidP="003044A6">
      <w:pPr>
        <w:pStyle w:val="ListParagraph"/>
        <w:numPr>
          <w:ilvl w:val="0"/>
          <w:numId w:val="2"/>
        </w:numPr>
        <w:suppressAutoHyphens w:val="0"/>
        <w:spacing w:after="0" w:line="360" w:lineRule="auto"/>
        <w:ind w:left="0" w:firstLine="630"/>
        <w:jc w:val="both"/>
        <w:rPr>
          <w:rFonts w:ascii="Times New Roman" w:eastAsia="Arial Unicode MS" w:hAnsi="Times New Roman" w:cs="Times New Roman"/>
          <w:color w:val="000000"/>
          <w:sz w:val="28"/>
          <w:szCs w:val="28"/>
          <w:lang w:val="en-GB"/>
        </w:rPr>
      </w:pPr>
      <w:r w:rsidRPr="00EE08C7">
        <w:rPr>
          <w:rFonts w:ascii="Times New Roman" w:hAnsi="Times New Roman"/>
          <w:color w:val="000000"/>
          <w:sz w:val="28"/>
          <w:szCs w:val="28"/>
          <w:lang w:val="en-GB"/>
        </w:rPr>
        <w:t xml:space="preserve">Firstly, referring to the meaning of Article 148 (2) of the Basic Law in Decision no. 148 of 16 April 2003, published in the Official Gazette of Romania, Part I, no. 317 of 12 May 2003, and in Decision no. 80 of 16 February 2014, published in the Official Gazette of Romania, Part I, no. 246 of 7 April 2014, the Constitutional Court stated that it concerns “the implementation of Community law in national legislation and the establishment of the rule of priority application of Community law in respect of provisions to the contrary in national laws, in compliance with the provisions of the Act of Accession” and that “[…] Member States of the European Union have agreed to place the </w:t>
      </w:r>
      <w:r w:rsidRPr="00EE08C7">
        <w:rPr>
          <w:rFonts w:ascii="Times New Roman" w:hAnsi="Times New Roman"/>
          <w:i/>
          <w:color w:val="000000"/>
          <w:sz w:val="28"/>
          <w:szCs w:val="28"/>
          <w:lang w:val="en-GB"/>
        </w:rPr>
        <w:t>acquis communautaire</w:t>
      </w:r>
      <w:r w:rsidRPr="00EE08C7">
        <w:rPr>
          <w:rFonts w:ascii="Times New Roman" w:hAnsi="Times New Roman"/>
          <w:color w:val="000000"/>
          <w:sz w:val="28"/>
          <w:szCs w:val="28"/>
          <w:lang w:val="en-GB"/>
        </w:rPr>
        <w:t xml:space="preserve"> — the founding treaties of the European Union and the regulations deriving from them — in an intermediate position between the Constitution and the other laws, in the case of European binding legislation”. At the same time, the Court noted that the provisions in question represent a particular application of Article 11 (2) of the Constitution according to which “</w:t>
      </w:r>
      <w:r w:rsidRPr="00EE08C7">
        <w:rPr>
          <w:rFonts w:ascii="Times New Roman" w:hAnsi="Times New Roman"/>
          <w:i/>
          <w:color w:val="000000"/>
          <w:sz w:val="28"/>
          <w:szCs w:val="28"/>
          <w:lang w:val="en-GB"/>
        </w:rPr>
        <w:t>Once ratified by Parliament, subject to the law, treaties shall be part of domestic law</w:t>
      </w:r>
      <w:r w:rsidR="00EE08C7">
        <w:rPr>
          <w:rFonts w:ascii="Times New Roman" w:hAnsi="Times New Roman"/>
          <w:color w:val="000000"/>
          <w:sz w:val="28"/>
          <w:szCs w:val="28"/>
          <w:lang w:val="en-GB"/>
        </w:rPr>
        <w:t>”</w:t>
      </w:r>
      <w:r w:rsidRPr="00EE08C7">
        <w:rPr>
          <w:rFonts w:ascii="Times New Roman" w:hAnsi="Times New Roman"/>
          <w:color w:val="000000"/>
          <w:sz w:val="28"/>
          <w:szCs w:val="28"/>
          <w:lang w:val="en-GB"/>
        </w:rPr>
        <w:t xml:space="preserve">. </w:t>
      </w:r>
    </w:p>
    <w:p w:rsidR="003044A6" w:rsidRPr="00EE08C7" w:rsidRDefault="003044A6" w:rsidP="003044A6">
      <w:pPr>
        <w:pStyle w:val="ListParagraph"/>
        <w:numPr>
          <w:ilvl w:val="0"/>
          <w:numId w:val="2"/>
        </w:numPr>
        <w:suppressAutoHyphens w:val="0"/>
        <w:spacing w:after="0" w:line="360" w:lineRule="auto"/>
        <w:ind w:left="0" w:firstLine="630"/>
        <w:jc w:val="both"/>
        <w:rPr>
          <w:rFonts w:ascii="Times New Roman" w:eastAsia="Arial Unicode MS" w:hAnsi="Times New Roman" w:cs="Times New Roman"/>
          <w:color w:val="000000"/>
          <w:sz w:val="28"/>
          <w:szCs w:val="28"/>
          <w:lang w:val="en-GB"/>
        </w:rPr>
      </w:pPr>
      <w:r w:rsidRPr="00EE08C7">
        <w:rPr>
          <w:rFonts w:ascii="Times New Roman" w:hAnsi="Times New Roman"/>
          <w:color w:val="000000"/>
          <w:sz w:val="28"/>
          <w:szCs w:val="28"/>
          <w:lang w:val="en-GB"/>
        </w:rPr>
        <w:t xml:space="preserve">Moreover, with regard to the relevance of binding acts of the European Union (regulations, directives, decisions) within the review of constitutionality, by Decision no. 64 of 24 February 2015, published in the Official Gazette of Romania, Part I, no. 286 of 28 April 2015, or by Decision no. 668 of 18 May 2011, published </w:t>
      </w:r>
      <w:r w:rsidRPr="00EE08C7">
        <w:rPr>
          <w:rFonts w:ascii="Times New Roman" w:hAnsi="Times New Roman"/>
          <w:color w:val="000000"/>
          <w:sz w:val="28"/>
          <w:szCs w:val="28"/>
          <w:lang w:val="en-GB"/>
        </w:rPr>
        <w:lastRenderedPageBreak/>
        <w:t xml:space="preserve">in the Official Gazette of Romania, Part I, no. 487 of 8 July 2011, the Court held that “the use of a rule of European law in the framework of constitutional review as an international rule of reference implies, on the basis of Article 148 (2) and (4) of the Romanian Constitution, a cumulative conditionality: on the one hand, this rule must be sufficiently clear, precise and unequivocal by itself or its meaning must have been established in a clear, precise and unambiguous manner by the Court of Justice of the European Union and, on the other hand, the rule must be subject to a certain level of constitutional relevance, so that its normative content would support a possible violation by the national law of the Constitution — the only direct rule of reference for the review of constitutionality.”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color w:val="000000"/>
          <w:sz w:val="28"/>
          <w:szCs w:val="28"/>
          <w:lang w:val="en-GB"/>
        </w:rPr>
        <w:t>By analysing the European Commission Decision 2006/928/EC in the light of Article 148 (4) of the Basic Law, in Decision no. 104 of 6 March 2018, published in Official Gazette of Romania, Part I, no. 446 of 29 May 2018, the Court held that “Romania accepted that, in the areas where exclusive competence lies with the European Union, [...], the implementation of the obligations arising therefrom should be subject to the rules of the Union [...]” and that “by virtue of the compliance clause contained in the text of Article 148 of the Constitution, Romania may not adopt a legislative act contrary to the obligations undertaken as a Member State”. The Court also noted that “all the above have of course a constitutional limit, expressed in what the Court has qualified as «national constitutional identity»”, and that “the meaning of the European Commission Decision 2006/928/EC of 13 December 2006 [...], an act adopted prior to Romania’s accession to the European Union, has not been interpreted by the Court of Justice of the European Union in terms of its content, its character and its temporal scope and whether such fall within the scope of those laid down in the Treaty of Accession, [...] which forms part of the internal legal order, so that Decision 2006/928/EC cannot serve as a reference rule for the purpose of constitutional review in the light of Article 148 of the Constitution” (par. 88, final sentence).</w:t>
      </w:r>
      <w:r w:rsidRPr="00EE08C7">
        <w:rPr>
          <w:lang w:val="en-GB"/>
        </w:rPr>
        <w:t xml:space="preserve">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lastRenderedPageBreak/>
        <w:t>Moreover, as demonstrated in advance, Decision 2006/928/EC, which is a legally binding European law for the Romanian State,</w:t>
      </w:r>
      <w:r w:rsidRPr="00EE08C7">
        <w:rPr>
          <w:rFonts w:ascii="Times New Roman" w:hAnsi="Times New Roman"/>
          <w:i/>
          <w:sz w:val="28"/>
          <w:szCs w:val="28"/>
          <w:lang w:val="en-GB"/>
        </w:rPr>
        <w:t xml:space="preserve"> lacks constitutional relevance</w:t>
      </w:r>
      <w:r w:rsidRPr="00EE08C7">
        <w:rPr>
          <w:rFonts w:ascii="Times New Roman" w:hAnsi="Times New Roman"/>
          <w:sz w:val="28"/>
          <w:szCs w:val="28"/>
          <w:lang w:val="en-GB"/>
        </w:rPr>
        <w:t xml:space="preserve">.  As the Court has already ruled by Decision no. 104 of 6 March 2018, paragraph 89, even if it were accepted that it might be “an indicator on the assessment of the constitutionality of the rule”, such would have no impact at all, because its content recommended only to continue, on the basis of progress already made, to conduct professional, non-partisan investigations into allegations of high-level corruption, and to take further measures to prevent and combat corruption, in particular within the local administration.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b/>
          <w:i/>
          <w:sz w:val="28"/>
          <w:szCs w:val="28"/>
          <w:lang w:val="en-GB"/>
        </w:rPr>
      </w:pPr>
      <w:r w:rsidRPr="00EE08C7">
        <w:rPr>
          <w:rFonts w:ascii="Times New Roman" w:hAnsi="Times New Roman"/>
          <w:sz w:val="28"/>
          <w:szCs w:val="28"/>
          <w:lang w:val="en-GB"/>
        </w:rPr>
        <w:t xml:space="preserve">Moreover, it falls within the exclusive competence of the Member State to determine  the organisation, functioning and delimitation of competences between different structures of the prosecution bodies, since, as the Court held in Decision no. 80 of 16 February 2014, cited above, paragraph 456, the Basic Law of the State — the Constitution is an expression of the will of the people, meaning that it cannot lose its binding force only by the existence of an inconsistency between its provisions and those of European instruments. Also, accession to the European Union cannot affect the supremacy of the Constitution over the whole legal order (see, in the same sense, also the Judgment of 11 May 2005, K 18/04, of the Constitutional Court of the Republic of Poland). Moreover, by Decision no. 683 of 27 June 2012, published in the Official Gazette of Romania, Part I, no. 479 of 12 July 2012, the Constitutional Court held that “of the essence of the Union is the attribution by Member States of powers — more and more in number — for achieving their common objectives, of course, without prejudice to, in the end, by this conferral of powers, to </w:t>
      </w:r>
      <w:r w:rsidRPr="00EE08C7">
        <w:rPr>
          <w:rFonts w:ascii="Times New Roman" w:hAnsi="Times New Roman"/>
          <w:i/>
          <w:sz w:val="28"/>
          <w:szCs w:val="28"/>
          <w:lang w:val="en-GB"/>
        </w:rPr>
        <w:t>national constitutional identity</w:t>
      </w:r>
      <w:r w:rsidRPr="00EE08C7">
        <w:rPr>
          <w:rFonts w:ascii="Times New Roman" w:hAnsi="Times New Roman"/>
          <w:sz w:val="28"/>
          <w:szCs w:val="28"/>
          <w:lang w:val="en-GB"/>
        </w:rPr>
        <w:t xml:space="preserve">” and that, “on that line of thought, the Member States retain their powers which are inherent in preserving their constitutional identity, and leaving the assignment of competences, and the rethinking, deepening or establishing of new guidelines within the competences </w:t>
      </w:r>
      <w:r w:rsidRPr="00EE08C7">
        <w:rPr>
          <w:rFonts w:ascii="Times New Roman" w:hAnsi="Times New Roman"/>
          <w:sz w:val="28"/>
          <w:szCs w:val="28"/>
          <w:lang w:val="en-GB"/>
        </w:rPr>
        <w:lastRenderedPageBreak/>
        <w:t>already assigned depends on the constitutional margin of appreciation of the Member States.”</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b/>
          <w:i/>
          <w:sz w:val="28"/>
          <w:szCs w:val="28"/>
          <w:lang w:val="en-GB"/>
        </w:rPr>
      </w:pPr>
      <w:r w:rsidRPr="00EE08C7">
        <w:rPr>
          <w:rFonts w:ascii="Times New Roman" w:hAnsi="Times New Roman"/>
          <w:sz w:val="28"/>
          <w:szCs w:val="28"/>
          <w:lang w:val="en-GB"/>
        </w:rPr>
        <w:t xml:space="preserve">For these reasons, the Court finds that the </w:t>
      </w:r>
      <w:r w:rsidRPr="00EE08C7">
        <w:rPr>
          <w:rFonts w:ascii="Times New Roman" w:hAnsi="Times New Roman"/>
          <w:b/>
          <w:i/>
          <w:sz w:val="28"/>
          <w:szCs w:val="28"/>
          <w:lang w:val="en-GB"/>
        </w:rPr>
        <w:t>provisions of Government Emergency Ordinance no.90/2018 are in compliance with the provisions of Article 148 (2) and (4) of the Basic Law</w:t>
      </w:r>
      <w:r w:rsidRPr="00EE08C7">
        <w:rPr>
          <w:rFonts w:ascii="Times New Roman" w:hAnsi="Times New Roman"/>
          <w:sz w:val="28"/>
          <w:szCs w:val="28"/>
          <w:lang w:val="en-GB"/>
        </w:rPr>
        <w:t>.</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By looking at the intrinsic unconstitutionality issues, the Court notes that they refer to Article 1 of Government Emergency Ordinance no.90/2018, which was deemed to be adopted in breach of Article 3 (1) and Article 36 (1) of Law no.24/2000, as well as of Article II (11), contested in respect of negligent, unclear wording leading to an unpredictable future application.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Article I shall read as follows: “Paragraph (3) of Article 88</w:t>
      </w:r>
      <w:r w:rsidRPr="00EE08C7">
        <w:rPr>
          <w:rFonts w:ascii="Times New Roman" w:hAnsi="Times New Roman"/>
          <w:sz w:val="28"/>
          <w:szCs w:val="28"/>
          <w:vertAlign w:val="superscript"/>
          <w:lang w:val="en-GB"/>
        </w:rPr>
        <w:t>2</w:t>
      </w:r>
      <w:r w:rsidRPr="00EE08C7">
        <w:rPr>
          <w:rFonts w:ascii="Times New Roman" w:hAnsi="Times New Roman"/>
          <w:sz w:val="28"/>
          <w:szCs w:val="28"/>
          <w:lang w:val="en-GB"/>
        </w:rPr>
        <w:t xml:space="preserve"> of Law no.304/2004 on judicial organisation, republished in Official Gazette of Romania, Part I, no. 827 of 13 September 2005, as amended, shall be amended to read as follows: </w:t>
      </w:r>
      <w:r w:rsidRPr="00EE08C7">
        <w:rPr>
          <w:rFonts w:ascii="Times New Roman" w:hAnsi="Times New Roman"/>
          <w:i/>
          <w:sz w:val="28"/>
          <w:szCs w:val="28"/>
          <w:lang w:val="en-GB"/>
        </w:rPr>
        <w:t xml:space="preserve">(3) </w:t>
      </w:r>
      <w:bookmarkStart w:id="41" w:name="_Hlk536004104"/>
      <w:r w:rsidRPr="00EE08C7">
        <w:rPr>
          <w:rFonts w:ascii="Times New Roman" w:hAnsi="Times New Roman"/>
          <w:i/>
          <w:sz w:val="28"/>
          <w:szCs w:val="28"/>
          <w:lang w:val="en-GB"/>
        </w:rPr>
        <w:t xml:space="preserve">The Section for the investigation of justice-related criminal offences </w:t>
      </w:r>
      <w:bookmarkEnd w:id="41"/>
      <w:r w:rsidRPr="00EE08C7">
        <w:rPr>
          <w:rFonts w:ascii="Times New Roman" w:hAnsi="Times New Roman"/>
          <w:i/>
          <w:sz w:val="28"/>
          <w:szCs w:val="28"/>
          <w:lang w:val="en-GB"/>
        </w:rPr>
        <w:t>operates with a number of 15 positions of prosecutor</w:t>
      </w:r>
      <w:r w:rsidRPr="00EE08C7">
        <w:rPr>
          <w:rFonts w:ascii="Times New Roman" w:hAnsi="Times New Roman"/>
          <w:sz w:val="28"/>
          <w:szCs w:val="28"/>
          <w:lang w:val="en-GB"/>
        </w:rPr>
        <w:t>.” The amended legal provision, Article 88</w:t>
      </w:r>
      <w:r w:rsidRPr="00EE08C7">
        <w:rPr>
          <w:rFonts w:ascii="Times New Roman" w:hAnsi="Times New Roman"/>
          <w:sz w:val="28"/>
          <w:szCs w:val="28"/>
          <w:vertAlign w:val="superscript"/>
          <w:lang w:val="en-GB"/>
        </w:rPr>
        <w:t>2</w:t>
      </w:r>
      <w:r w:rsidRPr="00EE08C7">
        <w:rPr>
          <w:rFonts w:ascii="Times New Roman" w:hAnsi="Times New Roman"/>
          <w:sz w:val="28"/>
          <w:szCs w:val="28"/>
          <w:lang w:val="en-GB"/>
        </w:rPr>
        <w:t xml:space="preserve"> (3) of Law no.304/2004, used to read as follows: </w:t>
      </w:r>
      <w:r w:rsidRPr="00EE08C7">
        <w:rPr>
          <w:rFonts w:ascii="Times New Roman" w:hAnsi="Times New Roman"/>
          <w:i/>
          <w:sz w:val="28"/>
          <w:szCs w:val="28"/>
          <w:lang w:val="en-GB"/>
        </w:rPr>
        <w:t>“The Section for the investigation of justice-related criminal offences is composed of a maximum of 15 prosecutors”</w:t>
      </w:r>
      <w:r w:rsidRPr="00EE08C7">
        <w:rPr>
          <w:rFonts w:ascii="Times New Roman" w:hAnsi="Times New Roman"/>
          <w:sz w:val="28"/>
          <w:szCs w:val="28"/>
          <w:lang w:val="en-GB"/>
        </w:rPr>
        <w:t>.</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According to Article II (11) </w:t>
      </w:r>
      <w:r w:rsidRPr="00EE08C7">
        <w:rPr>
          <w:rFonts w:ascii="Times New Roman" w:hAnsi="Times New Roman"/>
          <w:i/>
          <w:sz w:val="28"/>
          <w:szCs w:val="28"/>
          <w:lang w:val="en-GB"/>
        </w:rPr>
        <w:t>“From the date of the operationalisation of the Section for the investigation of justice-related criminal offences, the cases in its scope of competence, pending before the National Anti-Corruption Directorate or other prosecution offices, as well as the files of cases relating to the offences referred to in Article 88</w:t>
      </w:r>
      <w:r w:rsidRPr="00EE08C7">
        <w:rPr>
          <w:rFonts w:ascii="Times New Roman" w:hAnsi="Times New Roman"/>
          <w:i/>
          <w:sz w:val="28"/>
          <w:szCs w:val="28"/>
          <w:vertAlign w:val="superscript"/>
          <w:lang w:val="en-GB"/>
        </w:rPr>
        <w:t>1</w:t>
      </w:r>
      <w:r w:rsidRPr="00EE08C7">
        <w:rPr>
          <w:rFonts w:ascii="Times New Roman" w:hAnsi="Times New Roman"/>
          <w:i/>
          <w:sz w:val="28"/>
          <w:szCs w:val="28"/>
          <w:lang w:val="en-GB"/>
        </w:rPr>
        <w:t xml:space="preserve"> (1) of Law no.</w:t>
      </w:r>
      <w:hyperlink r:id="rId8" w:tooltip="privind organizarea judiciară - Republicare (act publicat in M.Of. 827 din 13-sep-2005)" w:history="1">
        <w:r w:rsidRPr="00EE08C7">
          <w:rPr>
            <w:rFonts w:ascii="Times New Roman" w:hAnsi="Times New Roman"/>
            <w:bCs/>
            <w:i/>
            <w:sz w:val="28"/>
            <w:szCs w:val="28"/>
            <w:lang w:val="en-GB"/>
          </w:rPr>
          <w:t>304/2004</w:t>
        </w:r>
      </w:hyperlink>
      <w:r w:rsidRPr="00EE08C7">
        <w:rPr>
          <w:rFonts w:ascii="Times New Roman" w:hAnsi="Times New Roman"/>
          <w:i/>
          <w:sz w:val="28"/>
          <w:szCs w:val="28"/>
          <w:lang w:val="en-GB"/>
        </w:rPr>
        <w:t>, republished, as subsequently amended and supplemented, and resolved up to the date of that operationalisation shall be taken over by that Section”</w:t>
      </w:r>
      <w:r w:rsidRPr="00EE08C7">
        <w:rPr>
          <w:rFonts w:ascii="Times New Roman" w:hAnsi="Times New Roman"/>
          <w:sz w:val="28"/>
          <w:szCs w:val="28"/>
          <w:lang w:val="en-GB"/>
        </w:rPr>
        <w:t>.</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The criticism relates to the failure to comply with Article 3 (1) in conjunction with Article 36 (1) of Law no.24/2000 on the Government’s obligation to comply with legislative technique rules on the drawing up of draft legislation and </w:t>
      </w:r>
      <w:r w:rsidRPr="00EE08C7">
        <w:rPr>
          <w:rFonts w:ascii="Times New Roman" w:hAnsi="Times New Roman"/>
          <w:sz w:val="28"/>
          <w:szCs w:val="28"/>
          <w:lang w:val="en-GB"/>
        </w:rPr>
        <w:lastRenderedPageBreak/>
        <w:t>on the drafting and adoption of Government ordinances and decisions, namely drafting them in a specific legislative, concise, sober, clear and precise language and legal style, which would exclude any doubt, in strict compliance with grammatical and spelling rules.</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On the question of how to regulate the rules, the Constitutional Court, having regard to the </w:t>
      </w:r>
      <w:r w:rsidRPr="00EE08C7">
        <w:rPr>
          <w:rFonts w:ascii="Times New Roman" w:hAnsi="Times New Roman"/>
          <w:i/>
          <w:sz w:val="28"/>
          <w:szCs w:val="28"/>
          <w:lang w:val="en-GB"/>
        </w:rPr>
        <w:t>principle of the generality of the laws</w:t>
      </w:r>
      <w:r w:rsidRPr="00EE08C7">
        <w:rPr>
          <w:rFonts w:ascii="Times New Roman" w:hAnsi="Times New Roman"/>
          <w:sz w:val="28"/>
          <w:szCs w:val="28"/>
          <w:lang w:val="en-GB"/>
        </w:rPr>
        <w:t>, has held that it may even be difficult to produce full precision legislation and a certain degree of flexibility may prove advisable, provided it does not affect the foreseeability of the law (see, to that effect, Decision no. 903 of 6 July 2010, published in the Official Gazette of Romania, Part I, no. 584 of 17 August 2010, and Decision no. 743 of 2 June 2011, published in the Official Gazette of Romania, Part I, no. 579 of 16 August 2011, or Decision no. 447 of 29 October 2013, published in Official Gazette of Romania, Part I, no. 674 of 1 November 2013, and the case-law of the European Court of Human Rights in Case of Canoni v.France, paragraph 29, judgment of 25 November 1996 in the Case of Wingrove v. the United Kingdom, paragraph 40, judgment of 4 May 2000 in the Case of Rotaru v. Romania, paragraph 55, judgment of 9 November 2006 in the Case of Leempoel &amp; S.A. ED.</w:t>
      </w:r>
      <w:r w:rsidRPr="00EE08C7">
        <w:rPr>
          <w:rFonts w:ascii="Times New Roman" w:hAnsi="Times New Roman"/>
          <w:i/>
          <w:sz w:val="28"/>
          <w:szCs w:val="28"/>
          <w:lang w:val="en-GB"/>
        </w:rPr>
        <w:t xml:space="preserve"> </w:t>
      </w:r>
      <w:r w:rsidRPr="00EE08C7">
        <w:rPr>
          <w:rFonts w:ascii="Times New Roman" w:hAnsi="Times New Roman"/>
          <w:sz w:val="28"/>
          <w:szCs w:val="28"/>
          <w:lang w:val="en-GB"/>
        </w:rPr>
        <w:t xml:space="preserve">Cine Revue v. Belgium, paragraph 59). However, the scope of the notion of </w:t>
      </w:r>
      <w:r w:rsidRPr="00EE08C7">
        <w:rPr>
          <w:rFonts w:ascii="Times New Roman" w:hAnsi="Times New Roman"/>
          <w:i/>
          <w:sz w:val="28"/>
          <w:szCs w:val="28"/>
          <w:lang w:val="en-GB"/>
        </w:rPr>
        <w:t>foreseeability</w:t>
      </w:r>
      <w:r w:rsidRPr="00EE08C7">
        <w:rPr>
          <w:rFonts w:ascii="Times New Roman" w:hAnsi="Times New Roman"/>
          <w:sz w:val="28"/>
          <w:szCs w:val="28"/>
          <w:lang w:val="en-GB"/>
        </w:rPr>
        <w:t xml:space="preserve"> depends to a large extent on the content of the text in question, the area to which it refers, and the number and the capacity of its recipients. Such consequences do not need to be foreseeable with absolute certainty. Such certainty, however desirable, is impossible to achieve and, moreover, may give rise to excessive regulatory rigidity. Therefore, the existence of problems of interpretation and application of the law is inherent to any system of law since, inevitably, legal rules have a certain degree of generality.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However, by looking at the provisions in the light of the criticisms made, the Court notes that the rules criticised not only do not have a general wording, but rather lay down clearly and rigorously the regulated area, being certain and foreseeable as to the effects they produce.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lastRenderedPageBreak/>
        <w:t xml:space="preserve">Thus, the provisions of Article 1 of Government Emergency Ordinance no.90/2018 set out unequivocally the number of prosecutors’ positions working within the Section for the investigation of justice-related criminal offences, namely 15 prosecutors. The rule is clear, simple, concise, not susceptible to multiple interpretations. </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The provisions of Article II (11) of the Emergency Ordinance regulates the taking over by the Section for the investigation of justice-related criminal offences of the cases pertaining to its exclusive competence, as laid down in Article 88 (1) of Law no.304/2004, i.e. the power to investigate criminal offences committed by judges and prosecutors, including military judges and prosecutors, and those who are members of the Superior Council of Magistracy. The cases taken over are both those pending before the National Anti-Corruption Directorate and other public prosecutor’s offices on the date that the Section is operationalised and those settled by the date of this operationalisation. Considering the wording of these provisions, the Court notes that the provisions meet the qualitative requirements of the rule, as they use a specific, concise, clear and unambiguous legal language. The rule is foreseeable and, also taking into account the capacity of its recipients — prosecutors within the structures of public prosecutor’s offices who investigate or have investigated cases of criminal offences committed by judges and prosecutors, raises no problems of interpretation or non-unitary application.</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In the light of these arguments, the Court finds that </w:t>
      </w:r>
      <w:r w:rsidRPr="00EE08C7">
        <w:rPr>
          <w:rFonts w:ascii="Times New Roman" w:hAnsi="Times New Roman"/>
          <w:b/>
          <w:i/>
          <w:sz w:val="28"/>
          <w:szCs w:val="28"/>
          <w:lang w:val="en-GB"/>
        </w:rPr>
        <w:t xml:space="preserve">the provisions of Article I and Article II (11) of </w:t>
      </w:r>
      <w:bookmarkStart w:id="42" w:name="_Hlk536033462"/>
      <w:r w:rsidRPr="00EE08C7">
        <w:rPr>
          <w:rFonts w:ascii="Times New Roman" w:hAnsi="Times New Roman"/>
          <w:b/>
          <w:i/>
          <w:sz w:val="28"/>
          <w:szCs w:val="28"/>
          <w:lang w:val="en-GB"/>
        </w:rPr>
        <w:t xml:space="preserve">Government Emergency Ordinance no.90/2018 </w:t>
      </w:r>
      <w:bookmarkEnd w:id="42"/>
      <w:r w:rsidRPr="00EE08C7">
        <w:rPr>
          <w:rFonts w:ascii="Times New Roman" w:hAnsi="Times New Roman"/>
          <w:b/>
          <w:i/>
          <w:sz w:val="28"/>
          <w:szCs w:val="28"/>
          <w:lang w:val="en-GB"/>
        </w:rPr>
        <w:t>comply with the rules of legislative technique and are fully in line with the constitutional rule set out in Article 1 (5).</w:t>
      </w:r>
    </w:p>
    <w:p w:rsidR="003044A6" w:rsidRPr="00EE08C7" w:rsidRDefault="003044A6" w:rsidP="003044A6">
      <w:pPr>
        <w:pStyle w:val="ListParagraph"/>
        <w:numPr>
          <w:ilvl w:val="0"/>
          <w:numId w:val="2"/>
        </w:numPr>
        <w:suppressAutoHyphens w:val="0"/>
        <w:spacing w:after="0" w:line="360" w:lineRule="auto"/>
        <w:ind w:left="0" w:firstLine="720"/>
        <w:jc w:val="both"/>
        <w:rPr>
          <w:rFonts w:ascii="Times New Roman" w:hAnsi="Times New Roman" w:cs="Times New Roman"/>
          <w:sz w:val="28"/>
          <w:szCs w:val="28"/>
          <w:lang w:val="en-GB"/>
        </w:rPr>
      </w:pPr>
      <w:r w:rsidRPr="00EE08C7">
        <w:rPr>
          <w:rFonts w:ascii="Times New Roman" w:hAnsi="Times New Roman"/>
          <w:sz w:val="28"/>
          <w:szCs w:val="28"/>
          <w:lang w:val="en-GB"/>
        </w:rPr>
        <w:t xml:space="preserve">For the reasons set out under Article 146 (a) and Article 147 (4) of </w:t>
      </w:r>
      <w:hyperlink r:id="rId9" w:history="1">
        <w:r w:rsidRPr="00EE08C7">
          <w:rPr>
            <w:rFonts w:ascii="Times New Roman" w:hAnsi="Times New Roman"/>
            <w:bCs/>
            <w:sz w:val="28"/>
            <w:szCs w:val="28"/>
            <w:lang w:val="en-GB"/>
          </w:rPr>
          <w:t>the Constitution</w:t>
        </w:r>
      </w:hyperlink>
      <w:r w:rsidRPr="00EE08C7">
        <w:rPr>
          <w:rFonts w:ascii="Times New Roman" w:hAnsi="Times New Roman"/>
          <w:sz w:val="28"/>
          <w:szCs w:val="28"/>
          <w:lang w:val="en-GB"/>
        </w:rPr>
        <w:t>, as well as Article 11 (1) (A) (a), Article 15 (1) and Article 18 (2) of Law no.</w:t>
      </w:r>
      <w:hyperlink r:id="rId10" w:tooltip="privind organizarea şi funcţionarea Curţii Constituţionale - REPUBLICARE (act publicat in M.Of. 807 din 03-dec-2010)" w:history="1">
        <w:r w:rsidRPr="00EE08C7">
          <w:rPr>
            <w:rFonts w:ascii="Times New Roman" w:hAnsi="Times New Roman"/>
            <w:bCs/>
            <w:sz w:val="28"/>
            <w:szCs w:val="28"/>
            <w:lang w:val="en-GB"/>
          </w:rPr>
          <w:t>47/1992</w:t>
        </w:r>
      </w:hyperlink>
      <w:r w:rsidRPr="00EE08C7">
        <w:rPr>
          <w:rFonts w:ascii="Times New Roman" w:hAnsi="Times New Roman"/>
          <w:sz w:val="28"/>
          <w:szCs w:val="28"/>
          <w:lang w:val="en-GB"/>
        </w:rPr>
        <w:t xml:space="preserve">, by majority vote, </w:t>
      </w:r>
    </w:p>
    <w:p w:rsidR="003044A6" w:rsidRPr="00EE08C7" w:rsidRDefault="003044A6" w:rsidP="003044A6">
      <w:pPr>
        <w:spacing w:after="0" w:line="360" w:lineRule="auto"/>
        <w:ind w:firstLine="720"/>
        <w:jc w:val="center"/>
        <w:rPr>
          <w:rFonts w:ascii="Times New Roman" w:eastAsia="Times New Roman" w:hAnsi="Times New Roman" w:cs="Times New Roman"/>
          <w:b/>
          <w:sz w:val="28"/>
          <w:szCs w:val="28"/>
          <w:lang w:val="en-GB"/>
        </w:rPr>
      </w:pPr>
      <w:bookmarkStart w:id="43" w:name="do|pa66"/>
      <w:r w:rsidRPr="00EE08C7">
        <w:rPr>
          <w:rFonts w:ascii="Times New Roman" w:hAnsi="Times New Roman"/>
          <w:b/>
          <w:sz w:val="28"/>
          <w:szCs w:val="28"/>
          <w:lang w:val="en-GB"/>
        </w:rPr>
        <w:t>THE CONSTITUTIONAL COURT</w:t>
      </w:r>
    </w:p>
    <w:p w:rsidR="003044A6" w:rsidRPr="00EE08C7" w:rsidRDefault="003044A6" w:rsidP="003044A6">
      <w:pPr>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lastRenderedPageBreak/>
        <w:t>In the name of the law</w:t>
      </w:r>
    </w:p>
    <w:p w:rsidR="003044A6" w:rsidRPr="00EE08C7" w:rsidRDefault="003044A6" w:rsidP="003044A6">
      <w:pPr>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DECIDES: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bookmarkStart w:id="44" w:name="do|pa68"/>
      <w:bookmarkEnd w:id="43"/>
      <w:r w:rsidRPr="00EE08C7">
        <w:rPr>
          <w:rFonts w:ascii="Times New Roman" w:hAnsi="Times New Roman"/>
          <w:sz w:val="28"/>
          <w:szCs w:val="28"/>
          <w:lang w:val="en-GB"/>
        </w:rPr>
        <w:t>Dismisses the objection of unconstitutionality formulated by 92 MPs belonging to the Parliamentary Group of the National Liberal Party and to the Parliamentary Group of the Save Romania Union, and finds that the Law approving Government Emergency Ordinance no. 90/2018 on certain measures for the operationalisation of the Section for the investigation of justice-related criminal offences is constitutional in relation to the criticisms made.</w:t>
      </w:r>
    </w:p>
    <w:bookmarkEnd w:id="44"/>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Final and generally binding.</w:t>
      </w:r>
      <w:bookmarkStart w:id="45" w:name="do|pa69"/>
    </w:p>
    <w:bookmarkEnd w:id="45"/>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eastAsia="Times New Roman"/>
          <w:lang w:val="en-GB"/>
        </w:rPr>
        <w:fldChar w:fldCharType="begin"/>
      </w:r>
      <w:r w:rsidRPr="00EE08C7">
        <w:rPr>
          <w:rFonts w:eastAsia="Times New Roman"/>
          <w:lang w:val="en-GB"/>
        </w:rPr>
        <w:instrText xml:space="preserve"> HYPERLINK "file:///C:\\Documents and Settings\\user\\sintact 3.0\\cache\\Legislatie\\temp132756\\00149504.HTM" \l "file:///C:\\Documents and Settings\\user\\sintact 3.0\\cache\\Legislatie\\temp132756\\00149504.HTM" </w:instrText>
      </w:r>
      <w:r w:rsidRPr="00EE08C7">
        <w:rPr>
          <w:rFonts w:eastAsia="Times New Roman"/>
          <w:lang w:val="en-GB"/>
        </w:rPr>
        <w:fldChar w:fldCharType="end"/>
      </w:r>
      <w:r w:rsidRPr="00EE08C7">
        <w:rPr>
          <w:rFonts w:ascii="Times New Roman" w:hAnsi="Times New Roman"/>
          <w:sz w:val="28"/>
          <w:szCs w:val="28"/>
          <w:lang w:val="en-GB"/>
        </w:rPr>
        <w:t>The decision shall be communicated to the President of Romania and published in the Official Gazette of Romania, Part I.</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Delivered in public hearing on 13 March 2019.</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bCs/>
          <w:sz w:val="28"/>
          <w:szCs w:val="28"/>
          <w:lang w:val="en-GB"/>
        </w:rPr>
      </w:pP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DISSENTING OPINION</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b/>
        <w:t xml:space="preserve">In disagreement with the majority vote by the Constitutional Court, we consider that </w:t>
      </w:r>
      <w:r w:rsidRPr="00EE08C7">
        <w:rPr>
          <w:rFonts w:ascii="Times New Roman" w:hAnsi="Times New Roman"/>
          <w:b/>
          <w:i/>
          <w:sz w:val="28"/>
          <w:szCs w:val="28"/>
          <w:lang w:val="en-GB"/>
        </w:rPr>
        <w:t>the Constitutional Court should have upheld the objection of unconstitutionality, declaring unconstitutional the Law approving Government Emergency Ordinance no..90/2018 on certain measures for the operationalisation of the Section for the investigation of justice-related criminal offences, as well as the Government Emergency Ordinance no.90/2018, as a whole</w:t>
      </w:r>
      <w:r w:rsidRPr="00EE08C7">
        <w:rPr>
          <w:rFonts w:ascii="Times New Roman" w:hAnsi="Times New Roman"/>
          <w:sz w:val="28"/>
          <w:szCs w:val="28"/>
          <w:lang w:val="en-GB"/>
        </w:rPr>
        <w:t>.</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b/>
        <w:t xml:space="preserve">Contrary to those held by the Court, in the majority opinion, we consider that the objection of unconstitutionality with reference to Article 115 (6) of the Constitution was admissible in the light of the arguments set out below. Thus, by Decision no. </w:t>
      </w:r>
      <w:r w:rsidRPr="00EE08C7">
        <w:rPr>
          <w:rFonts w:ascii="Times New Roman" w:hAnsi="Times New Roman"/>
          <w:i/>
          <w:sz w:val="28"/>
          <w:szCs w:val="28"/>
          <w:lang w:val="en-GB"/>
        </w:rPr>
        <w:t>1313 of 4 October 2011</w:t>
      </w:r>
      <w:r w:rsidRPr="00EE08C7">
        <w:rPr>
          <w:rFonts w:ascii="Times New Roman" w:hAnsi="Times New Roman"/>
          <w:sz w:val="28"/>
          <w:szCs w:val="28"/>
          <w:lang w:val="en-GB"/>
        </w:rPr>
        <w:t xml:space="preserve">, published in the Official Gazette of Romania, Part I, no. 12 of 6 January 2012, the Court outlined a certain inherent and intrinsic structure to any criticism of unconstitutionality (whether it is invoked within the </w:t>
      </w:r>
      <w:r w:rsidRPr="00EE08C7">
        <w:rPr>
          <w:rFonts w:ascii="Times New Roman" w:hAnsi="Times New Roman"/>
          <w:i/>
          <w:sz w:val="28"/>
          <w:szCs w:val="28"/>
          <w:lang w:val="en-GB"/>
        </w:rPr>
        <w:t>a priori</w:t>
      </w:r>
      <w:r w:rsidRPr="00EE08C7">
        <w:rPr>
          <w:rFonts w:ascii="Times New Roman" w:hAnsi="Times New Roman"/>
          <w:sz w:val="28"/>
          <w:szCs w:val="28"/>
          <w:lang w:val="en-GB"/>
        </w:rPr>
        <w:t xml:space="preserve"> constitutional review, by means of an objection, or within the </w:t>
      </w:r>
      <w:r w:rsidRPr="00EE08C7">
        <w:rPr>
          <w:rFonts w:ascii="Times New Roman" w:hAnsi="Times New Roman"/>
          <w:i/>
          <w:sz w:val="28"/>
          <w:szCs w:val="28"/>
          <w:lang w:val="en-GB"/>
        </w:rPr>
        <w:t>a posteriori</w:t>
      </w:r>
      <w:r w:rsidRPr="00EE08C7">
        <w:rPr>
          <w:rFonts w:ascii="Times New Roman" w:hAnsi="Times New Roman"/>
          <w:sz w:val="28"/>
          <w:szCs w:val="28"/>
          <w:lang w:val="en-GB"/>
        </w:rPr>
        <w:t xml:space="preserve"> </w:t>
      </w:r>
      <w:r w:rsidRPr="00EE08C7">
        <w:rPr>
          <w:rFonts w:ascii="Times New Roman" w:hAnsi="Times New Roman"/>
          <w:sz w:val="28"/>
          <w:szCs w:val="28"/>
          <w:lang w:val="en-GB"/>
        </w:rPr>
        <w:lastRenderedPageBreak/>
        <w:t>review, by means of an exception). The Court pointed out that “</w:t>
      </w:r>
      <w:r w:rsidRPr="00EE08C7">
        <w:rPr>
          <w:rFonts w:ascii="Times New Roman" w:hAnsi="Times New Roman"/>
          <w:i/>
          <w:sz w:val="28"/>
          <w:szCs w:val="28"/>
          <w:lang w:val="en-GB"/>
        </w:rPr>
        <w:t xml:space="preserve">it comprises 3 elements: the text challenged in terms of constitutionality, the allegedly infringed reference text and the reliance by the author of the exception on the existing contradictory relationship between the two texts, i.e. the grounds for the unconstitutionality of the text criticised. The first obvious element of the exception consists either in a simple indication of the allegedly unconstitutional text, or in the mentioning of its normative content, and the second element consists in the indication of the allegedly breached constitutional text or principle. While the first two elements can be determined on an absolute basis, the third element entails a certain degree of relativity determined precisely by its subjective nature. Thus, the reasoning of the exception, as an element of the exception, is not necessarily a material or quantitative criterion but, on the contrary, it results from the dynamics of the first elements. Therefore, the reasoning of the exception is not a condition </w:t>
      </w:r>
      <w:r w:rsidRPr="00EE08C7">
        <w:rPr>
          <w:rFonts w:ascii="Times New Roman" w:hAnsi="Times New Roman"/>
          <w:sz w:val="28"/>
          <w:szCs w:val="28"/>
          <w:lang w:val="en-GB"/>
        </w:rPr>
        <w:t>sine qua non</w:t>
      </w:r>
      <w:r w:rsidRPr="00EE08C7">
        <w:rPr>
          <w:rFonts w:ascii="Times New Roman" w:hAnsi="Times New Roman"/>
          <w:i/>
          <w:sz w:val="28"/>
          <w:szCs w:val="28"/>
          <w:lang w:val="en-GB"/>
        </w:rPr>
        <w:t xml:space="preserve"> of its existence</w:t>
      </w:r>
      <w:r w:rsidR="00EE08C7">
        <w:rPr>
          <w:rFonts w:ascii="Times New Roman" w:hAnsi="Times New Roman"/>
          <w:sz w:val="28"/>
          <w:szCs w:val="28"/>
          <w:lang w:val="en-GB"/>
        </w:rPr>
        <w:t>”</w:t>
      </w:r>
      <w:r w:rsidRPr="00EE08C7">
        <w:rPr>
          <w:rFonts w:ascii="Times New Roman" w:hAnsi="Times New Roman"/>
          <w:sz w:val="28"/>
          <w:szCs w:val="28"/>
          <w:lang w:val="en-GB"/>
        </w:rPr>
        <w:t>. In these circumstances, the Court found that “</w:t>
      </w:r>
      <w:r w:rsidRPr="00EE08C7">
        <w:rPr>
          <w:rFonts w:ascii="Times New Roman" w:hAnsi="Times New Roman"/>
          <w:i/>
          <w:sz w:val="28"/>
          <w:szCs w:val="28"/>
          <w:lang w:val="en-GB"/>
        </w:rPr>
        <w:t>where the reference text cited is sufficiently precise and clear, so that the Constitutional Court could reasonably retain the existence of a minimum challenge of unconstitutionality, it is obliged to examine the exception of unconstitutionality on the merits and therefore consider that its author has complied with and included in the exception raised the 3 items mentioned</w:t>
      </w:r>
      <w:r w:rsidRPr="00EE08C7">
        <w:rPr>
          <w:rFonts w:ascii="Times New Roman" w:hAnsi="Times New Roman"/>
          <w:sz w:val="28"/>
          <w:szCs w:val="28"/>
          <w:lang w:val="en-GB"/>
        </w:rPr>
        <w:t xml:space="preserve">”. These considerations relating to the content elements of the exception of unconstitutionality are fully applicable also in relation to the objection of unconstitutionality (see in this respect, within the </w:t>
      </w:r>
      <w:r w:rsidRPr="00EE08C7">
        <w:rPr>
          <w:rFonts w:ascii="Times New Roman" w:hAnsi="Times New Roman"/>
          <w:i/>
          <w:sz w:val="28"/>
          <w:szCs w:val="28"/>
          <w:lang w:val="en-GB"/>
        </w:rPr>
        <w:t>a priori</w:t>
      </w:r>
      <w:r w:rsidRPr="00EE08C7">
        <w:rPr>
          <w:rFonts w:ascii="Times New Roman" w:hAnsi="Times New Roman"/>
          <w:sz w:val="28"/>
          <w:szCs w:val="28"/>
          <w:lang w:val="en-GB"/>
        </w:rPr>
        <w:t xml:space="preserve"> review, </w:t>
      </w:r>
      <w:r w:rsidR="00EE08C7">
        <w:rPr>
          <w:rFonts w:ascii="Times New Roman" w:hAnsi="Times New Roman"/>
          <w:sz w:val="28"/>
          <w:szCs w:val="28"/>
          <w:lang w:val="en-GB"/>
        </w:rPr>
        <w:t>Decision no. 919 of 6 July 2011</w:t>
      </w:r>
      <w:r w:rsidRPr="00EE08C7">
        <w:rPr>
          <w:rFonts w:ascii="Times New Roman" w:hAnsi="Times New Roman"/>
          <w:sz w:val="28"/>
          <w:szCs w:val="28"/>
          <w:lang w:val="en-GB"/>
        </w:rPr>
        <w:t xml:space="preserve">, published in the Official Gazette of Romania, Part I, no. 504 of 15 July 2011).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b/>
        <w:t xml:space="preserve">By applying those stated in the settled case-law of the Constitutional Court in the present case, we note that the authors of objection of unconstitutionality have indicated the allegedly unconstitutional text (the provisions of Government Emergency Ordinance no.90/2018) and the alleged breached constitutional text or principle [Article 115 (6) in conjunction with Article 131 (1) and (2) of the </w:t>
      </w:r>
      <w:r w:rsidRPr="00EE08C7">
        <w:rPr>
          <w:rFonts w:ascii="Times New Roman" w:hAnsi="Times New Roman"/>
          <w:sz w:val="28"/>
          <w:szCs w:val="28"/>
          <w:lang w:val="en-GB"/>
        </w:rPr>
        <w:lastRenderedPageBreak/>
        <w:t xml:space="preserve">Constitution]. In view of the legislative content of the impugned act, namely measures to make a public prosecutor’s structure within the Public Ministry operational, on the one hand, and the constitutional rules enshrining the regime of fundamental institution of the State in relation to the Public Ministry, on the other hand, it appears clearly that the reasons themselves underlying the objection as a constituent part stem from the dynamics of those elements. Therefore, also taking into account that the materiality of the statement of reasons underlying the objection is not a condition </w:t>
      </w:r>
      <w:r w:rsidRPr="00EE08C7">
        <w:rPr>
          <w:rFonts w:ascii="Times New Roman" w:hAnsi="Times New Roman"/>
          <w:i/>
          <w:sz w:val="28"/>
          <w:szCs w:val="28"/>
          <w:lang w:val="en-GB"/>
        </w:rPr>
        <w:t>sine qua non</w:t>
      </w:r>
      <w:r w:rsidRPr="00EE08C7">
        <w:rPr>
          <w:rFonts w:ascii="Times New Roman" w:hAnsi="Times New Roman"/>
          <w:sz w:val="28"/>
          <w:szCs w:val="28"/>
          <w:lang w:val="en-GB"/>
        </w:rPr>
        <w:t xml:space="preserve"> of the existence thereof, the Court should have found that the reference text cited was sufficiently precise and clear so that it could reasonably retain the existence of a minimum challenge of unconstitutionality, with the consequence of the substantive analysis of the objection of unconstitutionality. However, the Court has chosen to evade the obligation to carry out the review of constitutionality by reference to the rules invoked in light of the lack of motivation by the authors of the objection of unconstitutionality.</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As regards the merits of the objection of unconstitutionality, starting from the meaning of </w:t>
      </w:r>
      <w:r w:rsidRPr="00EE08C7">
        <w:rPr>
          <w:rFonts w:ascii="Times New Roman" w:hAnsi="Times New Roman"/>
          <w:b/>
          <w:i/>
          <w:sz w:val="28"/>
          <w:szCs w:val="28"/>
          <w:lang w:val="en-GB"/>
        </w:rPr>
        <w:t>Article 115 (6) of the Fundamental Law</w:t>
      </w:r>
      <w:r w:rsidRPr="00EE08C7">
        <w:rPr>
          <w:rFonts w:ascii="Times New Roman" w:hAnsi="Times New Roman"/>
          <w:sz w:val="28"/>
          <w:szCs w:val="28"/>
          <w:lang w:val="en-GB"/>
        </w:rPr>
        <w:t xml:space="preserve"> established by the Constitutional Court in a settled case law, initiated by Decision no. 1.189 of 6 November 2008, published in the Official Gazette of Romania, Part I, no. 787 of 25 November 2008, according to which “emergency ordinances cannot be adopted if they «affect», if they have adverse consequences, but may instead be adopted if, through the regulations contained therein, they have positive consequences in the fields which they regulate”, and thus not any legislative measure adopted by means of an emergency ordinance and which concerns the organisational structure of fundamental institutions of the State is such as to infringe Article 115 (6) of the Constitution, “in so far as it affects neither the administrative capacity nor their operation”.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However, even if the purpose of the regulation and the temporary nature of its application justifies the intervention of the delegated legislator by means of an </w:t>
      </w:r>
      <w:r w:rsidRPr="00EE08C7">
        <w:rPr>
          <w:rFonts w:ascii="Times New Roman" w:hAnsi="Times New Roman"/>
          <w:sz w:val="28"/>
          <w:szCs w:val="28"/>
          <w:lang w:val="en-GB"/>
        </w:rPr>
        <w:lastRenderedPageBreak/>
        <w:t>emergency ordinance, and thus the provisions of Article 115 (4) of the Constitution have been complied with, the specific way in which it has understood to cover the extraordinary situation found does not comply with the constitutional requirements referred to in Article 115 (6).</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Thus, when examining</w:t>
      </w:r>
      <w:r w:rsidRPr="00EE08C7">
        <w:rPr>
          <w:rFonts w:ascii="Times New Roman" w:hAnsi="Times New Roman"/>
          <w:b/>
          <w:i/>
          <w:sz w:val="28"/>
          <w:szCs w:val="28"/>
          <w:lang w:val="en-GB"/>
        </w:rPr>
        <w:t xml:space="preserve"> the normative content of the emergency ordinance, we retain that it is seeking to derogate from the provisions of Articles 88</w:t>
      </w:r>
      <w:r w:rsidRPr="00EE08C7">
        <w:rPr>
          <w:rFonts w:ascii="Times New Roman" w:hAnsi="Times New Roman"/>
          <w:b/>
          <w:i/>
          <w:sz w:val="28"/>
          <w:szCs w:val="28"/>
          <w:vertAlign w:val="superscript"/>
          <w:lang w:val="en-GB"/>
        </w:rPr>
        <w:t>3</w:t>
      </w:r>
      <w:r w:rsidRPr="00EE08C7">
        <w:rPr>
          <w:rFonts w:ascii="Times New Roman" w:hAnsi="Times New Roman"/>
          <w:b/>
          <w:i/>
          <w:sz w:val="28"/>
          <w:szCs w:val="28"/>
          <w:lang w:val="en-GB"/>
        </w:rPr>
        <w:t>-88</w:t>
      </w:r>
      <w:r w:rsidRPr="00EE08C7">
        <w:rPr>
          <w:rFonts w:ascii="Times New Roman" w:hAnsi="Times New Roman"/>
          <w:b/>
          <w:i/>
          <w:sz w:val="28"/>
          <w:szCs w:val="28"/>
          <w:vertAlign w:val="superscript"/>
          <w:lang w:val="en-GB"/>
        </w:rPr>
        <w:t>5</w:t>
      </w:r>
      <w:r w:rsidRPr="00EE08C7">
        <w:rPr>
          <w:rFonts w:ascii="Times New Roman" w:hAnsi="Times New Roman"/>
          <w:b/>
          <w:i/>
          <w:sz w:val="28"/>
          <w:szCs w:val="28"/>
          <w:lang w:val="en-GB"/>
        </w:rPr>
        <w:t xml:space="preserve"> of Law no. 304/2004</w:t>
      </w:r>
      <w:r w:rsidRPr="00EE08C7">
        <w:rPr>
          <w:rFonts w:ascii="Times New Roman" w:hAnsi="Times New Roman"/>
          <w:sz w:val="28"/>
          <w:szCs w:val="28"/>
          <w:lang w:val="en-GB"/>
        </w:rPr>
        <w:t xml:space="preserve"> on the organisation of justice, republished, as amended, which govern the appointment of the Chief Prosecutor of the Section for the investigation of justice-related criminal offences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the appointment of the Deputy Chief Prosecutor of the Section (Article 88</w:t>
      </w:r>
      <w:r w:rsidRPr="00EE08C7">
        <w:rPr>
          <w:rFonts w:ascii="Times New Roman" w:hAnsi="Times New Roman"/>
          <w:sz w:val="28"/>
          <w:szCs w:val="28"/>
          <w:vertAlign w:val="superscript"/>
          <w:lang w:val="en-GB"/>
        </w:rPr>
        <w:t>4</w:t>
      </w:r>
      <w:r w:rsidRPr="00EE08C7">
        <w:rPr>
          <w:rFonts w:ascii="Times New Roman" w:hAnsi="Times New Roman"/>
          <w:sz w:val="28"/>
          <w:szCs w:val="28"/>
          <w:lang w:val="en-GB"/>
        </w:rPr>
        <w:t>) respectively of the Prosecutors of the Section (Article 88</w:t>
      </w:r>
      <w:r w:rsidRPr="00EE08C7">
        <w:rPr>
          <w:rFonts w:ascii="Times New Roman" w:hAnsi="Times New Roman"/>
          <w:sz w:val="28"/>
          <w:szCs w:val="28"/>
          <w:vertAlign w:val="superscript"/>
          <w:lang w:val="en-GB"/>
        </w:rPr>
        <w:t>5</w:t>
      </w:r>
      <w:r w:rsidRPr="00EE08C7">
        <w:rPr>
          <w:rFonts w:ascii="Times New Roman" w:hAnsi="Times New Roman"/>
          <w:sz w:val="28"/>
          <w:szCs w:val="28"/>
          <w:lang w:val="en-GB"/>
        </w:rPr>
        <w:t xml:space="preserve">), setting out the selection conditions and the competition procedure.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According to Article 88</w:t>
      </w:r>
      <w:r w:rsidRPr="00EE08C7">
        <w:rPr>
          <w:rFonts w:ascii="Times New Roman" w:hAnsi="Times New Roman"/>
          <w:sz w:val="28"/>
          <w:szCs w:val="28"/>
          <w:vertAlign w:val="superscript"/>
          <w:lang w:val="en-GB"/>
        </w:rPr>
        <w:t xml:space="preserve">5 </w:t>
      </w:r>
      <w:r w:rsidRPr="00EE08C7">
        <w:rPr>
          <w:rFonts w:ascii="Times New Roman" w:hAnsi="Times New Roman"/>
          <w:sz w:val="28"/>
          <w:szCs w:val="28"/>
          <w:lang w:val="en-GB"/>
        </w:rPr>
        <w:t>(1) of Law no.303/2004, prosecutors must meet all of the following conditions in order to be appointed within the Section for the investigation of justice-related criminal offences: they must have not been subject to disciplinary penalties in the last 3 years, have at least the rank of prosecutor within a prosecutor’s office attached to a court of appeal, have an actual professional experience of at least 18 years in the position of prosecutor, have good professional training and an irreproachable moral conduct.</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According to </w:t>
      </w:r>
      <w:r w:rsidRPr="00EE08C7">
        <w:rPr>
          <w:rFonts w:ascii="Times New Roman" w:hAnsi="Times New Roman"/>
          <w:b/>
          <w:sz w:val="28"/>
          <w:szCs w:val="28"/>
          <w:lang w:val="en-GB"/>
        </w:rPr>
        <w:t>Article 88</w:t>
      </w:r>
      <w:r w:rsidRPr="00EE08C7">
        <w:rPr>
          <w:rFonts w:ascii="Times New Roman" w:hAnsi="Times New Roman"/>
          <w:b/>
          <w:sz w:val="28"/>
          <w:szCs w:val="28"/>
          <w:vertAlign w:val="superscript"/>
          <w:lang w:val="en-GB"/>
        </w:rPr>
        <w:t>3</w:t>
      </w:r>
      <w:r w:rsidRPr="00EE08C7">
        <w:rPr>
          <w:rFonts w:ascii="Times New Roman" w:hAnsi="Times New Roman"/>
          <w:b/>
          <w:sz w:val="28"/>
          <w:szCs w:val="28"/>
          <w:lang w:val="en-GB"/>
        </w:rPr>
        <w:t xml:space="preserve"> (2) of Law no.303/2004</w:t>
      </w:r>
      <w:r w:rsidRPr="00EE08C7">
        <w:rPr>
          <w:rFonts w:ascii="Times New Roman" w:hAnsi="Times New Roman"/>
          <w:sz w:val="28"/>
          <w:szCs w:val="28"/>
          <w:lang w:val="en-GB"/>
        </w:rPr>
        <w:t xml:space="preserve">, </w:t>
      </w:r>
      <w:r w:rsidRPr="00EE08C7">
        <w:rPr>
          <w:rFonts w:ascii="Times New Roman" w:hAnsi="Times New Roman"/>
          <w:b/>
          <w:i/>
          <w:sz w:val="28"/>
          <w:szCs w:val="28"/>
          <w:lang w:val="en-GB"/>
        </w:rPr>
        <w:t>the competition committee consists of 3 judge members</w:t>
      </w:r>
      <w:r w:rsidRPr="00EE08C7">
        <w:rPr>
          <w:rFonts w:ascii="Times New Roman" w:hAnsi="Times New Roman"/>
          <w:sz w:val="28"/>
          <w:szCs w:val="28"/>
          <w:lang w:val="en-GB"/>
        </w:rPr>
        <w:t xml:space="preserve">, who are members of the Section for Judges and have operated at a court having at least rank of court of appeal, designated by the Section for Judges, and </w:t>
      </w:r>
      <w:r w:rsidRPr="00EE08C7">
        <w:rPr>
          <w:rFonts w:ascii="Times New Roman" w:hAnsi="Times New Roman"/>
          <w:b/>
          <w:i/>
          <w:sz w:val="28"/>
          <w:szCs w:val="28"/>
          <w:lang w:val="en-GB"/>
        </w:rPr>
        <w:t>a prosecutor</w:t>
      </w:r>
      <w:r w:rsidRPr="00EE08C7">
        <w:rPr>
          <w:rFonts w:ascii="Times New Roman" w:hAnsi="Times New Roman"/>
          <w:i/>
          <w:sz w:val="28"/>
          <w:szCs w:val="28"/>
          <w:lang w:val="en-GB"/>
        </w:rPr>
        <w:t xml:space="preserve"> </w:t>
      </w:r>
      <w:r w:rsidRPr="00EE08C7">
        <w:rPr>
          <w:rFonts w:ascii="Times New Roman" w:hAnsi="Times New Roman"/>
          <w:b/>
          <w:i/>
          <w:sz w:val="28"/>
          <w:szCs w:val="28"/>
          <w:lang w:val="en-GB"/>
        </w:rPr>
        <w:t>member</w:t>
      </w:r>
      <w:r w:rsidRPr="00EE08C7">
        <w:rPr>
          <w:rFonts w:ascii="Times New Roman" w:hAnsi="Times New Roman"/>
          <w:sz w:val="28"/>
          <w:szCs w:val="28"/>
          <w:lang w:val="en-GB"/>
        </w:rPr>
        <w:t>, who is part of the Section for Public Prosecutors and has operated at a public prosecutor’s office at the least as the rank of court of appeal, designated by the Section for Public Prosecutors.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The competition for the position of Chief Prosecutor of the Section for the investigation of justice-related criminal offences consists, pursuant to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(1), in the presentation of a project on the performance of the duties specific to the </w:t>
      </w:r>
      <w:r w:rsidRPr="00EE08C7">
        <w:rPr>
          <w:rFonts w:ascii="Times New Roman" w:hAnsi="Times New Roman"/>
          <w:sz w:val="28"/>
          <w:szCs w:val="28"/>
          <w:lang w:val="en-GB"/>
        </w:rPr>
        <w:lastRenderedPageBreak/>
        <w:t>respective management function, pointing out on the management skills, the efficient management of resources, the ability to take on decisions and responsibilities, communication skills and resistance to stress, as well as the integrity of the applicant, the assessment of his/her work as a prosecutor and the manner in which he/she relates to values specific to the profession, such as the independence of the judiciary or respect for fundamental rights and freedoms.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The competition committee will propose to the Plenum of the Superior Council of Magistracy the appointment of the Chief Prosecutor of the Section for the investigation of justice-related criminal offences, after evaluating the applications and the projects, following an interview, in accordance with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(6), the Chief Prosecutor of the Section being appointed to the office by the Plenum of the Superior Council of Magistracy, for a period of 3 years, with the possibility of being reinstated only once, on the basis of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(1) and (8).</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Pursuant to Article 88</w:t>
      </w:r>
      <w:r w:rsidRPr="00EE08C7">
        <w:rPr>
          <w:rFonts w:ascii="Times New Roman" w:hAnsi="Times New Roman"/>
          <w:sz w:val="28"/>
          <w:szCs w:val="28"/>
          <w:vertAlign w:val="superscript"/>
          <w:lang w:val="en-GB"/>
        </w:rPr>
        <w:t>5</w:t>
      </w:r>
      <w:r w:rsidRPr="00EE08C7">
        <w:rPr>
          <w:rFonts w:ascii="Times New Roman" w:hAnsi="Times New Roman"/>
          <w:sz w:val="28"/>
          <w:szCs w:val="28"/>
          <w:lang w:val="en-GB"/>
        </w:rPr>
        <w:t xml:space="preserve"> (5) of the law, the competition for the selection of prosecutors of the Section consists of an interview held before </w:t>
      </w:r>
      <w:bookmarkStart w:id="46" w:name="_Hlk1808815"/>
      <w:r w:rsidRPr="00EE08C7">
        <w:rPr>
          <w:lang w:val="en-GB"/>
        </w:rPr>
        <w:t>“</w:t>
      </w:r>
      <w:r w:rsidRPr="00EE08C7">
        <w:rPr>
          <w:rFonts w:ascii="Times New Roman" w:hAnsi="Times New Roman"/>
          <w:sz w:val="28"/>
          <w:szCs w:val="28"/>
          <w:lang w:val="en-GB"/>
        </w:rPr>
        <w:t>the committee referred to in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(2) comprising also the chief prosecutor of the section</w:t>
      </w:r>
      <w:bookmarkEnd w:id="46"/>
      <w:r w:rsidRPr="00EE08C7">
        <w:rPr>
          <w:rFonts w:ascii="Times New Roman" w:hAnsi="Times New Roman"/>
          <w:sz w:val="28"/>
          <w:szCs w:val="28"/>
          <w:lang w:val="en-GB"/>
        </w:rPr>
        <w:t>” (A/N: it appears that this adds to the 4 members – 3 judges and a prosecutor, established under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(2) of the law, and therefore the committee will consists of a total of 5 members), an evaluation of the work carried out in the last 5 years (carried out by 2 prosecutors and 2 judges of the Judicial Inspection, appointed by the Plenum of the Superior Council of Magistracy, on the proposal of the chief-inspector) and an assessment of professional documents drawn up by the candidates within the last 3 years of service (carried out by a committee designated by the Plenum of the Superior Council of Magistracy, composed of 2 prosecutors of the Prosecutor’s Office attached to the High Court of Cassation and Justice and 2 judges of the Criminal Section of the High Court of Cassation and Justice proposed by their governing colleges as well as a trainer of the National Institute of Magistracy proposed by its Scientific Council)</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lastRenderedPageBreak/>
        <w:t>The appointment as a prosecutor within the Section for the investigation of justice-related criminal offences will be made by the Plenum of the Superior Council of Magistracy, within the limits of the vacant posts and in the order of the points obtained over a period of 3 years, with the possibility of continuation of the activity in the Section for a total term of up to 9 years, on the basis of Article 88</w:t>
      </w:r>
      <w:r w:rsidRPr="00EE08C7">
        <w:rPr>
          <w:rFonts w:ascii="Times New Roman" w:hAnsi="Times New Roman"/>
          <w:sz w:val="28"/>
          <w:szCs w:val="28"/>
          <w:vertAlign w:val="superscript"/>
          <w:lang w:val="en-GB"/>
        </w:rPr>
        <w:t>5</w:t>
      </w:r>
      <w:r w:rsidRPr="00EE08C7">
        <w:rPr>
          <w:rFonts w:ascii="Times New Roman" w:hAnsi="Times New Roman"/>
          <w:sz w:val="28"/>
          <w:szCs w:val="28"/>
          <w:lang w:val="en-GB"/>
        </w:rPr>
        <w:t xml:space="preserve"> (1) and (11).</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In accordance with Article 88</w:t>
      </w:r>
      <w:r w:rsidRPr="00EE08C7">
        <w:rPr>
          <w:rFonts w:ascii="Times New Roman" w:hAnsi="Times New Roman"/>
          <w:sz w:val="28"/>
          <w:szCs w:val="28"/>
          <w:vertAlign w:val="superscript"/>
          <w:lang w:val="en-GB"/>
        </w:rPr>
        <w:t>4</w:t>
      </w:r>
      <w:r w:rsidRPr="00EE08C7">
        <w:rPr>
          <w:rFonts w:ascii="Times New Roman" w:hAnsi="Times New Roman"/>
          <w:sz w:val="28"/>
          <w:szCs w:val="28"/>
          <w:lang w:val="en-GB"/>
        </w:rPr>
        <w:t xml:space="preserve"> (1) and (2), the deputy chief prosecutor of the Section is appointed to the office by the Plenum of the Superior Council of the Magistracy, on a reasoned proposal from the chief prosecutor, from amongst the public prosecutors already appointed in the Section, for a period of 3 years, with the possibility of being reinstated only once.</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conclusion, in accordance with the provisions of Law no.304/2004, as amended in 2018, the appointment of the prosecutors of the Section for the investigation of justice-related criminal offences is made by the </w:t>
      </w:r>
      <w:r w:rsidRPr="00EE08C7">
        <w:rPr>
          <w:rFonts w:ascii="Times New Roman" w:hAnsi="Times New Roman"/>
          <w:b/>
          <w:i/>
          <w:sz w:val="28"/>
          <w:szCs w:val="28"/>
          <w:lang w:val="en-GB"/>
        </w:rPr>
        <w:t>Plenum of the Superior Council of Magistracy</w:t>
      </w:r>
      <w:r w:rsidRPr="00EE08C7">
        <w:rPr>
          <w:rFonts w:ascii="Times New Roman" w:hAnsi="Times New Roman"/>
          <w:sz w:val="28"/>
          <w:szCs w:val="28"/>
          <w:lang w:val="en-GB"/>
        </w:rPr>
        <w:t xml:space="preserve">, on a proposal by: </w:t>
      </w:r>
    </w:p>
    <w:p w:rsidR="003044A6" w:rsidRPr="00EE08C7" w:rsidRDefault="003044A6" w:rsidP="003044A6">
      <w:pPr>
        <w:numPr>
          <w:ilvl w:val="0"/>
          <w:numId w:val="5"/>
        </w:numPr>
        <w:suppressAutoHyphens w:val="0"/>
        <w:autoSpaceDE w:val="0"/>
        <w:autoSpaceDN w:val="0"/>
        <w:adjustRightInd w:val="0"/>
        <w:spacing w:after="0" w:line="360" w:lineRule="auto"/>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the competition committee (composed of 3 judges and one prosecutor, members of Superior Council of Magistracy) in the case of the chief prosecutor of the Section; </w:t>
      </w:r>
    </w:p>
    <w:p w:rsidR="003044A6" w:rsidRPr="00EE08C7" w:rsidRDefault="003044A6" w:rsidP="003044A6">
      <w:pPr>
        <w:numPr>
          <w:ilvl w:val="0"/>
          <w:numId w:val="5"/>
        </w:numPr>
        <w:suppressAutoHyphens w:val="0"/>
        <w:autoSpaceDE w:val="0"/>
        <w:autoSpaceDN w:val="0"/>
        <w:adjustRightInd w:val="0"/>
        <w:spacing w:after="0" w:line="360" w:lineRule="auto"/>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the chief prosecutor of the Section in the case of the deputy chief prosecutor of the Section;</w:t>
      </w:r>
    </w:p>
    <w:p w:rsidR="003044A6" w:rsidRPr="00EE08C7" w:rsidRDefault="003044A6" w:rsidP="003044A6">
      <w:pPr>
        <w:numPr>
          <w:ilvl w:val="0"/>
          <w:numId w:val="5"/>
        </w:numPr>
        <w:suppressAutoHyphens w:val="0"/>
        <w:autoSpaceDE w:val="0"/>
        <w:autoSpaceDN w:val="0"/>
        <w:adjustRightInd w:val="0"/>
        <w:spacing w:after="0" w:line="360" w:lineRule="auto"/>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the competition committee (composed of 3 judges and one prosecutor, members of Superior Council of Magistracy) composed “as of law also by the chief prosecutor,” in the case of prosecutors holding executive functions.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The derogations provided for by Government Emergency Ordinance no.90/2018</w:t>
      </w:r>
      <w:r w:rsidRPr="00EE08C7">
        <w:rPr>
          <w:rFonts w:ascii="Times New Roman" w:hAnsi="Times New Roman"/>
          <w:sz w:val="28"/>
          <w:szCs w:val="28"/>
          <w:lang w:val="en-GB"/>
        </w:rPr>
        <w:t xml:space="preserve"> concern a procedure carried out expeditiously, as provided for in Article II (2), the selection of candidates for the management and execution functions being carried out by a procedure conducted within a maximum of 5 calendar days from the </w:t>
      </w:r>
      <w:r w:rsidRPr="00EE08C7">
        <w:rPr>
          <w:rFonts w:ascii="Times New Roman" w:hAnsi="Times New Roman"/>
          <w:sz w:val="28"/>
          <w:szCs w:val="28"/>
          <w:lang w:val="en-GB"/>
        </w:rPr>
        <w:lastRenderedPageBreak/>
        <w:t>date of its opening by the President of the Superior Council of Magistracy. The competition committee is the one established by Article 88</w:t>
      </w:r>
      <w:r w:rsidRPr="00EE08C7">
        <w:rPr>
          <w:rFonts w:ascii="Times New Roman" w:hAnsi="Times New Roman"/>
          <w:sz w:val="28"/>
          <w:szCs w:val="28"/>
          <w:vertAlign w:val="superscript"/>
          <w:lang w:val="en-GB"/>
        </w:rPr>
        <w:t>3</w:t>
      </w:r>
      <w:r w:rsidRPr="00EE08C7">
        <w:rPr>
          <w:rFonts w:ascii="Times New Roman" w:hAnsi="Times New Roman"/>
          <w:sz w:val="28"/>
          <w:szCs w:val="28"/>
          <w:lang w:val="en-GB"/>
        </w:rPr>
        <w:t xml:space="preserve"> (2) of the Law, i.e. 3 judge members, who are members of the Sectio</w:t>
      </w:r>
      <w:r w:rsidR="00EE08C7">
        <w:rPr>
          <w:rFonts w:ascii="Times New Roman" w:hAnsi="Times New Roman"/>
          <w:sz w:val="28"/>
          <w:szCs w:val="28"/>
          <w:lang w:val="en-GB"/>
        </w:rPr>
        <w:t>n for Judges and a prosecutor m</w:t>
      </w:r>
      <w:r w:rsidRPr="00EE08C7">
        <w:rPr>
          <w:rFonts w:ascii="Times New Roman" w:hAnsi="Times New Roman"/>
          <w:sz w:val="28"/>
          <w:szCs w:val="28"/>
          <w:lang w:val="en-GB"/>
        </w:rPr>
        <w:t>e</w:t>
      </w:r>
      <w:r w:rsidR="00EE08C7">
        <w:rPr>
          <w:rFonts w:ascii="Times New Roman" w:hAnsi="Times New Roman"/>
          <w:sz w:val="28"/>
          <w:szCs w:val="28"/>
          <w:lang w:val="en-GB"/>
        </w:rPr>
        <w:t>m</w:t>
      </w:r>
      <w:r w:rsidRPr="00EE08C7">
        <w:rPr>
          <w:rFonts w:ascii="Times New Roman" w:hAnsi="Times New Roman"/>
          <w:sz w:val="28"/>
          <w:szCs w:val="28"/>
          <w:lang w:val="en-GB"/>
        </w:rPr>
        <w:t>ber, who is member of the Section for Public Prosecutors of the</w:t>
      </w:r>
      <w:r w:rsidR="00EE08C7">
        <w:rPr>
          <w:rFonts w:ascii="Times New Roman" w:hAnsi="Times New Roman"/>
          <w:sz w:val="28"/>
          <w:szCs w:val="28"/>
          <w:lang w:val="en-GB"/>
        </w:rPr>
        <w:t xml:space="preserve"> Superior Council of Magistracy</w:t>
      </w:r>
      <w:r w:rsidRPr="00EE08C7">
        <w:rPr>
          <w:rFonts w:ascii="Times New Roman" w:hAnsi="Times New Roman"/>
          <w:sz w:val="28"/>
          <w:szCs w:val="28"/>
          <w:lang w:val="en-GB"/>
        </w:rPr>
        <w:t>. The emergency ordinance lays down, in Article II (2), the final sentence, that “</w:t>
      </w:r>
      <w:r w:rsidRPr="00EE08C7">
        <w:rPr>
          <w:rFonts w:ascii="Times New Roman" w:hAnsi="Times New Roman"/>
          <w:b/>
          <w:i/>
          <w:sz w:val="28"/>
          <w:szCs w:val="28"/>
          <w:lang w:val="en-GB"/>
        </w:rPr>
        <w:t>the competition committee shall carry out its work in the presence of at least 3 members</w:t>
      </w:r>
      <w:r w:rsidR="00EE08C7">
        <w:rPr>
          <w:rFonts w:ascii="Times New Roman" w:hAnsi="Times New Roman"/>
          <w:sz w:val="28"/>
          <w:szCs w:val="28"/>
          <w:lang w:val="en-GB"/>
        </w:rPr>
        <w:t>”</w:t>
      </w:r>
      <w:r w:rsidRPr="00EE08C7">
        <w:rPr>
          <w:rFonts w:ascii="Times New Roman" w:hAnsi="Times New Roman"/>
          <w:sz w:val="28"/>
          <w:szCs w:val="28"/>
          <w:lang w:val="en-GB"/>
        </w:rPr>
        <w:t>. It shall verify that candidates fulfil the conditions laid down by law for appointment and carry out the procedure for their selection on the basis of the application file and an interview.</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Pursuant to Article II (9) of the Emergency Ordinance, the selected prosecutors for appointment as chief prosecutor of the Section and for appointment to the executive positions within the Section are appointed to the office by the President of the Superior Council of Magistracy, while the deputy chief prosecutor of the Section is appointed by the President of the Superior Council of the Magistracy, on a reasoned proposal from the chief prosecutor, from amongst the prosecutors selected for appointment to the Section.</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conclusion, under the derogation rules, the appointment </w:t>
      </w:r>
      <w:bookmarkStart w:id="47" w:name="_Hlk1811974"/>
      <w:r w:rsidRPr="00EE08C7">
        <w:rPr>
          <w:rFonts w:ascii="Times New Roman" w:hAnsi="Times New Roman"/>
          <w:sz w:val="28"/>
          <w:szCs w:val="28"/>
          <w:lang w:val="en-GB"/>
        </w:rPr>
        <w:t xml:space="preserve">of the prosecutors of the Section for the investigation of justice-related criminal offences </w:t>
      </w:r>
      <w:bookmarkEnd w:id="47"/>
      <w:r w:rsidRPr="00EE08C7">
        <w:rPr>
          <w:rFonts w:ascii="Times New Roman" w:hAnsi="Times New Roman"/>
          <w:sz w:val="28"/>
          <w:szCs w:val="28"/>
          <w:lang w:val="en-GB"/>
        </w:rPr>
        <w:t xml:space="preserve">is made by the </w:t>
      </w:r>
      <w:r w:rsidRPr="00EE08C7">
        <w:rPr>
          <w:rFonts w:ascii="Times New Roman" w:hAnsi="Times New Roman"/>
          <w:b/>
          <w:i/>
          <w:sz w:val="28"/>
          <w:szCs w:val="28"/>
          <w:lang w:val="en-GB"/>
        </w:rPr>
        <w:t>President of the Superior Council of Magistracy</w:t>
      </w:r>
      <w:r w:rsidRPr="00EE08C7">
        <w:rPr>
          <w:rFonts w:ascii="Times New Roman" w:hAnsi="Times New Roman"/>
          <w:sz w:val="28"/>
          <w:szCs w:val="28"/>
          <w:lang w:val="en-GB"/>
        </w:rPr>
        <w:t xml:space="preserve">, on a proposal by: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the competition committee (composed of 3 judges and one prosecutor, members of Superior Council of Magistracy), operating in the presence of at least 3 members, in the case of the chief prosecutor of the Section and prosecutors occupying executive positions,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the chief prosecutor of the Section in the case of the deputy chief prosecutor of the Section.</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Looking at the changes made, we note that these relate to two significant aspects.</w:t>
      </w:r>
      <w:r w:rsidRPr="00EE08C7">
        <w:rPr>
          <w:rFonts w:ascii="Times New Roman" w:hAnsi="Times New Roman"/>
          <w:sz w:val="28"/>
          <w:szCs w:val="28"/>
          <w:lang w:val="en-GB"/>
        </w:rPr>
        <w:t xml:space="preserve"> First, the provision concerning the possibility for the competition committee to operate </w:t>
      </w:r>
      <w:r w:rsidRPr="00EE08C7">
        <w:rPr>
          <w:rFonts w:ascii="Times New Roman" w:hAnsi="Times New Roman"/>
          <w:i/>
          <w:sz w:val="28"/>
          <w:szCs w:val="28"/>
          <w:lang w:val="en-GB"/>
        </w:rPr>
        <w:t>in the presence of at least 3 members</w:t>
      </w:r>
      <w:r w:rsidRPr="00EE08C7">
        <w:rPr>
          <w:rFonts w:ascii="Times New Roman" w:hAnsi="Times New Roman"/>
          <w:sz w:val="28"/>
          <w:szCs w:val="28"/>
          <w:lang w:val="en-GB"/>
        </w:rPr>
        <w:t xml:space="preserve"> (beyond the absolute </w:t>
      </w:r>
      <w:r w:rsidRPr="00EE08C7">
        <w:rPr>
          <w:rFonts w:ascii="Times New Roman" w:hAnsi="Times New Roman"/>
          <w:sz w:val="28"/>
          <w:szCs w:val="28"/>
          <w:lang w:val="en-GB"/>
        </w:rPr>
        <w:lastRenderedPageBreak/>
        <w:t>novelty of the rules governing the competition procedures, in terms of composition of committees, whose number of members must be expressly determined in order to ensure the fairness, transparency and unambiguous nature of the procedure, any variable being such as to affect these values), is the prerequisite for conducting a competition procedure in the absence of a committee member who, hypothetically, could be precisely the representative of the Section for Public Prosecutors of the Superior Council of Magistracy. However, if the selection procedure is aimed at the operationalisation of a structure within the Public Ministry, the participation of prosecutors in this procedure within the bodies competent and responsible for selecting candidates</w:t>
      </w:r>
      <w:r w:rsidRPr="00EE08C7">
        <w:rPr>
          <w:rFonts w:ascii="Times New Roman" w:hAnsi="Times New Roman"/>
          <w:b/>
          <w:i/>
          <w:sz w:val="28"/>
          <w:szCs w:val="28"/>
          <w:lang w:val="en-GB"/>
        </w:rPr>
        <w:t>, is not only necessary but also mandatory</w:t>
      </w:r>
      <w:r w:rsidRPr="00EE08C7">
        <w:rPr>
          <w:rFonts w:ascii="Times New Roman" w:hAnsi="Times New Roman"/>
          <w:b/>
          <w:sz w:val="28"/>
          <w:szCs w:val="28"/>
          <w:lang w:val="en-GB"/>
        </w:rPr>
        <w:t>.</w:t>
      </w:r>
      <w:r w:rsidRPr="00EE08C7">
        <w:rPr>
          <w:rFonts w:ascii="Times New Roman" w:hAnsi="Times New Roman"/>
          <w:sz w:val="28"/>
          <w:szCs w:val="28"/>
          <w:lang w:val="en-GB"/>
        </w:rPr>
        <w:t xml:space="preserve">  Thus, we note that, while Law no.304/2004 recognises, albeit in a reduced form, the role of prosecutors in the selection procedure of the Section for the investigation of justice-related criminal offences, giving a leading role to judges (</w:t>
      </w:r>
      <w:r w:rsidRPr="00EE08C7">
        <w:rPr>
          <w:rFonts w:ascii="Times New Roman" w:hAnsi="Times New Roman"/>
          <w:b/>
          <w:sz w:val="28"/>
          <w:szCs w:val="28"/>
          <w:lang w:val="en-GB"/>
        </w:rPr>
        <w:t>N.B</w:t>
      </w:r>
      <w:r w:rsidRPr="00EE08C7">
        <w:rPr>
          <w:rFonts w:ascii="Times New Roman" w:hAnsi="Times New Roman"/>
          <w:sz w:val="28"/>
          <w:szCs w:val="28"/>
          <w:lang w:val="en-GB"/>
        </w:rPr>
        <w:t xml:space="preserve">.: </w:t>
      </w:r>
      <w:r w:rsidRPr="00EE08C7">
        <w:rPr>
          <w:rFonts w:ascii="Times New Roman" w:hAnsi="Times New Roman"/>
          <w:i/>
          <w:sz w:val="28"/>
          <w:szCs w:val="28"/>
          <w:lang w:val="en-GB"/>
        </w:rPr>
        <w:t>the appointment of prosecutors with management and executive functions within the Section for the investigation of justice-related criminal offences</w:t>
      </w:r>
      <w:r w:rsidRPr="00EE08C7">
        <w:rPr>
          <w:rFonts w:ascii="Times New Roman" w:hAnsi="Times New Roman"/>
          <w:sz w:val="28"/>
          <w:szCs w:val="28"/>
          <w:lang w:val="en-GB"/>
        </w:rPr>
        <w:t xml:space="preserve">, involving examination by a committee of 3 judges and a single prosecutor </w:t>
      </w:r>
      <w:r w:rsidRPr="00EE08C7">
        <w:rPr>
          <w:rFonts w:ascii="Times New Roman" w:hAnsi="Times New Roman"/>
          <w:i/>
          <w:sz w:val="28"/>
          <w:szCs w:val="28"/>
          <w:lang w:val="en-GB"/>
        </w:rPr>
        <w:t>has not been subject to the a priori constitutional review,</w:t>
      </w:r>
      <w:r w:rsidRPr="00EE08C7">
        <w:rPr>
          <w:rFonts w:ascii="Times New Roman" w:hAnsi="Times New Roman"/>
          <w:sz w:val="28"/>
          <w:szCs w:val="28"/>
          <w:lang w:val="en-GB"/>
        </w:rPr>
        <w:t xml:space="preserve"> since it was not the subject of the referrals which were dealt with by Decision no.33 of 23 January 2018, Decision no. 67 of 21 February 2018, Decision no. 250 of 19 April 2018 and Decision no. 357 of 30 May 2018 respectively), the Government Emergency Ordinance no.90/2018 </w:t>
      </w:r>
      <w:r w:rsidRPr="00EE08C7">
        <w:rPr>
          <w:rFonts w:ascii="Times New Roman" w:hAnsi="Times New Roman"/>
          <w:b/>
          <w:i/>
          <w:sz w:val="28"/>
          <w:szCs w:val="28"/>
          <w:lang w:val="en-GB"/>
        </w:rPr>
        <w:t>creates the possibility for prosecutors to be excluded from the appointment procedure</w:t>
      </w:r>
      <w:r w:rsidRPr="00EE08C7">
        <w:rPr>
          <w:rFonts w:ascii="Times New Roman" w:hAnsi="Times New Roman"/>
          <w:sz w:val="28"/>
          <w:szCs w:val="28"/>
          <w:lang w:val="en-GB"/>
        </w:rPr>
        <w:t xml:space="preserve">, since, establishing the possibility for the competition committee to operate in the presence of at least 3 members, who may only be judge members, implicitly recognises the legal effects of acts adopted by the committee, in its composition without the prosecutor member. As a matter of course, despite the fact that Law no.304/2004 provides for a role, even reduced, of representatives of the Public Ministry in a competition procedure aimed at the Public Ministry itself, through a section of the Public Prosecutor’s Office attached to the High Court of Cassation and Justice, the </w:t>
      </w:r>
      <w:r w:rsidRPr="00EE08C7">
        <w:rPr>
          <w:rFonts w:ascii="Times New Roman" w:hAnsi="Times New Roman"/>
          <w:sz w:val="28"/>
          <w:szCs w:val="28"/>
          <w:lang w:val="en-GB"/>
        </w:rPr>
        <w:lastRenderedPageBreak/>
        <w:t>emergency ordinance ignores this role, creating the premises for the complete removal of prosecutors from the selection procedure.</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Moreover, looking at the provisions determining </w:t>
      </w:r>
      <w:r w:rsidRPr="00EE08C7">
        <w:rPr>
          <w:rFonts w:ascii="Times New Roman" w:hAnsi="Times New Roman"/>
          <w:i/>
          <w:sz w:val="28"/>
          <w:szCs w:val="28"/>
          <w:lang w:val="en-GB"/>
        </w:rPr>
        <w:t>the body competent to order the appointment of prosecutors</w:t>
      </w:r>
      <w:r w:rsidRPr="00EE08C7">
        <w:rPr>
          <w:rFonts w:ascii="Times New Roman" w:hAnsi="Times New Roman"/>
          <w:sz w:val="28"/>
          <w:szCs w:val="28"/>
          <w:lang w:val="en-GB"/>
        </w:rPr>
        <w:t xml:space="preserve"> to Section for the investigation of justice-related criminal offences, we note that the legislative act in question</w:t>
      </w:r>
      <w:r w:rsidRPr="00EE08C7">
        <w:rPr>
          <w:rFonts w:ascii="Times New Roman" w:hAnsi="Times New Roman"/>
          <w:i/>
          <w:sz w:val="28"/>
          <w:szCs w:val="28"/>
          <w:lang w:val="en-GB"/>
        </w:rPr>
        <w:t xml:space="preserve"> transfers this power from the Plenum of the Superior Council of Magistracy to the President of the Council</w:t>
      </w:r>
      <w:r w:rsidRPr="00EE08C7">
        <w:rPr>
          <w:rFonts w:ascii="Times New Roman" w:hAnsi="Times New Roman"/>
          <w:sz w:val="28"/>
          <w:szCs w:val="28"/>
          <w:lang w:val="en-GB"/>
        </w:rPr>
        <w:t>. Such regulation does not only appear to be unjustified in the context of the changes made, but it is likely to have an impact on the role of the prosecutors in this procedure. The replacement of the Council’s Plenum with its President</w:t>
      </w:r>
      <w:r w:rsidRPr="00EE08C7">
        <w:rPr>
          <w:rFonts w:ascii="Times New Roman" w:hAnsi="Times New Roman"/>
          <w:b/>
          <w:i/>
          <w:sz w:val="28"/>
          <w:szCs w:val="28"/>
          <w:lang w:val="en-GB"/>
        </w:rPr>
        <w:t xml:space="preserve"> shall remove not only the possibility for the members of the Council, who are prosecutors, to take part in the decision making decisions, but also the possibility of drawing up and setting out opinions on the applications submitted</w:t>
      </w:r>
      <w:r w:rsidRPr="00EE08C7">
        <w:rPr>
          <w:rFonts w:ascii="Times New Roman" w:hAnsi="Times New Roman"/>
          <w:sz w:val="28"/>
          <w:szCs w:val="28"/>
          <w:lang w:val="en-GB"/>
        </w:rPr>
        <w:t xml:space="preserve">. This situation is unacceptable from the point of view of the constitutional role of the Public Ministry, enshrined in Article 131 of the Constitution, and of the duties that prosecutors, elected as members of the Superior Council of the Magistracy, have to fulfil, in application of Articles 133 to 134 of the Constitution. </w:t>
      </w:r>
      <w:r w:rsidRPr="00EE08C7">
        <w:rPr>
          <w:rFonts w:ascii="Times New Roman" w:hAnsi="Times New Roman"/>
          <w:i/>
          <w:sz w:val="28"/>
          <w:szCs w:val="28"/>
          <w:lang w:val="en-GB"/>
        </w:rPr>
        <w:t>No rule, even of a transitional and temporary nature, may operate a transfer of competence from the Superior Council of Magistracy, part of the judicial authority, guarantor of the independence of the judiciary, operating in its plenary session, to a member of the same, even if he is the elected President of the Council, without breaching the constitutional provisions enshrined in Articles 133 to 134</w:t>
      </w:r>
      <w:r w:rsidRPr="00EE08C7">
        <w:rPr>
          <w:rFonts w:ascii="Times New Roman" w:hAnsi="Times New Roman"/>
          <w:sz w:val="28"/>
          <w:szCs w:val="28"/>
          <w:lang w:val="en-GB"/>
        </w:rPr>
        <w:t>.</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In addition to these arguments, we cannot overlook the option of the primary legislator, the Romanian Parliament, to regulate by law, as a principle value underpinning its new vision with regard to the status of judges and prosecutors, </w:t>
      </w:r>
      <w:r w:rsidRPr="00EE08C7">
        <w:rPr>
          <w:rFonts w:ascii="Times New Roman" w:hAnsi="Times New Roman"/>
          <w:b/>
          <w:i/>
          <w:sz w:val="28"/>
          <w:szCs w:val="28"/>
          <w:lang w:val="en-GB"/>
        </w:rPr>
        <w:t>the separation of the careers of the two categories of magistrates</w:t>
      </w:r>
      <w:r w:rsidRPr="00EE08C7">
        <w:rPr>
          <w:rFonts w:ascii="Times New Roman" w:hAnsi="Times New Roman"/>
          <w:sz w:val="28"/>
          <w:szCs w:val="28"/>
          <w:lang w:val="en-GB"/>
        </w:rPr>
        <w:t>. Thus, in accordance with Article 1 of Law no.303/2004, as amended by Law no.242/2018, the legislator provides that “</w:t>
      </w:r>
      <w:r w:rsidRPr="00EE08C7">
        <w:rPr>
          <w:rFonts w:ascii="Times New Roman" w:hAnsi="Times New Roman"/>
          <w:i/>
          <w:sz w:val="28"/>
          <w:szCs w:val="28"/>
          <w:lang w:val="en-GB"/>
        </w:rPr>
        <w:t xml:space="preserve">the magistracy is the judicial activity carried out by judges for the purpose of achieving justice and by prosecutors for the purpose of safeguarding the </w:t>
      </w:r>
      <w:r w:rsidRPr="00EE08C7">
        <w:rPr>
          <w:rFonts w:ascii="Times New Roman" w:hAnsi="Times New Roman"/>
          <w:i/>
          <w:sz w:val="28"/>
          <w:szCs w:val="28"/>
          <w:lang w:val="en-GB"/>
        </w:rPr>
        <w:lastRenderedPageBreak/>
        <w:t>general interests of the society, the legal order and the rights and freedoms of citizen</w:t>
      </w:r>
      <w:r w:rsidRPr="00EE08C7">
        <w:rPr>
          <w:rFonts w:ascii="Times New Roman" w:hAnsi="Times New Roman"/>
          <w:sz w:val="28"/>
          <w:szCs w:val="28"/>
          <w:lang w:val="en-GB"/>
        </w:rPr>
        <w:t>s”. After demarcating the two categories of judicial activities, depending on the purpose of their respective exercise, the legislator enshrines the separation between the two careers, expressly determining that “</w:t>
      </w:r>
      <w:r w:rsidRPr="00EE08C7">
        <w:rPr>
          <w:rFonts w:ascii="Times New Roman" w:hAnsi="Times New Roman"/>
          <w:i/>
          <w:sz w:val="28"/>
          <w:szCs w:val="28"/>
          <w:lang w:val="en-GB"/>
        </w:rPr>
        <w:t>judges may not interfere in the career of prosecutors and prosecutors may not interfere in the career of judges</w:t>
      </w:r>
      <w:r w:rsidRPr="00EE08C7">
        <w:rPr>
          <w:rFonts w:ascii="Times New Roman" w:hAnsi="Times New Roman"/>
          <w:sz w:val="28"/>
          <w:szCs w:val="28"/>
          <w:lang w:val="en-GB"/>
        </w:rPr>
        <w:t xml:space="preserve">.” In other words, all matters relating to the career of judges and prosecutors, respectively, such as the admission into magistracy, the evaluation, the training and examination of judges and prosecutors, the appointment, promotion, suspension and termination of the office of judge or public prosecutor, the delegation, the secondment and the transfer of judges and prosecutors, their liability, etc., will be determined within each profession, the relevant bodied responsible in terms of career being determined distinctly for each profession.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As regards the new vision of the legislator in regard to the careers of the two categories of magistrates, we deem relevant those laid down by the President of the Chamber of Deputies, in the opinion addressed to the Constitutional Court in the case dealt with by Decision no. 252 of 19 April 2018, published in the Official Gazette of Romania, Part I, no. 399 of 9 May 2018, paragraph 50. Thus, “referring to challenges of unconstitutionality relating to Article I (78) [with reference to Article 52 (1)] of the Law (A/N: “(1) </w:t>
      </w:r>
      <w:r w:rsidRPr="00EE08C7">
        <w:rPr>
          <w:rFonts w:ascii="Times New Roman" w:hAnsi="Times New Roman"/>
          <w:i/>
          <w:sz w:val="28"/>
          <w:szCs w:val="28"/>
          <w:lang w:val="en-GB"/>
        </w:rPr>
        <w:t>Promotion as a judge at the High Court of Cassation and Justice shall be made only through a contest organised whenever it is necessary, within the limits of the vacant posts, by the Section for Judges of the Superior Council of the Magistracy, through the National Institute of the Magistracy</w:t>
      </w:r>
      <w:r w:rsidRPr="00EE08C7">
        <w:rPr>
          <w:rFonts w:ascii="Times New Roman" w:hAnsi="Times New Roman"/>
          <w:sz w:val="28"/>
          <w:szCs w:val="28"/>
          <w:lang w:val="en-GB"/>
        </w:rPr>
        <w:t>”], it is pointed out that, from the beginning of the debate in the Joint Special Committee, it was agreed that the</w:t>
      </w:r>
      <w:r w:rsidRPr="00EE08C7">
        <w:rPr>
          <w:rFonts w:ascii="Times New Roman" w:hAnsi="Times New Roman"/>
          <w:b/>
          <w:i/>
          <w:sz w:val="28"/>
          <w:szCs w:val="28"/>
          <w:lang w:val="en-GB"/>
        </w:rPr>
        <w:t xml:space="preserve"> two sections of the Superior Council of the Magistracy, respectively the Section for Judges and the Section for Public Prosecutors, would take exclusively as responsibilities the career of judges and public prosecutors separately</w:t>
      </w:r>
      <w:r w:rsidRPr="00EE08C7">
        <w:rPr>
          <w:rFonts w:ascii="Times New Roman" w:hAnsi="Times New Roman"/>
          <w:sz w:val="28"/>
          <w:szCs w:val="28"/>
          <w:lang w:val="en-GB"/>
        </w:rPr>
        <w:t xml:space="preserve">. In these circumstances, the texts in force in Law no. 303/2004 on the status of judges and prosecutors have been amended in such a way </w:t>
      </w:r>
      <w:r w:rsidRPr="00EE08C7">
        <w:rPr>
          <w:rFonts w:ascii="Times New Roman" w:hAnsi="Times New Roman"/>
          <w:sz w:val="28"/>
          <w:szCs w:val="28"/>
          <w:lang w:val="en-GB"/>
        </w:rPr>
        <w:lastRenderedPageBreak/>
        <w:t>that,</w:t>
      </w:r>
      <w:r w:rsidRPr="00EE08C7">
        <w:rPr>
          <w:rFonts w:ascii="Times New Roman" w:hAnsi="Times New Roman"/>
          <w:b/>
          <w:i/>
          <w:sz w:val="28"/>
          <w:szCs w:val="28"/>
          <w:lang w:val="en-GB"/>
        </w:rPr>
        <w:t xml:space="preserve"> from the moment on which the judge/prosecutor starts his/her career, and until the dismissal of his/her duties, each section duly decides on:</w:t>
      </w:r>
      <w:r w:rsidRPr="00EE08C7">
        <w:rPr>
          <w:rFonts w:ascii="Times New Roman" w:hAnsi="Times New Roman"/>
          <w:b/>
          <w:sz w:val="28"/>
          <w:szCs w:val="28"/>
          <w:lang w:val="en-GB"/>
        </w:rPr>
        <w:t xml:space="preserve"> </w:t>
      </w:r>
      <w:r w:rsidRPr="00EE08C7">
        <w:rPr>
          <w:rFonts w:ascii="Times New Roman" w:hAnsi="Times New Roman"/>
          <w:b/>
          <w:i/>
          <w:sz w:val="28"/>
          <w:szCs w:val="28"/>
          <w:lang w:val="en-GB"/>
        </w:rPr>
        <w:t>competitions, promotion, and sanctions</w:t>
      </w:r>
      <w:r w:rsidRPr="00EE08C7">
        <w:rPr>
          <w:rFonts w:ascii="Times New Roman" w:hAnsi="Times New Roman"/>
          <w:b/>
          <w:sz w:val="28"/>
          <w:szCs w:val="28"/>
          <w:lang w:val="en-GB"/>
        </w:rPr>
        <w:t>.</w:t>
      </w:r>
      <w:r w:rsidRPr="00EE08C7">
        <w:rPr>
          <w:rFonts w:ascii="Times New Roman" w:hAnsi="Times New Roman"/>
          <w:sz w:val="28"/>
          <w:szCs w:val="28"/>
          <w:lang w:val="en-GB"/>
        </w:rPr>
        <w:t xml:space="preserve"> It is argued that this view was accepted by the Constitutional Court, which did not extend the review of constitutionality to the texts relating to the two sections’ duties. It is noted that although the text was not subject to a specific constitutionality review, all the texts of Law no. 303/2004 referring to the career of judges and prosecutors were normally to be amended in accordance with the adopted principle of separation of careers. As such, the change was necessary in the process of correlating the texts of the draft law, in order to preserve their unitary character, without being a substantive change, infringing upon the limits of the review. It is assessed that the amending text does not violate the provisions of Article 125 of the Constitution, given that, according to paragraph (2), the career of judges and prosecutors is determined under organic law. Moreover, it is noted that this change concerns </w:t>
      </w:r>
      <w:r w:rsidRPr="00EE08C7">
        <w:rPr>
          <w:rFonts w:ascii="Times New Roman" w:hAnsi="Times New Roman"/>
          <w:b/>
          <w:i/>
          <w:sz w:val="28"/>
          <w:szCs w:val="28"/>
          <w:lang w:val="en-GB"/>
        </w:rPr>
        <w:t>the procedure of appointment to the High Court of Cassation and Justice, and it is absolutely legitimate and constitutional for this prerogative to belong to the Section for Judges of the Superior Council of Magistracy</w:t>
      </w:r>
      <w:r w:rsidRPr="00EE08C7">
        <w:rPr>
          <w:rFonts w:ascii="Times New Roman" w:hAnsi="Times New Roman"/>
          <w:sz w:val="28"/>
          <w:szCs w:val="28"/>
          <w:lang w:val="en-GB"/>
        </w:rPr>
        <w:t>. This change is particularly necessary since the promotion of prosecutors at the Prosecutor’s Office attached to the High Court of Cassation and Justice falls within the remit of the Section for Public Prosecutors, so as to respect the unitary nature of regulation, this modification of the contested text was required.”</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i/>
          <w:sz w:val="28"/>
          <w:szCs w:val="28"/>
          <w:lang w:val="en-GB"/>
        </w:rPr>
      </w:pPr>
      <w:r w:rsidRPr="00EE08C7">
        <w:rPr>
          <w:rFonts w:ascii="Times New Roman" w:hAnsi="Times New Roman"/>
          <w:sz w:val="28"/>
          <w:szCs w:val="28"/>
          <w:lang w:val="en-GB"/>
        </w:rPr>
        <w:tab/>
      </w:r>
      <w:r w:rsidRPr="00EE08C7">
        <w:rPr>
          <w:rFonts w:ascii="Times New Roman" w:hAnsi="Times New Roman"/>
          <w:b/>
          <w:sz w:val="28"/>
          <w:szCs w:val="28"/>
          <w:lang w:val="en-GB"/>
        </w:rPr>
        <w:t xml:space="preserve">The Constitutional Court examined specific challenges of unconstitutionality concerning the legal basis for the principle of the separation of the careers of the two categories of magistrates by </w:t>
      </w:r>
      <w:r w:rsidRPr="00EE08C7">
        <w:rPr>
          <w:rFonts w:ascii="Times New Roman" w:hAnsi="Times New Roman"/>
          <w:b/>
          <w:i/>
          <w:sz w:val="28"/>
          <w:szCs w:val="28"/>
          <w:lang w:val="en-GB"/>
        </w:rPr>
        <w:t xml:space="preserve">Decision no. 252 of 19 April 2018, paragraph 134, </w:t>
      </w:r>
      <w:r w:rsidRPr="00EE08C7">
        <w:rPr>
          <w:rFonts w:ascii="Times New Roman" w:hAnsi="Times New Roman"/>
          <w:sz w:val="28"/>
          <w:szCs w:val="28"/>
          <w:lang w:val="en-GB"/>
        </w:rPr>
        <w:t xml:space="preserve">where it stated that: “concerning the unconstitutionality issues raised in relation to Article I (78) [with reference to Article 52 (1)] of the Law, the Court finds that the change in question consists in the fact that the organisation of the competition for promotion as a judge at the High Court of </w:t>
      </w:r>
      <w:r w:rsidRPr="00EE08C7">
        <w:rPr>
          <w:rFonts w:ascii="Times New Roman" w:hAnsi="Times New Roman"/>
          <w:sz w:val="28"/>
          <w:szCs w:val="28"/>
          <w:lang w:val="en-GB"/>
        </w:rPr>
        <w:lastRenderedPageBreak/>
        <w:t>Cassation and Justice is carried out by the Section for Judges of the Superior Council of the Magistracy and not by the Superior Council of Magistracy. This clarification inserted by Article I (78) [with reference to Article 52 (1)] of the Law is also a legislative technique operation for the correlation, since it implements the principle enshrined in Article I (1) [with reference to Article 1 (1)) of the Law], according to which “</w:t>
      </w:r>
      <w:r w:rsidRPr="00EE08C7">
        <w:rPr>
          <w:rFonts w:ascii="Times New Roman" w:hAnsi="Times New Roman"/>
          <w:i/>
          <w:sz w:val="28"/>
          <w:szCs w:val="28"/>
          <w:lang w:val="en-GB"/>
        </w:rPr>
        <w:t>the judge’s career is separated from the public prosecutor’s career, as judges may not interfere in the career of the public prosecutors and prosecutors may not interfere in the career of the judges”.</w:t>
      </w:r>
      <w:r w:rsidRPr="00EE08C7">
        <w:rPr>
          <w:rFonts w:ascii="Times New Roman" w:hAnsi="Times New Roman"/>
          <w:sz w:val="28"/>
          <w:szCs w:val="28"/>
          <w:lang w:val="en-GB"/>
        </w:rPr>
        <w:t xml:space="preserve"> Moreover, </w:t>
      </w:r>
      <w:r w:rsidRPr="00EE08C7">
        <w:rPr>
          <w:rFonts w:ascii="Times New Roman" w:hAnsi="Times New Roman"/>
          <w:b/>
          <w:i/>
          <w:sz w:val="28"/>
          <w:szCs w:val="28"/>
          <w:lang w:val="en-GB"/>
        </w:rPr>
        <w:t>the whole law sets and maintains the dichotomy section for judges — section for public prosecutor section in terms of their career. In practical terms, the text criticised has repaired a shortcoming of the law in its original form. Such legislative intervention, meant to correct a lack of correlation within the law, can only be in accordance with the rules on legislative technique, which means also compliance with Article 1 (5) of the Constitution,</w:t>
      </w:r>
      <w:r w:rsidRPr="00EE08C7">
        <w:rPr>
          <w:rFonts w:ascii="Times New Roman" w:hAnsi="Times New Roman"/>
          <w:sz w:val="28"/>
          <w:szCs w:val="28"/>
          <w:lang w:val="en-GB"/>
        </w:rPr>
        <w:t xml:space="preserve"> without infringing Article 125 and Article 147 (2) of the Constitution”.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Thus,</w:t>
      </w:r>
      <w:r w:rsidRPr="00EE08C7">
        <w:rPr>
          <w:rFonts w:ascii="Times New Roman" w:hAnsi="Times New Roman"/>
          <w:i/>
          <w:sz w:val="28"/>
          <w:szCs w:val="28"/>
          <w:lang w:val="en-GB"/>
        </w:rPr>
        <w:t xml:space="preserve"> in a procedure similar to that which is the subject of our analysis but with respect to the career of the judges</w:t>
      </w:r>
      <w:r w:rsidRPr="00EE08C7">
        <w:rPr>
          <w:rFonts w:ascii="Times New Roman" w:hAnsi="Times New Roman"/>
          <w:sz w:val="28"/>
          <w:szCs w:val="28"/>
          <w:lang w:val="en-GB"/>
        </w:rPr>
        <w:t xml:space="preserve">, namely the appointment of judges to the High Court of Cassation and Justice, the Court upheld the legislative solution enshrined by the legislator, founded on the principle of the separation of careers. </w:t>
      </w:r>
      <w:r w:rsidRPr="00EE08C7">
        <w:rPr>
          <w:rFonts w:ascii="Times New Roman" w:hAnsi="Times New Roman"/>
          <w:i/>
          <w:sz w:val="28"/>
          <w:szCs w:val="28"/>
          <w:lang w:val="en-GB"/>
        </w:rPr>
        <w:t>Mutatis mutandis</w:t>
      </w:r>
      <w:r w:rsidRPr="00EE08C7">
        <w:rPr>
          <w:rFonts w:ascii="Times New Roman" w:hAnsi="Times New Roman"/>
          <w:sz w:val="28"/>
          <w:szCs w:val="28"/>
          <w:lang w:val="en-GB"/>
        </w:rPr>
        <w:t xml:space="preserve">, for reason identity, </w:t>
      </w:r>
      <w:r w:rsidRPr="00EE08C7">
        <w:rPr>
          <w:rFonts w:ascii="Times New Roman" w:hAnsi="Times New Roman"/>
          <w:b/>
          <w:i/>
          <w:sz w:val="28"/>
          <w:szCs w:val="28"/>
          <w:lang w:val="en-GB"/>
        </w:rPr>
        <w:t>appointments to the office of prosecutor in a structure of the Prosecutor’s Office attached to the High Court of Cassation and Justice must respect the same principle and valorise the constitutional role of the Public Ministry as to its representatives’ careers</w:t>
      </w:r>
      <w:r w:rsidRPr="00EE08C7">
        <w:rPr>
          <w:rFonts w:ascii="Times New Roman" w:hAnsi="Times New Roman"/>
          <w:sz w:val="28"/>
          <w:szCs w:val="28"/>
          <w:lang w:val="en-GB"/>
        </w:rPr>
        <w:t>.</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For the reasons set out above, we consider that, under the pretext of the operationalisation of the Section for the investigation of justice-related criminal offences, within the time limit set by law, according to the will of the primary legislator and for the removal of the possibility of institutional deadlock,</w:t>
      </w:r>
      <w:r w:rsidRPr="00EE08C7">
        <w:rPr>
          <w:rFonts w:ascii="Times New Roman" w:hAnsi="Times New Roman"/>
          <w:b/>
          <w:i/>
          <w:sz w:val="28"/>
          <w:szCs w:val="28"/>
          <w:lang w:val="en-GB"/>
        </w:rPr>
        <w:t xml:space="preserve"> the delegated legislator has adopted a normative act with negative consequences in </w:t>
      </w:r>
      <w:r w:rsidRPr="00EE08C7">
        <w:rPr>
          <w:rFonts w:ascii="Times New Roman" w:hAnsi="Times New Roman"/>
          <w:b/>
          <w:i/>
          <w:sz w:val="28"/>
          <w:szCs w:val="28"/>
          <w:lang w:val="en-GB"/>
        </w:rPr>
        <w:lastRenderedPageBreak/>
        <w:t>terms of achieving the constitutional role of the Public Ministry, which is likely to affect the regime</w:t>
      </w:r>
      <w:r w:rsidRPr="00EE08C7">
        <w:rPr>
          <w:rFonts w:ascii="Times New Roman" w:hAnsi="Times New Roman"/>
          <w:sz w:val="28"/>
          <w:szCs w:val="28"/>
          <w:lang w:val="en-GB"/>
        </w:rPr>
        <w:t xml:space="preserve"> </w:t>
      </w:r>
      <w:r w:rsidRPr="00EE08C7">
        <w:rPr>
          <w:rFonts w:ascii="Times New Roman" w:hAnsi="Times New Roman"/>
          <w:b/>
          <w:i/>
          <w:sz w:val="28"/>
          <w:szCs w:val="28"/>
          <w:lang w:val="en-GB"/>
        </w:rPr>
        <w:t>of this</w:t>
      </w:r>
      <w:r w:rsidRPr="00EE08C7">
        <w:rPr>
          <w:rFonts w:ascii="Times New Roman" w:hAnsi="Times New Roman"/>
          <w:i/>
          <w:sz w:val="28"/>
          <w:szCs w:val="28"/>
          <w:lang w:val="en-GB"/>
        </w:rPr>
        <w:t xml:space="preserve"> </w:t>
      </w:r>
      <w:r w:rsidRPr="00EE08C7">
        <w:rPr>
          <w:rFonts w:ascii="Times New Roman" w:hAnsi="Times New Roman"/>
          <w:b/>
          <w:i/>
          <w:sz w:val="28"/>
          <w:szCs w:val="28"/>
          <w:lang w:val="en-GB"/>
        </w:rPr>
        <w:t>fundamental institution of the State</w:t>
      </w:r>
      <w:r w:rsidRPr="00EE08C7">
        <w:rPr>
          <w:rFonts w:ascii="Times New Roman" w:hAnsi="Times New Roman"/>
          <w:sz w:val="28"/>
          <w:szCs w:val="28"/>
          <w:lang w:val="en-GB"/>
        </w:rPr>
        <w:t>. Moreover, in less than 3 months after the entry into force of the amendments on Law no.304/2004 (Law no.207/2018 entered into force on 23 July 2018, and Government Emergency Ordinance no.90/2018 on 10 October 2018), the delegated legislator annuls the will of the primary legislator, removing the representatives of the Public Ministry from the decision making procedure for the appointment of the prosecutors of the Section for the investigation of justice-related criminal offences, in violation of the principle of the separation of the two categories of magistrates, as validated by the Constitutional Court by Decision no. 252 of 19 April 2018.</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All these consequences demonstrate the </w:t>
      </w:r>
      <w:r w:rsidRPr="00EE08C7">
        <w:rPr>
          <w:rFonts w:ascii="Times New Roman" w:hAnsi="Times New Roman"/>
          <w:b/>
          <w:i/>
          <w:sz w:val="28"/>
          <w:szCs w:val="28"/>
          <w:lang w:val="en-GB"/>
        </w:rPr>
        <w:t xml:space="preserve">unconstitutionality of Article II (2) final sentence and (9) of </w:t>
      </w:r>
      <w:bookmarkStart w:id="48" w:name="_Hlk1816435"/>
      <w:r w:rsidRPr="00EE08C7">
        <w:rPr>
          <w:rFonts w:ascii="Times New Roman" w:hAnsi="Times New Roman"/>
          <w:b/>
          <w:i/>
          <w:sz w:val="28"/>
          <w:szCs w:val="28"/>
          <w:lang w:val="en-GB"/>
        </w:rPr>
        <w:t>Government Emergency Ordinance no.90/2018</w:t>
      </w:r>
      <w:bookmarkEnd w:id="48"/>
      <w:r w:rsidRPr="00EE08C7">
        <w:rPr>
          <w:rFonts w:ascii="Times New Roman" w:hAnsi="Times New Roman"/>
          <w:sz w:val="28"/>
          <w:szCs w:val="28"/>
          <w:lang w:val="en-GB"/>
        </w:rPr>
        <w:t>. However, in view of the fact that</w:t>
      </w:r>
      <w:r w:rsidRPr="00EE08C7">
        <w:rPr>
          <w:rFonts w:ascii="Times New Roman" w:hAnsi="Times New Roman"/>
          <w:b/>
          <w:i/>
          <w:sz w:val="28"/>
          <w:szCs w:val="28"/>
          <w:lang w:val="en-GB"/>
        </w:rPr>
        <w:t xml:space="preserve"> these provisions even concern</w:t>
      </w:r>
      <w:r w:rsidRPr="00EE08C7">
        <w:rPr>
          <w:rFonts w:ascii="Times New Roman" w:hAnsi="Times New Roman"/>
          <w:sz w:val="28"/>
          <w:szCs w:val="28"/>
          <w:lang w:val="en-GB"/>
        </w:rPr>
        <w:t xml:space="preserve"> on the manner in which the competition committee responsible for the selection of candidates is made up, as well as the body competent to order the appointment to the management and executive positions within the Section for the investigation of justice-related criminal offences, </w:t>
      </w:r>
      <w:r w:rsidRPr="00EE08C7">
        <w:rPr>
          <w:rFonts w:ascii="Times New Roman" w:hAnsi="Times New Roman"/>
          <w:b/>
          <w:i/>
          <w:sz w:val="28"/>
          <w:szCs w:val="28"/>
          <w:lang w:val="en-GB"/>
        </w:rPr>
        <w:t>which are essential elements of the derogation procedure put in place by the delegated legislator</w:t>
      </w:r>
      <w:r w:rsidRPr="00EE08C7">
        <w:rPr>
          <w:rFonts w:ascii="Times New Roman" w:hAnsi="Times New Roman"/>
          <w:sz w:val="28"/>
          <w:szCs w:val="28"/>
          <w:lang w:val="en-GB"/>
        </w:rPr>
        <w:t>, we note that their unconstitutionality affects the Emergency Government Ordinance no.90/2018 as a whole.</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In conclusion, we note that the objection of unconstitutionality is justified, so the Law approving Government Emergency Ordinance no. 90/2018 on certain measures for the operationalisation of the Section for the investigation of justice-related criminal offences, and the Government Emergency Ordinance no.90/2018 are unconstitutional as a whole.</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Judges,</w:t>
      </w: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bCs/>
          <w:sz w:val="28"/>
          <w:szCs w:val="28"/>
          <w:lang w:val="en-GB"/>
        </w:rPr>
      </w:pPr>
      <w:r w:rsidRPr="00EE08C7">
        <w:rPr>
          <w:rFonts w:ascii="Times New Roman" w:hAnsi="Times New Roman"/>
          <w:b/>
          <w:bCs/>
          <w:sz w:val="28"/>
          <w:szCs w:val="28"/>
          <w:lang w:val="en-GB"/>
        </w:rPr>
        <w:t>Daniel Marius MORAR</w:t>
      </w: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bCs/>
          <w:sz w:val="28"/>
          <w:szCs w:val="28"/>
          <w:lang w:val="en-GB"/>
        </w:rPr>
      </w:pPr>
      <w:r w:rsidRPr="00EE08C7">
        <w:rPr>
          <w:rFonts w:ascii="Times New Roman" w:hAnsi="Times New Roman"/>
          <w:b/>
          <w:bCs/>
          <w:sz w:val="28"/>
          <w:szCs w:val="28"/>
          <w:lang w:val="en-GB"/>
        </w:rPr>
        <w:lastRenderedPageBreak/>
        <w:t>Mircea Ştefan MINEA</w:t>
      </w: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sz w:val="28"/>
          <w:szCs w:val="28"/>
          <w:lang w:val="en-GB"/>
        </w:rPr>
      </w:pPr>
      <w:r w:rsidRPr="00EE08C7">
        <w:rPr>
          <w:rFonts w:ascii="Times New Roman" w:hAnsi="Times New Roman"/>
          <w:b/>
          <w:bCs/>
          <w:sz w:val="28"/>
          <w:szCs w:val="28"/>
          <w:lang w:val="en-GB"/>
        </w:rPr>
        <w:t>Livia Doina STANCIU</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CONCURRING OPINION</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While we share the solution of dismissal, as inadmissible, of the request for submitting preliminary questions to the Court of Justice of the European Union</w:t>
      </w:r>
      <w:r w:rsidRPr="00EE08C7">
        <w:rPr>
          <w:rFonts w:ascii="Times New Roman" w:hAnsi="Times New Roman"/>
          <w:sz w:val="28"/>
          <w:szCs w:val="28"/>
          <w:lang w:val="en-GB"/>
        </w:rPr>
        <w:t>, handed down by the Constitutional Court with the present decision,</w:t>
      </w:r>
      <w:r w:rsidRPr="00EE08C7">
        <w:rPr>
          <w:rFonts w:ascii="Times New Roman" w:hAnsi="Times New Roman"/>
          <w:b/>
          <w:sz w:val="28"/>
          <w:szCs w:val="28"/>
          <w:lang w:val="en-GB"/>
        </w:rPr>
        <w:t xml:space="preserve"> we consider that its reasoning should have been strictly limited to this operative part</w:t>
      </w:r>
      <w:r w:rsidRPr="00EE08C7">
        <w:rPr>
          <w:rFonts w:ascii="Times New Roman" w:hAnsi="Times New Roman"/>
          <w:sz w:val="28"/>
          <w:szCs w:val="28"/>
          <w:lang w:val="en-GB"/>
        </w:rPr>
        <w:t>, taking into account, on the one hand, the legal effects of the decisions of the Constitutional Court and, on the other hand, the legal regime of the inadmissibility cases, as described below.</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 xml:space="preserve">1. The </w:t>
      </w:r>
      <w:r w:rsidRPr="00EE08C7">
        <w:rPr>
          <w:rFonts w:ascii="Times New Roman" w:hAnsi="Times New Roman"/>
          <w:b/>
          <w:i/>
          <w:sz w:val="28"/>
          <w:szCs w:val="28"/>
          <w:lang w:val="en-GB"/>
        </w:rPr>
        <w:t>erga omnes</w:t>
      </w:r>
      <w:r w:rsidRPr="00EE08C7">
        <w:rPr>
          <w:rFonts w:ascii="Times New Roman" w:hAnsi="Times New Roman"/>
          <w:b/>
          <w:sz w:val="28"/>
          <w:szCs w:val="28"/>
          <w:lang w:val="en-GB"/>
        </w:rPr>
        <w:t xml:space="preserve"> binding nature of Constitutional Court’s decisions in terms of both the reasoning part and the operative part thereof</w:t>
      </w:r>
      <w:r w:rsidRPr="00EE08C7">
        <w:rPr>
          <w:rFonts w:ascii="Times New Roman" w:hAnsi="Times New Roman"/>
          <w:sz w:val="28"/>
          <w:szCs w:val="28"/>
          <w:lang w:val="en-GB"/>
        </w:rPr>
        <w:t xml:space="preserv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Article 147 (4) of the Romanian Constitution states as follows: “</w:t>
      </w:r>
      <w:r w:rsidRPr="00EE08C7">
        <w:rPr>
          <w:rFonts w:ascii="Times New Roman" w:hAnsi="Times New Roman"/>
          <w:i/>
          <w:sz w:val="28"/>
          <w:szCs w:val="28"/>
          <w:lang w:val="en-GB"/>
        </w:rPr>
        <w:t>Decisions of the Constitutional Court shall be published in the Official Gazette of Romania</w:t>
      </w:r>
      <w:r w:rsidRPr="00EE08C7">
        <w:rPr>
          <w:rFonts w:ascii="Times New Roman" w:hAnsi="Times New Roman"/>
          <w:sz w:val="28"/>
          <w:szCs w:val="28"/>
          <w:lang w:val="en-GB"/>
        </w:rPr>
        <w:t>.</w:t>
      </w:r>
      <w:r w:rsidRPr="00EE08C7">
        <w:rPr>
          <w:rFonts w:ascii="Times New Roman" w:hAnsi="Times New Roman"/>
          <w:i/>
          <w:iCs/>
          <w:sz w:val="28"/>
          <w:szCs w:val="28"/>
          <w:lang w:val="en-GB"/>
        </w:rPr>
        <w:t xml:space="preserve"> As from their publication, decisions shall be generally binding and take effect only for the future</w:t>
      </w:r>
      <w:r w:rsidRPr="00EE08C7">
        <w:rPr>
          <w:rFonts w:ascii="Times New Roman" w:hAnsi="Times New Roman"/>
          <w:iCs/>
          <w:sz w:val="28"/>
          <w:szCs w:val="28"/>
          <w:lang w:val="en-GB"/>
        </w:rPr>
        <w:t>”.</w:t>
      </w:r>
      <w:r w:rsidRPr="00EE08C7">
        <w:rPr>
          <w:rFonts w:ascii="Times New Roman" w:hAnsi="Times New Roman"/>
          <w:sz w:val="28"/>
          <w:szCs w:val="28"/>
          <w:lang w:val="en-GB"/>
        </w:rPr>
        <w:t xml:space="preserv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In a settled case law, beginning with the Plenum Decision no. 1/1995</w:t>
      </w:r>
      <w:r w:rsidRPr="00EE08C7">
        <w:rPr>
          <w:rFonts w:ascii="Times New Roman" w:eastAsia="Times New Roman" w:hAnsi="Times New Roman" w:cs="Times New Roman"/>
          <w:sz w:val="28"/>
          <w:szCs w:val="28"/>
          <w:vertAlign w:val="superscript"/>
          <w:lang w:val="en-GB"/>
        </w:rPr>
        <w:footnoteReference w:id="14"/>
      </w:r>
      <w:r w:rsidRPr="00EE08C7">
        <w:rPr>
          <w:rFonts w:ascii="Times New Roman" w:hAnsi="Times New Roman"/>
          <w:sz w:val="28"/>
          <w:szCs w:val="28"/>
          <w:lang w:val="en-GB"/>
        </w:rPr>
        <w:t xml:space="preserve"> the Court ruled that the res iudicata attached to the jurisdictional acts, and thus to the decisions of the Constitutional Court, </w:t>
      </w:r>
      <w:r w:rsidRPr="00EE08C7">
        <w:rPr>
          <w:rFonts w:ascii="Times New Roman" w:hAnsi="Times New Roman"/>
          <w:b/>
          <w:sz w:val="28"/>
          <w:szCs w:val="28"/>
          <w:lang w:val="en-GB"/>
        </w:rPr>
        <w:t>is attached not only to the operative part, but also to the considerations on which it is based</w:t>
      </w:r>
      <w:r w:rsidRPr="00EE08C7">
        <w:rPr>
          <w:rFonts w:ascii="Times New Roman" w:eastAsia="Times New Roman" w:hAnsi="Times New Roman" w:cs="Times New Roman"/>
          <w:sz w:val="28"/>
          <w:szCs w:val="28"/>
          <w:vertAlign w:val="superscript"/>
          <w:lang w:val="en-GB"/>
        </w:rPr>
        <w:footnoteReference w:id="15"/>
      </w:r>
      <w:r w:rsidRPr="00EE08C7">
        <w:rPr>
          <w:rFonts w:ascii="Times New Roman" w:hAnsi="Times New Roman"/>
          <w:b/>
          <w:sz w:val="28"/>
          <w:szCs w:val="28"/>
          <w:lang w:val="en-GB"/>
        </w:rPr>
        <w:t>.</w:t>
      </w:r>
      <w:r w:rsidRPr="00EE08C7">
        <w:rPr>
          <w:rFonts w:ascii="Times New Roman" w:hAnsi="Times New Roman"/>
          <w:sz w:val="28"/>
          <w:szCs w:val="28"/>
          <w:lang w:val="en-GB"/>
        </w:rPr>
        <w:t xml:space="preserve"> As a consequence, the Court </w:t>
      </w:r>
      <w:r w:rsidRPr="00EE08C7">
        <w:rPr>
          <w:rFonts w:ascii="Times New Roman" w:hAnsi="Times New Roman"/>
          <w:sz w:val="28"/>
          <w:szCs w:val="28"/>
          <w:lang w:val="en-GB"/>
        </w:rPr>
        <w:lastRenderedPageBreak/>
        <w:t xml:space="preserve">held that both the Parliament and the Government, i.e. the public authorities and institutions must fully comply with both the reasoning part and the operative parts of the decisions which the Constitutional Court delivers.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Referring to the mandatory nature of the operative part of its decisions, the Court also considered </w:t>
      </w:r>
      <w:r w:rsidRPr="00EE08C7">
        <w:rPr>
          <w:rFonts w:ascii="Times New Roman" w:hAnsi="Times New Roman"/>
          <w:b/>
          <w:sz w:val="28"/>
          <w:szCs w:val="28"/>
          <w:lang w:val="en-GB"/>
        </w:rPr>
        <w:t>those considerations which, in the chain of logic of reasoning, substantiate the operative part of Court’s decision, because only of those considerations can be claimed to be “underlying” the operative part</w:t>
      </w:r>
      <w:r w:rsidRPr="00EE08C7">
        <w:rPr>
          <w:rFonts w:ascii="Times New Roman" w:hAnsi="Times New Roman"/>
          <w:sz w:val="28"/>
          <w:szCs w:val="28"/>
          <w:lang w:val="en-GB"/>
        </w:rPr>
        <w:t>.</w:t>
      </w:r>
      <w:r w:rsidRPr="00EE08C7">
        <w:rPr>
          <w:rFonts w:ascii="Times New Roman" w:hAnsi="Times New Roman"/>
          <w:b/>
          <w:sz w:val="28"/>
          <w:szCs w:val="28"/>
          <w:lang w:val="en-GB"/>
        </w:rPr>
        <w:t xml:space="preserve">  </w:t>
      </w:r>
      <w:r w:rsidRPr="00EE08C7">
        <w:rPr>
          <w:rFonts w:ascii="Times New Roman" w:hAnsi="Times New Roman"/>
          <w:sz w:val="28"/>
          <w:szCs w:val="28"/>
          <w:lang w:val="en-GB"/>
        </w:rPr>
        <w:t xml:space="preserve">Moreover, by addressing the issue of the judicial precedent, i.e. its binding force (as in the case of the Constitutional Court’s decisions), </w:t>
      </w:r>
      <w:r w:rsidRPr="00EE08C7">
        <w:rPr>
          <w:rFonts w:ascii="Times New Roman" w:hAnsi="Times New Roman"/>
          <w:b/>
          <w:sz w:val="28"/>
          <w:szCs w:val="28"/>
          <w:lang w:val="en-GB"/>
        </w:rPr>
        <w:t>the doctrine</w:t>
      </w:r>
      <w:r w:rsidRPr="00EE08C7">
        <w:rPr>
          <w:rFonts w:ascii="Times New Roman" w:eastAsia="Times New Roman" w:hAnsi="Times New Roman" w:cs="Times New Roman"/>
          <w:b/>
          <w:sz w:val="28"/>
          <w:szCs w:val="28"/>
          <w:vertAlign w:val="superscript"/>
          <w:lang w:val="en-GB"/>
        </w:rPr>
        <w:footnoteReference w:id="16"/>
      </w:r>
      <w:r w:rsidRPr="00EE08C7">
        <w:rPr>
          <w:rFonts w:ascii="Times New Roman" w:hAnsi="Times New Roman"/>
          <w:b/>
          <w:sz w:val="28"/>
          <w:szCs w:val="28"/>
          <w:lang w:val="en-GB"/>
        </w:rPr>
        <w:t xml:space="preserve"> underlines that it would be wrong to conclude that all the contents of a decision are equally weighted.</w:t>
      </w:r>
      <w:r w:rsidRPr="00EE08C7">
        <w:rPr>
          <w:rFonts w:ascii="Times New Roman" w:hAnsi="Times New Roman"/>
          <w:sz w:val="28"/>
          <w:szCs w:val="28"/>
          <w:lang w:val="en-GB"/>
        </w:rPr>
        <w:t xml:space="preserve"> The traditional opinion is that a difference must be drawn between the </w:t>
      </w:r>
      <w:r w:rsidRPr="00EE08C7">
        <w:rPr>
          <w:rFonts w:ascii="Times New Roman" w:hAnsi="Times New Roman"/>
          <w:i/>
          <w:sz w:val="28"/>
          <w:szCs w:val="28"/>
          <w:lang w:val="en-GB"/>
        </w:rPr>
        <w:t>ratio decidendi</w:t>
      </w:r>
      <w:r w:rsidRPr="00EE08C7">
        <w:rPr>
          <w:rFonts w:ascii="Times New Roman" w:hAnsi="Times New Roman"/>
          <w:sz w:val="28"/>
          <w:szCs w:val="28"/>
          <w:lang w:val="en-GB"/>
        </w:rPr>
        <w:t xml:space="preserve"> of a court decision, i.e. the mandatory part (“reasons underlying the operative part”), and </w:t>
      </w:r>
      <w:r w:rsidRPr="00EE08C7">
        <w:rPr>
          <w:rFonts w:ascii="Times New Roman" w:hAnsi="Times New Roman"/>
          <w:i/>
          <w:sz w:val="28"/>
          <w:szCs w:val="28"/>
          <w:lang w:val="en-GB"/>
        </w:rPr>
        <w:t>obiter dicta</w:t>
      </w:r>
      <w:r w:rsidRPr="00EE08C7">
        <w:rPr>
          <w:rFonts w:ascii="Times New Roman" w:hAnsi="Times New Roman"/>
          <w:sz w:val="28"/>
          <w:szCs w:val="28"/>
          <w:lang w:val="en-GB"/>
        </w:rPr>
        <w:t>, i.e. the non-binding part, including remarks, opinions, which do not support the device themselves, should be made.</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Precisely in order not to accredit an error in the aforementioned sense, and taking into account the fact that the Constitutional Court’s decisions are addressed to all recipients of the legal rules, regardless of legal training, upon the issuing and drafting of any decision, it is necessary for the Constitutional Court to create an as clear as possible  “link” between the reasoning and the operative part, highlighting the mandatory reasoning and possible </w:t>
      </w:r>
      <w:r w:rsidRPr="00EE08C7">
        <w:rPr>
          <w:rFonts w:ascii="Times New Roman" w:hAnsi="Times New Roman"/>
          <w:i/>
          <w:sz w:val="28"/>
          <w:szCs w:val="28"/>
          <w:lang w:val="en-GB"/>
        </w:rPr>
        <w:t>obiter dicta</w:t>
      </w:r>
      <w:r w:rsidRPr="00EE08C7">
        <w:rPr>
          <w:rFonts w:ascii="Times New Roman" w:hAnsi="Times New Roman"/>
          <w:sz w:val="28"/>
          <w:szCs w:val="28"/>
          <w:lang w:val="en-GB"/>
        </w:rPr>
        <w:t xml:space="preserve"> considerations, which are not legally binding. The Court must also position itself in the position of the addressees of the decision, the requirements of clarity and precision, which the Court itself has developed in application of the principle of legal certainty, being equally applicable to the Court. In order to avoid situations where even its acts become subject to </w:t>
      </w:r>
      <w:r w:rsidRPr="00EE08C7">
        <w:rPr>
          <w:rFonts w:ascii="Times New Roman" w:hAnsi="Times New Roman"/>
          <w:sz w:val="28"/>
          <w:szCs w:val="28"/>
          <w:lang w:val="en-GB"/>
        </w:rPr>
        <w:lastRenderedPageBreak/>
        <w:t xml:space="preserve">diverging interpretations, the reasons that support the operative part and which become mandatory, must be formulated in a clear and accessible manner, consistent with the logic of the reasoning behind. In addition, by creating indestructible logical connections between compulsory considerations and the operative part of decisions, the Court can avoid the dangerous process of “cutting-up” some considerations, being them even </w:t>
      </w:r>
      <w:r w:rsidRPr="00EE08C7">
        <w:rPr>
          <w:rFonts w:ascii="Times New Roman" w:hAnsi="Times New Roman"/>
          <w:i/>
          <w:sz w:val="28"/>
          <w:szCs w:val="28"/>
          <w:lang w:val="en-GB"/>
        </w:rPr>
        <w:t>obiter dicta</w:t>
      </w:r>
      <w:r w:rsidRPr="00EE08C7">
        <w:rPr>
          <w:rFonts w:ascii="Times New Roman" w:hAnsi="Times New Roman"/>
          <w:sz w:val="28"/>
          <w:szCs w:val="28"/>
          <w:lang w:val="en-GB"/>
        </w:rPr>
        <w:t>, and the use thereof in different contexts, which could make them seem mandatory, such as to create legal uncertainty by substantiating legal reasoning on false premises.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2.  In the present case,</w:t>
      </w:r>
      <w:r w:rsidRPr="00EE08C7">
        <w:rPr>
          <w:rFonts w:ascii="Times New Roman" w:hAnsi="Times New Roman"/>
          <w:b/>
          <w:sz w:val="28"/>
          <w:szCs w:val="28"/>
          <w:u w:val="single"/>
          <w:lang w:val="en-GB"/>
        </w:rPr>
        <w:t xml:space="preserve"> the Constitutional Court has declared inadmissible a request to submit preliminary questions to the Court of Justice of the European Union</w:t>
      </w:r>
      <w:r w:rsidRPr="00EE08C7">
        <w:rPr>
          <w:rFonts w:ascii="Times New Roman" w:hAnsi="Times New Roman"/>
          <w:b/>
          <w:sz w:val="28"/>
          <w:szCs w:val="28"/>
          <w:lang w:val="en-GB"/>
        </w:rPr>
        <w:t xml:space="preserve"> for reasons relating to the lack of relevance as to the subject-matter of the case in which the request was made.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 xml:space="preserve">Thus, in paragraph 71, the final sentence of the decision, the Court held that, as all the arguments put forward by the authors of the request to submit preliminary questions to the CJEU were concerned with the establishment of the Section for the investigation of justice-related criminal offences, they were not related to the subject-matter of the case in which the request was made and which concerns exclusively the constitutional review of the Law approving Government Emergency Ordinance no.90/2018, as well as Government Emergency Ordinance no.90/2018, aimed at the operationalisation of the Section for the investigation of justice-related criminal offences. In other words, even if the Constitutional Court would allow the request and would refer the four questions to the CJEU, the replies received would not have any bearing on the resolution of the substance of the case pending before the Constitutional Court.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 xml:space="preserve">In the same paragraph 71, the second sentence, the Constitutional Court also held that, given that the subject-matter of this case is the constitutional </w:t>
      </w:r>
      <w:r w:rsidRPr="00EE08C7">
        <w:rPr>
          <w:rFonts w:ascii="Times New Roman" w:hAnsi="Times New Roman"/>
          <w:b/>
          <w:sz w:val="28"/>
          <w:szCs w:val="28"/>
          <w:lang w:val="en-GB"/>
        </w:rPr>
        <w:lastRenderedPageBreak/>
        <w:t>review of a regulatory act subsequent to the law establishing the contested prosecutor’s office structure, the effect of the decision to be taken by the Constitutional Court shall be limited to the provisions of this regulatory act, and shall not affect the existence of the Section for the investigation of justice-related criminal offences, which remains established and operational under Law no. 304/2004, as amended by Law no. 207/2018.</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sz w:val="28"/>
          <w:szCs w:val="28"/>
          <w:lang w:val="en-GB"/>
        </w:rPr>
        <w:t xml:space="preserve">3. As a result, in our view, </w:t>
      </w:r>
      <w:r w:rsidRPr="00EE08C7">
        <w:rPr>
          <w:rFonts w:ascii="Times New Roman" w:hAnsi="Times New Roman"/>
          <w:b/>
          <w:sz w:val="28"/>
          <w:szCs w:val="28"/>
          <w:u w:val="single"/>
          <w:lang w:val="en-GB"/>
        </w:rPr>
        <w:t>only these considerations, which are to be found in paragraph 71 of the Decision and which explain the inadmissibility solution, had to be reflected in the reasoning of the decision, being therefore binding</w:t>
      </w:r>
      <w:r w:rsidRPr="00EE08C7">
        <w:rPr>
          <w:rFonts w:ascii="Times New Roman" w:hAnsi="Times New Roman"/>
          <w:b/>
          <w:sz w:val="28"/>
          <w:szCs w:val="28"/>
          <w:lang w:val="en-GB"/>
        </w:rPr>
        <w:t>.</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b/>
          <w:sz w:val="28"/>
          <w:szCs w:val="28"/>
          <w:u w:val="single"/>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Any other considerations contained in the Decision, cited as related to the declaration as inadmissible of the request for submission of preliminary questions to the Court of Justice of the European Union, can only be </w:t>
      </w:r>
      <w:r w:rsidRPr="00EE08C7">
        <w:rPr>
          <w:rFonts w:ascii="Times New Roman" w:hAnsi="Times New Roman"/>
          <w:i/>
          <w:sz w:val="28"/>
          <w:szCs w:val="28"/>
          <w:lang w:val="en-GB"/>
        </w:rPr>
        <w:t>obiter dicta</w:t>
      </w:r>
      <w:r w:rsidRPr="00EE08C7">
        <w:rPr>
          <w:rFonts w:ascii="Times New Roman" w:hAnsi="Times New Roman"/>
          <w:sz w:val="28"/>
          <w:szCs w:val="28"/>
          <w:lang w:val="en-GB"/>
        </w:rPr>
        <w:t xml:space="preserve">, and thus, in our view, should not have been mentioned and should not be mentioned, as they interfere improperly with the decision of the European authority competent to rule on the content of the preliminary questions in question, this authority being the Court of Justice of the European Union. </w:t>
      </w:r>
      <w:r w:rsidRPr="00EE08C7">
        <w:rPr>
          <w:rFonts w:ascii="Times New Roman" w:hAnsi="Times New Roman"/>
          <w:b/>
          <w:sz w:val="28"/>
          <w:szCs w:val="28"/>
          <w:lang w:val="en-GB"/>
        </w:rPr>
        <w:tab/>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On the other hand, the inadmissibility grounds are legal grounds preventing the triggering or the extension of the constitutional review procedure that the Court carries out. The constitutional and legal framework strictly underpinning the role and competence of the Constitutional Court materialise, from a procedural viewpoint, in the existence of these inadmissibility cases, which determine the legal limits for the review that the Court can exert.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 </w:t>
      </w:r>
      <w:r w:rsidRPr="00EE08C7">
        <w:rPr>
          <w:rFonts w:ascii="Times New Roman" w:hAnsi="Times New Roman"/>
          <w:sz w:val="28"/>
          <w:szCs w:val="28"/>
          <w:lang w:val="en-GB"/>
        </w:rPr>
        <w:tab/>
      </w:r>
      <w:r w:rsidRPr="00EE08C7">
        <w:rPr>
          <w:rFonts w:ascii="Times New Roman" w:hAnsi="Times New Roman"/>
          <w:b/>
          <w:sz w:val="28"/>
          <w:szCs w:val="28"/>
          <w:lang w:val="en-GB"/>
        </w:rPr>
        <w:t>Whether they are expressly regulated by law, or they are established by way of case-law, the inadmissibility cases are imperative in nature</w:t>
      </w:r>
      <w:r w:rsidRPr="00EE08C7">
        <w:rPr>
          <w:rFonts w:ascii="Times New Roman" w:hAnsi="Times New Roman"/>
          <w:sz w:val="28"/>
          <w:szCs w:val="28"/>
          <w:lang w:val="en-GB"/>
        </w:rPr>
        <w:t xml:space="preserv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bCs/>
          <w:sz w:val="28"/>
          <w:szCs w:val="28"/>
          <w:lang w:val="en-GB"/>
        </w:rPr>
        <w:lastRenderedPageBreak/>
        <w:t xml:space="preserve">    As a result, if the Court identifies the existence of such a case, it must confine itself to its strict analysis and even more so when it comes to the extent of the jurisdiction of the Constitutional Court. In this regard, the inadmissibility cases constitute a genuine self-limitation tool designed to keep the Constitutional Court within the boundaries of its constitutional role, and to protect it from any involvement in disputes that have nothing to do with its role. </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sz w:val="28"/>
          <w:szCs w:val="28"/>
          <w:lang w:val="en-GB"/>
        </w:rPr>
        <w:t xml:space="preserve"> The development of the constitutional review and the remarkable nuancing of decisions pronounced by the Constitutional Court do not, and cannot, lead to the substitution by the Constitutional Court of another public authority from the point of view of its specific tasks.</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r w:rsidRPr="00EE08C7">
        <w:rPr>
          <w:rFonts w:ascii="Times New Roman" w:hAnsi="Times New Roman"/>
          <w:b/>
          <w:bCs/>
          <w:sz w:val="28"/>
          <w:szCs w:val="28"/>
          <w:lang w:val="en-GB"/>
        </w:rPr>
        <w:t xml:space="preserve"> In this case, quite apart from the consideration which explain the lack of link to the subject matter of the case in which the request for referral of the preliminary question to the CJEU was made, i.e. distinct from considerations supporting the inadmissibility mechanism, considerations mentioned in paragraph 71 of the Decision, the Court also retained other considerations that go beyond its competence and which, in our view, should not have been mentioned in the framework of a rejection as inadmissible of the request for submission of preliminary questions to the CJEU.</w:t>
      </w: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both"/>
        <w:rPr>
          <w:rFonts w:ascii="Times New Roman" w:eastAsia="Times New Roman" w:hAnsi="Times New Roman" w:cs="Times New Roman"/>
          <w:sz w:val="28"/>
          <w:szCs w:val="28"/>
          <w:lang w:val="en-GB"/>
        </w:rPr>
      </w:pP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sz w:val="28"/>
          <w:szCs w:val="28"/>
          <w:lang w:val="en-GB"/>
        </w:rPr>
      </w:pPr>
      <w:r w:rsidRPr="00EE08C7">
        <w:rPr>
          <w:rFonts w:ascii="Times New Roman" w:hAnsi="Times New Roman"/>
          <w:b/>
          <w:sz w:val="28"/>
          <w:szCs w:val="28"/>
          <w:lang w:val="en-GB"/>
        </w:rPr>
        <w:t>JUDGE,</w:t>
      </w:r>
    </w:p>
    <w:p w:rsidR="003044A6" w:rsidRPr="00EE08C7" w:rsidRDefault="003044A6" w:rsidP="003044A6">
      <w:pPr>
        <w:autoSpaceDE w:val="0"/>
        <w:autoSpaceDN w:val="0"/>
        <w:adjustRightInd w:val="0"/>
        <w:spacing w:after="0" w:line="360" w:lineRule="auto"/>
        <w:ind w:firstLine="720"/>
        <w:jc w:val="center"/>
        <w:rPr>
          <w:rFonts w:ascii="Times New Roman" w:eastAsia="Times New Roman" w:hAnsi="Times New Roman" w:cs="Times New Roman"/>
          <w:b/>
          <w:sz w:val="28"/>
          <w:szCs w:val="28"/>
          <w:lang w:val="en-GB"/>
        </w:rPr>
      </w:pPr>
    </w:p>
    <w:p w:rsidR="006A40ED" w:rsidRPr="00EE08C7" w:rsidRDefault="003044A6" w:rsidP="00EE08C7">
      <w:pPr>
        <w:autoSpaceDE w:val="0"/>
        <w:autoSpaceDN w:val="0"/>
        <w:adjustRightInd w:val="0"/>
        <w:spacing w:after="0" w:line="360" w:lineRule="auto"/>
        <w:ind w:firstLine="720"/>
        <w:jc w:val="center"/>
        <w:rPr>
          <w:lang w:val="en-GB"/>
        </w:rPr>
      </w:pPr>
      <w:r w:rsidRPr="00EE08C7">
        <w:rPr>
          <w:rFonts w:ascii="Times New Roman" w:hAnsi="Times New Roman"/>
          <w:b/>
          <w:sz w:val="28"/>
          <w:szCs w:val="28"/>
          <w:lang w:val="en-GB"/>
        </w:rPr>
        <w:t>Dr. LIVIA DOINA STANCIU</w:t>
      </w:r>
    </w:p>
    <w:sectPr w:rsidR="006A40ED" w:rsidRPr="00EE08C7">
      <w:footerReference w:type="default" r:id="rId11"/>
      <w:footerReference w:type="first" r:id="rId12"/>
      <w:pgSz w:w="12240" w:h="15840"/>
      <w:pgMar w:top="900" w:right="1325" w:bottom="1170" w:left="1418"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053" w:rsidRDefault="00CF5053">
      <w:pPr>
        <w:spacing w:after="0" w:line="240" w:lineRule="auto"/>
      </w:pPr>
      <w:r>
        <w:separator/>
      </w:r>
    </w:p>
  </w:endnote>
  <w:endnote w:type="continuationSeparator" w:id="0">
    <w:p w:rsidR="00CF5053" w:rsidRDefault="00CF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Liberation Sans">
    <w:altName w:val="Arial"/>
    <w:charset w:val="01"/>
    <w:family w:val="swiss"/>
    <w:pitch w:val="variable"/>
  </w:font>
  <w:font w:name="DejaVu Sans">
    <w:charset w:val="01"/>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8C2" w:rsidRDefault="000808C2">
    <w:pPr>
      <w:pStyle w:val="Footer"/>
      <w:jc w:val="right"/>
    </w:pPr>
    <w:r>
      <w:fldChar w:fldCharType="begin"/>
    </w:r>
    <w:r>
      <w:instrText xml:space="preserve"> PAGE </w:instrText>
    </w:r>
    <w:r>
      <w:fldChar w:fldCharType="separate"/>
    </w:r>
    <w:r w:rsidR="001C1052">
      <w:rPr>
        <w:noProof/>
      </w:rPr>
      <w:t>1</w:t>
    </w:r>
    <w:r>
      <w:fldChar w:fldCharType="end"/>
    </w:r>
  </w:p>
  <w:p w:rsidR="000808C2" w:rsidRDefault="000808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8C2" w:rsidRDefault="000808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053" w:rsidRDefault="00CF5053">
      <w:pPr>
        <w:spacing w:after="0" w:line="240" w:lineRule="auto"/>
      </w:pPr>
      <w:r>
        <w:separator/>
      </w:r>
    </w:p>
  </w:footnote>
  <w:footnote w:type="continuationSeparator" w:id="0">
    <w:p w:rsidR="00CF5053" w:rsidRDefault="00CF5053">
      <w:pPr>
        <w:spacing w:after="0" w:line="240" w:lineRule="auto"/>
      </w:pPr>
      <w:r>
        <w:continuationSeparator/>
      </w:r>
    </w:p>
  </w:footnote>
  <w:footnote w:id="1">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The Council of Europe Consultative Council of European Judges (CCJE) recommended in past opinions that:</w:t>
      </w:r>
      <w:r>
        <w:cr/>
        <w:t xml:space="preserve"> “</w:t>
      </w:r>
      <w:r>
        <w:rPr>
          <w:i/>
          <w:iCs/>
        </w:rPr>
        <w:t>the judiciary should be consulted and play an active part in the preparation of any legislation concerning their status and the functioning of the judicial system</w:t>
      </w:r>
      <w:r>
        <w:t xml:space="preserve">”.  “The position of the judiciary and its relation with the other powers of state in a modern democracy”, Opinion no. 18 (2015). </w:t>
      </w:r>
    </w:p>
  </w:footnote>
  <w:footnote w:id="2">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Law no. 207/2018 amending and supplementing Law no. 304/2004 on the judicial organization entered into force on 20 July, Law no. 234/2018 amending and supplementing Law no. 317/2004 on the Superior Council of Magistracy entered into force on 11 October, Law no. 242/2018 amending and supplementing Law no. 303/2004 on the statute of judges and prosecutors entered into force on 15 October. </w:t>
      </w:r>
    </w:p>
  </w:footnote>
  <w:footnote w:id="3">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Government Emergency Ordinance no. 92/2018 of 15 October 2018 delays for one year the entry into force of the early retirement scheme, but does not abandon it as recommended by the Venice Commission opinion. </w:t>
      </w:r>
    </w:p>
  </w:footnote>
  <w:footnote w:id="4">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This provision should also be seen in combination with restrictions on the freedom to receive and impart information on criminal proceedings in the amendments of the Criminal Procedure Code.  </w:t>
      </w:r>
    </w:p>
  </w:footnote>
  <w:footnote w:id="5">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Emergency Ordinance no. 92/2018 introduces further changes in the revocation procedure.  </w:t>
      </w:r>
    </w:p>
  </w:footnote>
  <w:footnote w:id="6">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These provisions are described in more detail in the accompanying technical report.  </w:t>
      </w:r>
    </w:p>
  </w:footnote>
  <w:footnote w:id="7">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See recommendation 1 below. </w:t>
      </w:r>
    </w:p>
  </w:footnote>
  <w:footnote w:id="8">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Specifically with respect to Romania, the Venice Commission has underlined the need to increase the independence of the prosecutors (Opinion 924/2018).  </w:t>
      </w:r>
    </w:p>
  </w:footnote>
  <w:footnote w:id="9">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Venice Commission Opinion no. 924/2018 of 20 October 2018. </w:t>
      </w:r>
    </w:p>
  </w:footnote>
  <w:footnote w:id="10">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Greco-AdHocRep (2018)2, 23 March 2018. </w:t>
      </w:r>
    </w:p>
  </w:footnote>
  <w:footnote w:id="11">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Joint statement on behalf of Belgium, Canada, Denmark, Finland, France, Germany, Luxembourg, the Netherlands, Norway, Sweden, Switzerland, and the United States of 29 June 2018.  Available on the website of the embassy of one of the signatories: https://www.swedenabroad.se/en/embassies/romaniabucharest/current/news/joint-statement2/. </w:t>
      </w:r>
    </w:p>
  </w:footnote>
  <w:footnote w:id="12">
    <w:p w:rsidR="000808C2" w:rsidRPr="00FA6AE7" w:rsidRDefault="000808C2" w:rsidP="006A40ED">
      <w:pPr>
        <w:pStyle w:val="footnotedescription"/>
        <w:spacing w:after="0" w:line="240" w:lineRule="auto"/>
        <w:ind w:left="0" w:right="47"/>
        <w:rPr>
          <w:szCs w:val="20"/>
        </w:rPr>
      </w:pPr>
      <w:r>
        <w:rPr>
          <w:rStyle w:val="footnotemark"/>
          <w:szCs w:val="20"/>
          <w:lang w:val="ro-RO"/>
        </w:rPr>
        <w:footnoteRef/>
      </w:r>
      <w:r>
        <w:t xml:space="preserve"> Emergency Ordinance no. 92/2018.  </w:t>
      </w:r>
    </w:p>
  </w:footnote>
  <w:footnote w:id="13">
    <w:p w:rsidR="000808C2" w:rsidRPr="000C086A" w:rsidRDefault="000808C2" w:rsidP="006A40ED">
      <w:pPr>
        <w:pStyle w:val="footnotedescription"/>
        <w:spacing w:after="0" w:line="240" w:lineRule="auto"/>
        <w:ind w:left="0" w:right="47"/>
      </w:pPr>
      <w:r>
        <w:rPr>
          <w:rStyle w:val="FootnoteReference"/>
        </w:rPr>
        <w:footnoteRef/>
      </w:r>
      <w:r>
        <w:t xml:space="preserve"> Emergency Ordinance no. 90/2018. </w:t>
      </w:r>
    </w:p>
  </w:footnote>
  <w:footnote w:id="14">
    <w:p w:rsidR="000808C2" w:rsidRDefault="000808C2" w:rsidP="003044A6">
      <w:pPr>
        <w:pStyle w:val="NoSpacing"/>
        <w:jc w:val="both"/>
      </w:pPr>
      <w:r>
        <w:rPr>
          <w:rStyle w:val="FootnoteReference"/>
        </w:rPr>
        <w:footnoteRef/>
      </w:r>
      <w:r>
        <w:rPr>
          <w:sz w:val="20"/>
          <w:szCs w:val="20"/>
        </w:rPr>
        <w:t xml:space="preserve"> Published in Official Gazette of Romania no. 16 of 26 January 1995</w:t>
      </w:r>
    </w:p>
  </w:footnote>
  <w:footnote w:id="15">
    <w:p w:rsidR="000808C2" w:rsidRPr="005E3643" w:rsidRDefault="000808C2" w:rsidP="00F47A91">
      <w:pPr>
        <w:pStyle w:val="NoSpacing"/>
        <w:jc w:val="both"/>
      </w:pPr>
      <w:r>
        <w:rPr>
          <w:rStyle w:val="FootnoteReference"/>
        </w:rPr>
        <w:footnoteRef/>
      </w:r>
      <w:r>
        <w:t xml:space="preserve"> </w:t>
      </w:r>
      <w:r>
        <w:rPr>
          <w:sz w:val="20"/>
          <w:szCs w:val="20"/>
          <w:lang w:val="en-US"/>
        </w:rPr>
        <w:t>F</w:t>
      </w:r>
      <w:r w:rsidRPr="000808C2">
        <w:rPr>
          <w:sz w:val="20"/>
          <w:szCs w:val="20"/>
        </w:rPr>
        <w:t>or example, Decision no.196/2013, published in the Official Gazette of Romania, Part I, no. 231 of 22 April 2013, Decision no.163/2013, published in the Official Gazette of Romania, Part I, no. 190 of 4 April 2013, Decision no.102/2013, published in the Official Gazette of Romania, Part I, no. 208 of 12 April 2013, Decision no.1039/2012, published in the Official Gazette of Romania, Part I, no. 61 of 29 January 2013, Decision no.536/2011, published in the Official Gazette of Romania, Part I, no. 482 of 7 July 2011, Decision no.414/2010, published in the Official Gazette of Romania, Part I, no. 291 of 4 May 2010, Decision no.415/2010, published in the Official Gazette of Romania, Part I, no. 294 of 5 May 2010</w:t>
      </w:r>
    </w:p>
  </w:footnote>
  <w:footnote w:id="16">
    <w:p w:rsidR="000808C2" w:rsidRPr="00F47A91" w:rsidRDefault="000808C2" w:rsidP="00F47A91">
      <w:pPr>
        <w:pStyle w:val="NormalWeb"/>
        <w:jc w:val="both"/>
        <w:rPr>
          <w:sz w:val="20"/>
          <w:szCs w:val="20"/>
        </w:rPr>
      </w:pPr>
      <w:r>
        <w:rPr>
          <w:rStyle w:val="FootnoteReference"/>
        </w:rPr>
        <w:footnoteRef/>
      </w:r>
      <w:r w:rsidRPr="00F47A91">
        <w:rPr>
          <w:sz w:val="20"/>
          <w:szCs w:val="20"/>
        </w:rPr>
        <w:t xml:space="preserve">Ian McLeod, Ratio Decidendi and Obiter Dictum, </w:t>
      </w:r>
      <w:hyperlink r:id="rId1" w:history="1">
        <w:r w:rsidRPr="00F47A91">
          <w:rPr>
            <w:rStyle w:val="Hyperlink"/>
            <w:sz w:val="20"/>
            <w:szCs w:val="20"/>
          </w:rPr>
          <w:t>Macmillan Law Masters</w:t>
        </w:r>
      </w:hyperlink>
      <w:r w:rsidRPr="00F47A91">
        <w:rPr>
          <w:sz w:val="20"/>
          <w:szCs w:val="20"/>
        </w:rPr>
        <w:t xml:space="preserve"> pp 137-152, </w:t>
      </w:r>
      <w:hyperlink r:id="rId2" w:history="1">
        <w:r w:rsidRPr="00F47A91">
          <w:rPr>
            <w:rStyle w:val="Hyperlink"/>
            <w:sz w:val="20"/>
            <w:szCs w:val="20"/>
          </w:rPr>
          <w:t>https://link.springer.com/chapter/10.1007%2F978-1-349-14289-7_10</w:t>
        </w:r>
      </w:hyperlink>
    </w:p>
    <w:p w:rsidR="000808C2" w:rsidRDefault="000808C2" w:rsidP="003044A6">
      <w:pPr>
        <w:pStyle w:val="NormalWeb"/>
        <w:rPr>
          <w:lang w:val="en"/>
        </w:rPr>
      </w:pPr>
    </w:p>
    <w:p w:rsidR="000808C2" w:rsidRDefault="000808C2" w:rsidP="003044A6">
      <w:pPr>
        <w:ind w:left="720"/>
      </w:pPr>
    </w:p>
    <w:p w:rsidR="000808C2" w:rsidRDefault="000808C2" w:rsidP="003044A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66CDA2"/>
    <w:name w:val="WW8Num3"/>
    <w:lvl w:ilvl="0">
      <w:start w:val="1"/>
      <w:numFmt w:val="decimal"/>
      <w:lvlText w:val="%1."/>
      <w:lvlJc w:val="left"/>
      <w:pPr>
        <w:tabs>
          <w:tab w:val="num" w:pos="0"/>
        </w:tabs>
        <w:ind w:left="1980" w:hanging="360"/>
      </w:pPr>
      <w:rPr>
        <w:rFonts w:ascii="Times New Roman" w:eastAsia="Times New Roman" w:hAnsi="Times New Roman" w:cs="Times New Roman"/>
        <w:b w:val="0"/>
        <w:i w:val="0"/>
        <w:sz w:val="28"/>
        <w:szCs w:val="28"/>
        <w:lang w:val="en-GB"/>
      </w:rPr>
    </w:lvl>
    <w:lvl w:ilvl="1" w:tentative="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2">
    <w:nsid w:val="00000003"/>
    <w:multiLevelType w:val="singleLevel"/>
    <w:tmpl w:val="00000003"/>
    <w:name w:val="WW8Num4"/>
    <w:lvl w:ilvl="0">
      <w:start w:val="1"/>
      <w:numFmt w:val="bullet"/>
      <w:lvlText w:val="-"/>
      <w:lvlJc w:val="left"/>
      <w:pPr>
        <w:tabs>
          <w:tab w:val="num" w:pos="0"/>
        </w:tabs>
        <w:ind w:left="1080" w:hanging="360"/>
      </w:pPr>
      <w:rPr>
        <w:rFonts w:ascii="Times New Roman" w:hAnsi="Times New Roman" w:cs="Times New Roman"/>
      </w:rPr>
    </w:lvl>
  </w:abstractNum>
  <w:abstractNum w:abstractNumId="3">
    <w:nsid w:val="31C46025"/>
    <w:multiLevelType w:val="hybridMultilevel"/>
    <w:tmpl w:val="7D8838B0"/>
    <w:lvl w:ilvl="0" w:tplc="8480AD6E">
      <w:start w:val="1"/>
      <w:numFmt w:val="decimal"/>
      <w:lvlText w:val="%1."/>
      <w:lvlJc w:val="left"/>
      <w:pPr>
        <w:ind w:left="1980" w:hanging="360"/>
      </w:pPr>
      <w:rPr>
        <w:rFonts w:ascii="Times New Roman" w:hAnsi="Times New Roman" w:cs="Times New Roman" w:hint="default"/>
        <w:b w:val="0"/>
        <w:i w:val="0"/>
        <w:sz w:val="28"/>
        <w:szCs w:val="28"/>
      </w:rPr>
    </w:lvl>
    <w:lvl w:ilvl="1" w:tplc="04180019" w:tentative="1">
      <w:start w:val="1"/>
      <w:numFmt w:val="lowerLetter"/>
      <w:lvlText w:val="%2."/>
      <w:lvlJc w:val="left"/>
      <w:pPr>
        <w:ind w:left="2610" w:hanging="360"/>
      </w:pPr>
    </w:lvl>
    <w:lvl w:ilvl="2" w:tplc="0418001B" w:tentative="1">
      <w:start w:val="1"/>
      <w:numFmt w:val="lowerRoman"/>
      <w:lvlText w:val="%3."/>
      <w:lvlJc w:val="right"/>
      <w:pPr>
        <w:ind w:left="3330" w:hanging="180"/>
      </w:pPr>
    </w:lvl>
    <w:lvl w:ilvl="3" w:tplc="0418000F" w:tentative="1">
      <w:start w:val="1"/>
      <w:numFmt w:val="decimal"/>
      <w:lvlText w:val="%4."/>
      <w:lvlJc w:val="left"/>
      <w:pPr>
        <w:ind w:left="4050" w:hanging="360"/>
      </w:pPr>
    </w:lvl>
    <w:lvl w:ilvl="4" w:tplc="04180019" w:tentative="1">
      <w:start w:val="1"/>
      <w:numFmt w:val="lowerLetter"/>
      <w:lvlText w:val="%5."/>
      <w:lvlJc w:val="left"/>
      <w:pPr>
        <w:ind w:left="4770" w:hanging="360"/>
      </w:pPr>
    </w:lvl>
    <w:lvl w:ilvl="5" w:tplc="0418001B" w:tentative="1">
      <w:start w:val="1"/>
      <w:numFmt w:val="lowerRoman"/>
      <w:lvlText w:val="%6."/>
      <w:lvlJc w:val="right"/>
      <w:pPr>
        <w:ind w:left="5490" w:hanging="180"/>
      </w:pPr>
    </w:lvl>
    <w:lvl w:ilvl="6" w:tplc="0418000F" w:tentative="1">
      <w:start w:val="1"/>
      <w:numFmt w:val="decimal"/>
      <w:lvlText w:val="%7."/>
      <w:lvlJc w:val="left"/>
      <w:pPr>
        <w:ind w:left="6210" w:hanging="360"/>
      </w:pPr>
    </w:lvl>
    <w:lvl w:ilvl="7" w:tplc="04180019" w:tentative="1">
      <w:start w:val="1"/>
      <w:numFmt w:val="lowerLetter"/>
      <w:lvlText w:val="%8."/>
      <w:lvlJc w:val="left"/>
      <w:pPr>
        <w:ind w:left="6930" w:hanging="360"/>
      </w:pPr>
    </w:lvl>
    <w:lvl w:ilvl="8" w:tplc="0418001B" w:tentative="1">
      <w:start w:val="1"/>
      <w:numFmt w:val="lowerRoman"/>
      <w:lvlText w:val="%9."/>
      <w:lvlJc w:val="right"/>
      <w:pPr>
        <w:ind w:left="7650" w:hanging="180"/>
      </w:pPr>
    </w:lvl>
  </w:abstractNum>
  <w:abstractNum w:abstractNumId="4">
    <w:nsid w:val="47A678D8"/>
    <w:multiLevelType w:val="hybridMultilevel"/>
    <w:tmpl w:val="2AC0891C"/>
    <w:lvl w:ilvl="0" w:tplc="3B20AF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602"/>
    <w:rsid w:val="000026E5"/>
    <w:rsid w:val="00005F6D"/>
    <w:rsid w:val="00007F89"/>
    <w:rsid w:val="00010953"/>
    <w:rsid w:val="0001274C"/>
    <w:rsid w:val="00035AB8"/>
    <w:rsid w:val="000518BB"/>
    <w:rsid w:val="00070787"/>
    <w:rsid w:val="000729CD"/>
    <w:rsid w:val="00074BEE"/>
    <w:rsid w:val="000808C2"/>
    <w:rsid w:val="00082964"/>
    <w:rsid w:val="00085C21"/>
    <w:rsid w:val="000A102D"/>
    <w:rsid w:val="000A31E6"/>
    <w:rsid w:val="000A572C"/>
    <w:rsid w:val="000B4C38"/>
    <w:rsid w:val="000C6C75"/>
    <w:rsid w:val="000D19F6"/>
    <w:rsid w:val="000E1F33"/>
    <w:rsid w:val="000F5AA4"/>
    <w:rsid w:val="001023D7"/>
    <w:rsid w:val="00102F78"/>
    <w:rsid w:val="001326AB"/>
    <w:rsid w:val="00136133"/>
    <w:rsid w:val="001943DF"/>
    <w:rsid w:val="001C1052"/>
    <w:rsid w:val="001D7749"/>
    <w:rsid w:val="00202330"/>
    <w:rsid w:val="0021723C"/>
    <w:rsid w:val="00225AA8"/>
    <w:rsid w:val="00252863"/>
    <w:rsid w:val="002573F9"/>
    <w:rsid w:val="002B6A30"/>
    <w:rsid w:val="002C1840"/>
    <w:rsid w:val="002C7C5B"/>
    <w:rsid w:val="002E0C1C"/>
    <w:rsid w:val="003044A6"/>
    <w:rsid w:val="00335A9A"/>
    <w:rsid w:val="00354BFA"/>
    <w:rsid w:val="00364D59"/>
    <w:rsid w:val="00386315"/>
    <w:rsid w:val="003F0371"/>
    <w:rsid w:val="00404266"/>
    <w:rsid w:val="00426AE6"/>
    <w:rsid w:val="00427602"/>
    <w:rsid w:val="00433613"/>
    <w:rsid w:val="00463669"/>
    <w:rsid w:val="00473265"/>
    <w:rsid w:val="00477A81"/>
    <w:rsid w:val="004D2774"/>
    <w:rsid w:val="004F6207"/>
    <w:rsid w:val="00505C14"/>
    <w:rsid w:val="005A2D35"/>
    <w:rsid w:val="005B08DA"/>
    <w:rsid w:val="005B7ED2"/>
    <w:rsid w:val="005C7EED"/>
    <w:rsid w:val="005D12AE"/>
    <w:rsid w:val="005D7953"/>
    <w:rsid w:val="005F7818"/>
    <w:rsid w:val="00603E99"/>
    <w:rsid w:val="00620405"/>
    <w:rsid w:val="00625E6E"/>
    <w:rsid w:val="0064025F"/>
    <w:rsid w:val="0065095E"/>
    <w:rsid w:val="00662B5C"/>
    <w:rsid w:val="00673D46"/>
    <w:rsid w:val="00674EF1"/>
    <w:rsid w:val="00681B43"/>
    <w:rsid w:val="006A40ED"/>
    <w:rsid w:val="006A4847"/>
    <w:rsid w:val="006A7A86"/>
    <w:rsid w:val="006F4EE8"/>
    <w:rsid w:val="007028CC"/>
    <w:rsid w:val="00703D2A"/>
    <w:rsid w:val="007852C3"/>
    <w:rsid w:val="007A27C9"/>
    <w:rsid w:val="007C3AAC"/>
    <w:rsid w:val="007C45DC"/>
    <w:rsid w:val="007C6E98"/>
    <w:rsid w:val="007D5586"/>
    <w:rsid w:val="007F4B2A"/>
    <w:rsid w:val="00807CA8"/>
    <w:rsid w:val="0085770C"/>
    <w:rsid w:val="00885CD9"/>
    <w:rsid w:val="00893DFC"/>
    <w:rsid w:val="008D769C"/>
    <w:rsid w:val="00904B61"/>
    <w:rsid w:val="00906229"/>
    <w:rsid w:val="00910B86"/>
    <w:rsid w:val="009316B1"/>
    <w:rsid w:val="009770D8"/>
    <w:rsid w:val="0099053E"/>
    <w:rsid w:val="00A478F5"/>
    <w:rsid w:val="00A55125"/>
    <w:rsid w:val="00A565F6"/>
    <w:rsid w:val="00AA25B3"/>
    <w:rsid w:val="00AA5875"/>
    <w:rsid w:val="00AA7276"/>
    <w:rsid w:val="00AB1C8D"/>
    <w:rsid w:val="00AD6299"/>
    <w:rsid w:val="00AF2D48"/>
    <w:rsid w:val="00B323A1"/>
    <w:rsid w:val="00B755AD"/>
    <w:rsid w:val="00BB01B1"/>
    <w:rsid w:val="00BB2C90"/>
    <w:rsid w:val="00BB7B79"/>
    <w:rsid w:val="00BD47D4"/>
    <w:rsid w:val="00BF57A9"/>
    <w:rsid w:val="00BF7E59"/>
    <w:rsid w:val="00C134A5"/>
    <w:rsid w:val="00C15219"/>
    <w:rsid w:val="00C657C9"/>
    <w:rsid w:val="00C95F8D"/>
    <w:rsid w:val="00CA2F6F"/>
    <w:rsid w:val="00CB5C71"/>
    <w:rsid w:val="00CB7ED6"/>
    <w:rsid w:val="00CC1441"/>
    <w:rsid w:val="00CF5053"/>
    <w:rsid w:val="00D00A58"/>
    <w:rsid w:val="00D05E93"/>
    <w:rsid w:val="00D07A41"/>
    <w:rsid w:val="00D2763A"/>
    <w:rsid w:val="00D3018F"/>
    <w:rsid w:val="00D31FB5"/>
    <w:rsid w:val="00D355F8"/>
    <w:rsid w:val="00D56D95"/>
    <w:rsid w:val="00D60C7E"/>
    <w:rsid w:val="00D75665"/>
    <w:rsid w:val="00D75C94"/>
    <w:rsid w:val="00D96C1F"/>
    <w:rsid w:val="00DA7C79"/>
    <w:rsid w:val="00DB1806"/>
    <w:rsid w:val="00DC1ED6"/>
    <w:rsid w:val="00E050BA"/>
    <w:rsid w:val="00E064D6"/>
    <w:rsid w:val="00E2342B"/>
    <w:rsid w:val="00E65258"/>
    <w:rsid w:val="00E97644"/>
    <w:rsid w:val="00EB0DC9"/>
    <w:rsid w:val="00EE08C7"/>
    <w:rsid w:val="00EF5DCF"/>
    <w:rsid w:val="00F210F9"/>
    <w:rsid w:val="00F47A91"/>
    <w:rsid w:val="00F51E78"/>
    <w:rsid w:val="00F5431B"/>
    <w:rsid w:val="00F75CE8"/>
    <w:rsid w:val="00FB3FE6"/>
    <w:rsid w:val="00FB4B45"/>
    <w:rsid w:val="00FB6DED"/>
    <w:rsid w:val="00FD61E0"/>
    <w:rsid w:val="00FF4B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6" w:lineRule="auto"/>
    </w:pPr>
    <w:rPr>
      <w:rFonts w:ascii="Calibri" w:eastAsia="Calibri" w:hAnsi="Calibri" w:cs="Arial"/>
      <w:sz w:val="22"/>
      <w:szCs w:val="22"/>
      <w:lang w:val="en-US" w:eastAsia="zh-CN"/>
    </w:rPr>
  </w:style>
  <w:style w:type="paragraph" w:styleId="Heading4">
    <w:name w:val="heading 4"/>
    <w:basedOn w:val="Normal"/>
    <w:next w:val="BodyText"/>
    <w:qFormat/>
    <w:pPr>
      <w:widowControl w:val="0"/>
      <w:numPr>
        <w:ilvl w:val="3"/>
        <w:numId w:val="1"/>
      </w:numPr>
      <w:spacing w:after="0" w:line="240" w:lineRule="auto"/>
      <w:ind w:left="8295" w:hanging="327"/>
      <w:outlineLvl w:val="3"/>
    </w:pPr>
    <w:rPr>
      <w:rFonts w:ascii="Arial" w:eastAsia="Arial" w:hAnsi="Arial"/>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b w:val="0"/>
      <w:i w:val="0"/>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Times New Roman" w:hAnsi="Times New Roman" w:cs="Times New Roman"/>
      <w:b w:val="0"/>
      <w:i w:val="0"/>
      <w:sz w:val="28"/>
      <w:szCs w:val="28"/>
      <w:lang w:val="ro-RO"/>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Calibri"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Times New Roman" w:hAnsi="Times New Roman" w:cs="Times New Roman"/>
      <w:b/>
      <w:sz w:val="28"/>
      <w:szCs w:val="28"/>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DefaultParagraphFont1">
    <w:name w:val="Default Paragraph Font1"/>
  </w:style>
  <w:style w:type="character" w:customStyle="1" w:styleId="FooterChar">
    <w:name w:val="Footer Char"/>
    <w:basedOn w:val="DefaultParagraphFont1"/>
  </w:style>
  <w:style w:type="character" w:customStyle="1" w:styleId="FooterChar1">
    <w:name w:val="Footer Char1"/>
    <w:basedOn w:val="DefaultParagraphFont1"/>
  </w:style>
  <w:style w:type="character" w:customStyle="1" w:styleId="Heading4Char">
    <w:name w:val="Heading 4 Char"/>
    <w:rPr>
      <w:rFonts w:ascii="Arial" w:eastAsia="Arial" w:hAnsi="Arial" w:cs="Arial"/>
      <w:sz w:val="29"/>
      <w:szCs w:val="29"/>
    </w:rPr>
  </w:style>
  <w:style w:type="character" w:customStyle="1" w:styleId="FootnoteTextChar">
    <w:name w:val="Footnote Text Char"/>
    <w:uiPriority w:val="99"/>
    <w:rPr>
      <w:sz w:val="20"/>
      <w:szCs w:val="20"/>
    </w:rPr>
  </w:style>
  <w:style w:type="character" w:customStyle="1" w:styleId="FootnoteCharacters">
    <w:name w:val="Footnote Characters"/>
    <w:rPr>
      <w:vertAlign w:val="superscript"/>
    </w:rPr>
  </w:style>
  <w:style w:type="character" w:customStyle="1" w:styleId="footnotedescriptionChar">
    <w:name w:val="footnote description Char"/>
    <w:rPr>
      <w:rFonts w:ascii="Times New Roman" w:eastAsia="Times New Roman" w:hAnsi="Times New Roman" w:cs="Times New Roman"/>
      <w:color w:val="000000"/>
      <w:sz w:val="20"/>
    </w:rPr>
  </w:style>
  <w:style w:type="character" w:customStyle="1" w:styleId="footnotemark">
    <w:name w:val="footnote mark"/>
    <w:rPr>
      <w:rFonts w:ascii="Times New Roman" w:eastAsia="Times New Roman" w:hAnsi="Times New Roman" w:cs="Times New Roman"/>
      <w:color w:val="000000"/>
      <w:sz w:val="25"/>
      <w:vertAlign w:val="superscript"/>
    </w:rPr>
  </w:style>
  <w:style w:type="character" w:customStyle="1" w:styleId="BalloonTextChar">
    <w:name w:val="Balloon Text Char"/>
    <w:rPr>
      <w:rFonts w:ascii="Segoe UI" w:hAnsi="Segoe UI" w:cs="Segoe UI"/>
      <w:sz w:val="18"/>
      <w:szCs w:val="18"/>
    </w:rPr>
  </w:style>
  <w:style w:type="character" w:styleId="Hyperlink">
    <w:name w:val="Hyperlink"/>
    <w:rPr>
      <w:b/>
      <w:bCs/>
      <w:color w:val="333399"/>
      <w:u w:val="single"/>
    </w:rPr>
  </w:style>
  <w:style w:type="character" w:styleId="FootnoteReference">
    <w:name w:val="footnote reference"/>
    <w:aliases w:val="Footnotes refss Caracter,Appel note de bas de p Caracter,Footnotes refss Car Char Char Char Caracter,callout Car Char Char Char Caracter,Footnotes refss Caracter Caracter Caracter Caracter Caracter Caracter Caracter Caracter Caracter1"/>
    <w:uiPriority w:val="99"/>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style>
  <w:style w:type="paragraph" w:styleId="Footer">
    <w:name w:val="footer"/>
    <w:basedOn w:val="Normal"/>
    <w:pPr>
      <w:spacing w:after="0" w:line="240" w:lineRule="auto"/>
    </w:pPr>
  </w:style>
  <w:style w:type="paragraph" w:styleId="ListParagraph">
    <w:name w:val="List Paragraph"/>
    <w:basedOn w:val="Normal"/>
    <w:uiPriority w:val="1"/>
    <w:qFormat/>
    <w:pPr>
      <w:ind w:left="720"/>
      <w:contextualSpacing/>
    </w:pPr>
    <w:rPr>
      <w:lang w:val="ro-RO"/>
    </w:rPr>
  </w:style>
  <w:style w:type="paragraph" w:styleId="FootnoteText">
    <w:name w:val="footnote text"/>
    <w:basedOn w:val="Normal"/>
    <w:uiPriority w:val="99"/>
    <w:pPr>
      <w:spacing w:after="0" w:line="240" w:lineRule="auto"/>
    </w:pPr>
    <w:rPr>
      <w:sz w:val="20"/>
      <w:szCs w:val="20"/>
    </w:rPr>
  </w:style>
  <w:style w:type="paragraph" w:customStyle="1" w:styleId="Footnotesrefss">
    <w:name w:val="Footnotes refss"/>
    <w:aliases w:val="Appel note de bas de p,Footnotes refss Car Char Char Char,callout Car Char Char Char,Zchn Zchn Char Char Char Char Car Char Char Char Char Char Char Char Char Char Car Char Car Char Char Char"/>
    <w:basedOn w:val="Normal"/>
    <w:uiPriority w:val="99"/>
    <w:pPr>
      <w:spacing w:line="240" w:lineRule="exact"/>
    </w:pPr>
    <w:rPr>
      <w:vertAlign w:val="superscript"/>
    </w:rPr>
  </w:style>
  <w:style w:type="paragraph" w:customStyle="1" w:styleId="footnotedescription">
    <w:name w:val="footnote description"/>
    <w:next w:val="Normal"/>
    <w:pPr>
      <w:suppressAutoHyphens/>
      <w:spacing w:after="4" w:line="264" w:lineRule="auto"/>
      <w:ind w:left="850" w:right="20"/>
      <w:jc w:val="both"/>
    </w:pPr>
    <w:rPr>
      <w:color w:val="000000"/>
      <w:szCs w:val="22"/>
      <w:lang w:val="en-US" w:eastAsia="zh-CN"/>
    </w:rPr>
  </w:style>
  <w:style w:type="paragraph" w:styleId="BalloonText">
    <w:name w:val="Balloon Text"/>
    <w:basedOn w:val="Normal"/>
    <w:pPr>
      <w:spacing w:after="0" w:line="240" w:lineRule="auto"/>
    </w:pPr>
    <w:rPr>
      <w:rFonts w:ascii="Segoe UI" w:hAnsi="Segoe UI" w:cs="Segoe UI"/>
      <w:sz w:val="18"/>
      <w:szCs w:val="18"/>
    </w:rPr>
  </w:style>
  <w:style w:type="paragraph" w:styleId="NormalWeb">
    <w:name w:val="Normal (Web)"/>
    <w:basedOn w:val="Normal"/>
    <w:pPr>
      <w:spacing w:after="0" w:line="240" w:lineRule="auto"/>
      <w:textAlignment w:val="baseline"/>
    </w:pPr>
    <w:rPr>
      <w:rFonts w:ascii="Times New Roman" w:eastAsia="MS Mincho" w:hAnsi="Times New Roman" w:cs="Times New Roman"/>
      <w:sz w:val="24"/>
      <w:szCs w:val="24"/>
    </w:rPr>
  </w:style>
  <w:style w:type="paragraph" w:styleId="NoSpacing">
    <w:name w:val="No Spacing"/>
    <w:qFormat/>
    <w:pPr>
      <w:suppressAutoHyphens/>
      <w:textAlignment w:val="baseline"/>
    </w:pPr>
    <w:rPr>
      <w:rFonts w:eastAsia="SimSun"/>
      <w:sz w:val="24"/>
      <w:szCs w:val="24"/>
      <w:lang w:val="bg-B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6" w:lineRule="auto"/>
    </w:pPr>
    <w:rPr>
      <w:rFonts w:ascii="Calibri" w:eastAsia="Calibri" w:hAnsi="Calibri" w:cs="Arial"/>
      <w:sz w:val="22"/>
      <w:szCs w:val="22"/>
      <w:lang w:val="en-US" w:eastAsia="zh-CN"/>
    </w:rPr>
  </w:style>
  <w:style w:type="paragraph" w:styleId="Heading4">
    <w:name w:val="heading 4"/>
    <w:basedOn w:val="Normal"/>
    <w:next w:val="BodyText"/>
    <w:qFormat/>
    <w:pPr>
      <w:widowControl w:val="0"/>
      <w:numPr>
        <w:ilvl w:val="3"/>
        <w:numId w:val="1"/>
      </w:numPr>
      <w:spacing w:after="0" w:line="240" w:lineRule="auto"/>
      <w:ind w:left="8295" w:hanging="327"/>
      <w:outlineLvl w:val="3"/>
    </w:pPr>
    <w:rPr>
      <w:rFonts w:ascii="Arial" w:eastAsia="Arial" w:hAnsi="Arial"/>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b w:val="0"/>
      <w:i w:val="0"/>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Times New Roman" w:hAnsi="Times New Roman" w:cs="Times New Roman"/>
      <w:b w:val="0"/>
      <w:i w:val="0"/>
      <w:sz w:val="28"/>
      <w:szCs w:val="28"/>
      <w:lang w:val="ro-RO"/>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Calibri"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Times New Roman" w:hAnsi="Times New Roman" w:cs="Times New Roman"/>
      <w:b/>
      <w:sz w:val="28"/>
      <w:szCs w:val="28"/>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DefaultParagraphFont1">
    <w:name w:val="Default Paragraph Font1"/>
  </w:style>
  <w:style w:type="character" w:customStyle="1" w:styleId="FooterChar">
    <w:name w:val="Footer Char"/>
    <w:basedOn w:val="DefaultParagraphFont1"/>
  </w:style>
  <w:style w:type="character" w:customStyle="1" w:styleId="FooterChar1">
    <w:name w:val="Footer Char1"/>
    <w:basedOn w:val="DefaultParagraphFont1"/>
  </w:style>
  <w:style w:type="character" w:customStyle="1" w:styleId="Heading4Char">
    <w:name w:val="Heading 4 Char"/>
    <w:rPr>
      <w:rFonts w:ascii="Arial" w:eastAsia="Arial" w:hAnsi="Arial" w:cs="Arial"/>
      <w:sz w:val="29"/>
      <w:szCs w:val="29"/>
    </w:rPr>
  </w:style>
  <w:style w:type="character" w:customStyle="1" w:styleId="FootnoteTextChar">
    <w:name w:val="Footnote Text Char"/>
    <w:uiPriority w:val="99"/>
    <w:rPr>
      <w:sz w:val="20"/>
      <w:szCs w:val="20"/>
    </w:rPr>
  </w:style>
  <w:style w:type="character" w:customStyle="1" w:styleId="FootnoteCharacters">
    <w:name w:val="Footnote Characters"/>
    <w:rPr>
      <w:vertAlign w:val="superscript"/>
    </w:rPr>
  </w:style>
  <w:style w:type="character" w:customStyle="1" w:styleId="footnotedescriptionChar">
    <w:name w:val="footnote description Char"/>
    <w:rPr>
      <w:rFonts w:ascii="Times New Roman" w:eastAsia="Times New Roman" w:hAnsi="Times New Roman" w:cs="Times New Roman"/>
      <w:color w:val="000000"/>
      <w:sz w:val="20"/>
    </w:rPr>
  </w:style>
  <w:style w:type="character" w:customStyle="1" w:styleId="footnotemark">
    <w:name w:val="footnote mark"/>
    <w:rPr>
      <w:rFonts w:ascii="Times New Roman" w:eastAsia="Times New Roman" w:hAnsi="Times New Roman" w:cs="Times New Roman"/>
      <w:color w:val="000000"/>
      <w:sz w:val="25"/>
      <w:vertAlign w:val="superscript"/>
    </w:rPr>
  </w:style>
  <w:style w:type="character" w:customStyle="1" w:styleId="BalloonTextChar">
    <w:name w:val="Balloon Text Char"/>
    <w:rPr>
      <w:rFonts w:ascii="Segoe UI" w:hAnsi="Segoe UI" w:cs="Segoe UI"/>
      <w:sz w:val="18"/>
      <w:szCs w:val="18"/>
    </w:rPr>
  </w:style>
  <w:style w:type="character" w:styleId="Hyperlink">
    <w:name w:val="Hyperlink"/>
    <w:rPr>
      <w:b/>
      <w:bCs/>
      <w:color w:val="333399"/>
      <w:u w:val="single"/>
    </w:rPr>
  </w:style>
  <w:style w:type="character" w:styleId="FootnoteReference">
    <w:name w:val="footnote reference"/>
    <w:aliases w:val="Footnotes refss Caracter,Appel note de bas de p Caracter,Footnotes refss Car Char Char Char Caracter,callout Car Char Char Char Caracter,Footnotes refss Caracter Caracter Caracter Caracter Caracter Caracter Caracter Caracter Caracter1"/>
    <w:uiPriority w:val="99"/>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style>
  <w:style w:type="paragraph" w:styleId="Footer">
    <w:name w:val="footer"/>
    <w:basedOn w:val="Normal"/>
    <w:pPr>
      <w:spacing w:after="0" w:line="240" w:lineRule="auto"/>
    </w:pPr>
  </w:style>
  <w:style w:type="paragraph" w:styleId="ListParagraph">
    <w:name w:val="List Paragraph"/>
    <w:basedOn w:val="Normal"/>
    <w:uiPriority w:val="1"/>
    <w:qFormat/>
    <w:pPr>
      <w:ind w:left="720"/>
      <w:contextualSpacing/>
    </w:pPr>
    <w:rPr>
      <w:lang w:val="ro-RO"/>
    </w:rPr>
  </w:style>
  <w:style w:type="paragraph" w:styleId="FootnoteText">
    <w:name w:val="footnote text"/>
    <w:basedOn w:val="Normal"/>
    <w:uiPriority w:val="99"/>
    <w:pPr>
      <w:spacing w:after="0" w:line="240" w:lineRule="auto"/>
    </w:pPr>
    <w:rPr>
      <w:sz w:val="20"/>
      <w:szCs w:val="20"/>
    </w:rPr>
  </w:style>
  <w:style w:type="paragraph" w:customStyle="1" w:styleId="Footnotesrefss">
    <w:name w:val="Footnotes refss"/>
    <w:aliases w:val="Appel note de bas de p,Footnotes refss Car Char Char Char,callout Car Char Char Char,Zchn Zchn Char Char Char Char Car Char Char Char Char Char Char Char Char Char Car Char Car Char Char Char"/>
    <w:basedOn w:val="Normal"/>
    <w:uiPriority w:val="99"/>
    <w:pPr>
      <w:spacing w:line="240" w:lineRule="exact"/>
    </w:pPr>
    <w:rPr>
      <w:vertAlign w:val="superscript"/>
    </w:rPr>
  </w:style>
  <w:style w:type="paragraph" w:customStyle="1" w:styleId="footnotedescription">
    <w:name w:val="footnote description"/>
    <w:next w:val="Normal"/>
    <w:pPr>
      <w:suppressAutoHyphens/>
      <w:spacing w:after="4" w:line="264" w:lineRule="auto"/>
      <w:ind w:left="850" w:right="20"/>
      <w:jc w:val="both"/>
    </w:pPr>
    <w:rPr>
      <w:color w:val="000000"/>
      <w:szCs w:val="22"/>
      <w:lang w:val="en-US" w:eastAsia="zh-CN"/>
    </w:rPr>
  </w:style>
  <w:style w:type="paragraph" w:styleId="BalloonText">
    <w:name w:val="Balloon Text"/>
    <w:basedOn w:val="Normal"/>
    <w:pPr>
      <w:spacing w:after="0" w:line="240" w:lineRule="auto"/>
    </w:pPr>
    <w:rPr>
      <w:rFonts w:ascii="Segoe UI" w:hAnsi="Segoe UI" w:cs="Segoe UI"/>
      <w:sz w:val="18"/>
      <w:szCs w:val="18"/>
    </w:rPr>
  </w:style>
  <w:style w:type="paragraph" w:styleId="NormalWeb">
    <w:name w:val="Normal (Web)"/>
    <w:basedOn w:val="Normal"/>
    <w:pPr>
      <w:spacing w:after="0" w:line="240" w:lineRule="auto"/>
      <w:textAlignment w:val="baseline"/>
    </w:pPr>
    <w:rPr>
      <w:rFonts w:ascii="Times New Roman" w:eastAsia="MS Mincho" w:hAnsi="Times New Roman" w:cs="Times New Roman"/>
      <w:sz w:val="24"/>
      <w:szCs w:val="24"/>
    </w:rPr>
  </w:style>
  <w:style w:type="paragraph" w:styleId="NoSpacing">
    <w:name w:val="No Spacing"/>
    <w:qFormat/>
    <w:pPr>
      <w:suppressAutoHyphens/>
      <w:textAlignment w:val="baseline"/>
    </w:pPr>
    <w:rPr>
      <w:rFonts w:eastAsia="SimSun"/>
      <w:sz w:val="24"/>
      <w:szCs w:val="24"/>
      <w:lang w:val="bg-B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enia\sintact%204.0\cache\Legislatie\temp1054602\00086087.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Documents%20and%20Settings\user\sintact%203.0\cache\Legislatie\temp132756\00136310.htm" TargetMode="External"/><Relationship Id="rId4" Type="http://schemas.openxmlformats.org/officeDocument/2006/relationships/settings" Target="settings.xml"/><Relationship Id="rId9" Type="http://schemas.openxmlformats.org/officeDocument/2006/relationships/hyperlink" Target="file:///C:\Documents%20and%20Settings\user\sintact%203.0\cache\Legislatie\temp132756\00068397.ht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nk.springer.com/chapter/10.1007/978-1-349-14289-7_10" TargetMode="External"/><Relationship Id="rId1" Type="http://schemas.openxmlformats.org/officeDocument/2006/relationships/hyperlink" Target="https://link.springer.com/bookseries/14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21237</Words>
  <Characters>123178</Characters>
  <Application>Microsoft Office Word</Application>
  <DocSecurity>0</DocSecurity>
  <Lines>1026</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144127</CharactersWithSpaces>
  <SharedDoc>false</SharedDoc>
  <HLinks>
    <vt:vector size="36" baseType="variant">
      <vt:variant>
        <vt:i4>786463</vt:i4>
      </vt:variant>
      <vt:variant>
        <vt:i4>9</vt:i4>
      </vt:variant>
      <vt:variant>
        <vt:i4>0</vt:i4>
      </vt:variant>
      <vt:variant>
        <vt:i4>5</vt:i4>
      </vt:variant>
      <vt:variant>
        <vt:lpwstr>C:\Documents and Settings\user\sintact 3.0\cache\Legislatie\temp132756\00149504.HTM</vt:lpwstr>
      </vt:variant>
      <vt:variant>
        <vt:lpwstr>file:///C:\Documents and Settings\user\sintact 3.0\cache\Legislatie\temp132756\00149504.HTM</vt:lpwstr>
      </vt:variant>
      <vt:variant>
        <vt:i4>2424841</vt:i4>
      </vt:variant>
      <vt:variant>
        <vt:i4>6</vt:i4>
      </vt:variant>
      <vt:variant>
        <vt:i4>0</vt:i4>
      </vt:variant>
      <vt:variant>
        <vt:i4>5</vt:i4>
      </vt:variant>
      <vt:variant>
        <vt:lpwstr>C:\Documents and Settings\user\sintact 3.0\cache\Legislatie\temp132756\00136310.htm</vt:lpwstr>
      </vt:variant>
      <vt:variant>
        <vt:lpwstr/>
      </vt:variant>
      <vt:variant>
        <vt:i4>2228235</vt:i4>
      </vt:variant>
      <vt:variant>
        <vt:i4>3</vt:i4>
      </vt:variant>
      <vt:variant>
        <vt:i4>0</vt:i4>
      </vt:variant>
      <vt:variant>
        <vt:i4>5</vt:i4>
      </vt:variant>
      <vt:variant>
        <vt:lpwstr>C:\Documents and Settings\user\sintact 3.0\cache\Legislatie\temp132756\00068397.htm</vt:lpwstr>
      </vt:variant>
      <vt:variant>
        <vt:lpwstr/>
      </vt:variant>
      <vt:variant>
        <vt:i4>1507447</vt:i4>
      </vt:variant>
      <vt:variant>
        <vt:i4>0</vt:i4>
      </vt:variant>
      <vt:variant>
        <vt:i4>0</vt:i4>
      </vt:variant>
      <vt:variant>
        <vt:i4>5</vt:i4>
      </vt:variant>
      <vt:variant>
        <vt:lpwstr>C:\Users\Senia\sintact 4.0\cache\Legislatie\temp1054602\00086087.htm</vt:lpwstr>
      </vt:variant>
      <vt:variant>
        <vt:lpwstr/>
      </vt:variant>
      <vt:variant>
        <vt:i4>5963892</vt:i4>
      </vt:variant>
      <vt:variant>
        <vt:i4>3</vt:i4>
      </vt:variant>
      <vt:variant>
        <vt:i4>0</vt:i4>
      </vt:variant>
      <vt:variant>
        <vt:i4>5</vt:i4>
      </vt:variant>
      <vt:variant>
        <vt:lpwstr>https://link.springer.com/chapter/10.1007/978-1-349-14289-7_10</vt:lpwstr>
      </vt:variant>
      <vt:variant>
        <vt:lpwstr/>
      </vt:variant>
      <vt:variant>
        <vt:i4>3473450</vt:i4>
      </vt:variant>
      <vt:variant>
        <vt:i4>0</vt:i4>
      </vt:variant>
      <vt:variant>
        <vt:i4>0</vt:i4>
      </vt:variant>
      <vt:variant>
        <vt:i4>5</vt:i4>
      </vt:variant>
      <vt:variant>
        <vt:lpwstr>https://link.springer.com/bookseries/14068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Senia</dc:creator>
  <cp:lastModifiedBy>user</cp:lastModifiedBy>
  <cp:revision>2</cp:revision>
  <cp:lastPrinted>2019-04-10T06:29:00Z</cp:lastPrinted>
  <dcterms:created xsi:type="dcterms:W3CDTF">2019-04-23T12:14:00Z</dcterms:created>
  <dcterms:modified xsi:type="dcterms:W3CDTF">2019-04-23T12:14:00Z</dcterms:modified>
</cp:coreProperties>
</file>