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7319E" w14:textId="77777777" w:rsidR="00EE3019" w:rsidRPr="002C69F2" w:rsidRDefault="00EE3019">
      <w:pPr>
        <w:pStyle w:val="Footer"/>
      </w:pPr>
    </w:p>
    <w:p w14:paraId="1DD73FA2" w14:textId="38CEA2FA" w:rsidR="00EE3019" w:rsidRPr="002C69F2" w:rsidRDefault="00EE3019">
      <w:pPr>
        <w:pStyle w:val="102IDC"/>
      </w:pPr>
      <w:r w:rsidRPr="002C69F2">
        <w:rPr>
          <w:b/>
          <w:bCs/>
        </w:rPr>
        <w:t>Rozsudky</w:t>
      </w:r>
      <w:r w:rsidRPr="002C69F2">
        <w:t xml:space="preserve"> Soudního dvora</w:t>
      </w:r>
    </w:p>
    <w:p w14:paraId="65B0FD65" w14:textId="1B7F29FD" w:rsidR="00EE3019" w:rsidRPr="002C69F2" w:rsidRDefault="00EE3019">
      <w:pPr>
        <w:pStyle w:val="102IDC"/>
      </w:pPr>
      <w:r w:rsidRPr="002C69F2">
        <w:t xml:space="preserve">ve věcech </w:t>
      </w:r>
      <w:r w:rsidR="00E36C75" w:rsidRPr="002C69F2">
        <w:t>C</w:t>
      </w:r>
      <w:r w:rsidR="00E36C75" w:rsidRPr="002C69F2">
        <w:noBreakHyphen/>
        <w:t>163</w:t>
      </w:r>
      <w:r w:rsidRPr="002C69F2">
        <w:t xml:space="preserve">/24 | </w:t>
      </w:r>
      <w:proofErr w:type="spellStart"/>
      <w:r w:rsidRPr="002C69F2">
        <w:t>Statul</w:t>
      </w:r>
      <w:proofErr w:type="spellEnd"/>
      <w:r w:rsidRPr="002C69F2">
        <w:t xml:space="preserve"> </w:t>
      </w:r>
      <w:proofErr w:type="spellStart"/>
      <w:r w:rsidRPr="002C69F2">
        <w:t>Român</w:t>
      </w:r>
      <w:proofErr w:type="spellEnd"/>
      <w:r w:rsidRPr="002C69F2">
        <w:t xml:space="preserve"> – </w:t>
      </w:r>
      <w:proofErr w:type="spellStart"/>
      <w:r w:rsidRPr="002C69F2">
        <w:t>Ministerul</w:t>
      </w:r>
      <w:proofErr w:type="spellEnd"/>
      <w:r w:rsidRPr="002C69F2">
        <w:t xml:space="preserve"> </w:t>
      </w:r>
      <w:proofErr w:type="spellStart"/>
      <w:r w:rsidRPr="002C69F2">
        <w:t>Finanţelor</w:t>
      </w:r>
      <w:proofErr w:type="spellEnd"/>
      <w:r w:rsidRPr="002C69F2">
        <w:t xml:space="preserve"> </w:t>
      </w:r>
      <w:proofErr w:type="spellStart"/>
      <w:r w:rsidRPr="002C69F2">
        <w:t>Publice</w:t>
      </w:r>
      <w:proofErr w:type="spellEnd"/>
      <w:r w:rsidR="00E36C75" w:rsidRPr="002C69F2">
        <w:t xml:space="preserve"> a </w:t>
      </w:r>
      <w:proofErr w:type="spellStart"/>
      <w:r w:rsidRPr="002C69F2">
        <w:t>Curtea</w:t>
      </w:r>
      <w:proofErr w:type="spellEnd"/>
      <w:r w:rsidRPr="002C69F2">
        <w:t xml:space="preserve"> de Apel </w:t>
      </w:r>
      <w:proofErr w:type="spellStart"/>
      <w:r w:rsidRPr="002C69F2">
        <w:t>Bucureşti</w:t>
      </w:r>
      <w:proofErr w:type="spellEnd"/>
      <w:r w:rsidR="00E36C75" w:rsidRPr="002C69F2">
        <w:t xml:space="preserve"> a C</w:t>
      </w:r>
      <w:r w:rsidR="00E36C75" w:rsidRPr="002C69F2">
        <w:noBreakHyphen/>
        <w:t>293</w:t>
      </w:r>
      <w:r w:rsidRPr="002C69F2">
        <w:t xml:space="preserve">/24 | </w:t>
      </w:r>
      <w:proofErr w:type="spellStart"/>
      <w:r w:rsidRPr="002C69F2">
        <w:t>Ferreira</w:t>
      </w:r>
      <w:proofErr w:type="spellEnd"/>
      <w:r w:rsidRPr="002C69F2">
        <w:t xml:space="preserve"> da Silva e </w:t>
      </w:r>
      <w:proofErr w:type="spellStart"/>
      <w:r w:rsidRPr="002C69F2">
        <w:t>Brito</w:t>
      </w:r>
      <w:proofErr w:type="spellEnd"/>
      <w:r w:rsidR="00E36C75" w:rsidRPr="002C69F2">
        <w:t xml:space="preserve"> a </w:t>
      </w:r>
      <w:r w:rsidRPr="002C69F2">
        <w:t>další</w:t>
      </w:r>
    </w:p>
    <w:p w14:paraId="51F5F9D6" w14:textId="77777777" w:rsidR="00EE3019" w:rsidRPr="002C69F2" w:rsidRDefault="00EE3019">
      <w:pPr>
        <w:pStyle w:val="102ID"/>
      </w:pPr>
    </w:p>
    <w:p w14:paraId="647E6107" w14:textId="2B74ECB8" w:rsidR="00EE3019" w:rsidRPr="002C69F2" w:rsidRDefault="00EE3019">
      <w:pPr>
        <w:pStyle w:val="103DateTitreC"/>
      </w:pPr>
      <w:r w:rsidRPr="002C69F2">
        <w:t xml:space="preserve">Tisková zpráva </w:t>
      </w:r>
      <w:r w:rsidR="00E36C75" w:rsidRPr="002C69F2">
        <w:t>č. </w:t>
      </w:r>
      <w:r w:rsidRPr="002C69F2">
        <w:t>XXX/26</w:t>
      </w:r>
    </w:p>
    <w:p w14:paraId="5F5D4506" w14:textId="267456E2" w:rsidR="00EE3019" w:rsidRPr="002C69F2" w:rsidRDefault="00EE3019">
      <w:pPr>
        <w:pStyle w:val="103DateC"/>
      </w:pPr>
      <w:r w:rsidRPr="002C69F2">
        <w:t>Lucemburk 8.</w:t>
      </w:r>
      <w:r w:rsidR="00E36C75" w:rsidRPr="002C69F2">
        <w:t> září</w:t>
      </w:r>
      <w:r w:rsidRPr="002C69F2">
        <w:t xml:space="preserve"> 2026</w:t>
      </w:r>
    </w:p>
    <w:p w14:paraId="182DDE35" w14:textId="77777777" w:rsidR="00EE3019" w:rsidRPr="002C69F2" w:rsidRDefault="00EE3019">
      <w:pPr>
        <w:pStyle w:val="Footer"/>
      </w:pPr>
    </w:p>
    <w:p w14:paraId="32B267BA" w14:textId="5EADE996" w:rsidR="00EE3019" w:rsidRPr="002C69F2" w:rsidRDefault="00EE3019">
      <w:pPr>
        <w:pStyle w:val="005Titre"/>
      </w:pPr>
      <w:r w:rsidRPr="002C69F2">
        <w:t>Odpovědnost za porušení unijního práva: Soudní dvůr upřesnil podmínky, za nichž může jednotlivec dosáhnout náhrady škody</w:t>
      </w:r>
      <w:r w:rsidR="00E36C75" w:rsidRPr="002C69F2">
        <w:t xml:space="preserve"> v </w:t>
      </w:r>
      <w:r w:rsidRPr="002C69F2">
        <w:t>důsledku soudního rozhodnutí, které je</w:t>
      </w:r>
      <w:r w:rsidR="00E36C75" w:rsidRPr="002C69F2">
        <w:t xml:space="preserve"> v </w:t>
      </w:r>
      <w:r w:rsidRPr="002C69F2">
        <w:t>rozporu</w:t>
      </w:r>
      <w:r w:rsidR="00E36C75" w:rsidRPr="002C69F2">
        <w:t xml:space="preserve"> s </w:t>
      </w:r>
      <w:r w:rsidRPr="002C69F2">
        <w:t>unijním právem</w:t>
      </w:r>
    </w:p>
    <w:p w14:paraId="0142278F" w14:textId="6048134D" w:rsidR="00EE3019" w:rsidRPr="002C69F2" w:rsidRDefault="00EE3019" w:rsidP="00560888">
      <w:pPr>
        <w:pStyle w:val="006SousTitre"/>
      </w:pPr>
      <w:r w:rsidRPr="002C69F2">
        <w:t>Potvrdil mimo jiné, že porušená norma musí přiznávat práva jednotlivcům</w:t>
      </w:r>
      <w:r w:rsidR="00E36C75" w:rsidRPr="002C69F2">
        <w:t xml:space="preserve"> a </w:t>
      </w:r>
      <w:r w:rsidRPr="002C69F2">
        <w:t>že zaviněné opomenutí vnitrostátního soudu položit Soudnímu dvoru otázku týkající se výkladu této normy může přispět ke vzniku odpovědnosti</w:t>
      </w:r>
      <w:r w:rsidR="00DC68A2" w:rsidRPr="002C69F2">
        <w:t>.</w:t>
      </w:r>
    </w:p>
    <w:p w14:paraId="60E308DD" w14:textId="42B5EAF9" w:rsidR="00EE3019" w:rsidRPr="002C69F2" w:rsidRDefault="00EE3019" w:rsidP="00947077">
      <w:pPr>
        <w:pStyle w:val="008CorpsDuTexte"/>
        <w:pBdr>
          <w:top w:val="single" w:sz="4" w:space="1" w:color="auto"/>
          <w:left w:val="single" w:sz="4" w:space="4" w:color="auto"/>
          <w:bottom w:val="single" w:sz="4" w:space="1" w:color="auto"/>
          <w:right w:val="single" w:sz="4" w:space="4" w:color="auto"/>
        </w:pBdr>
      </w:pPr>
      <w:r w:rsidRPr="002C69F2">
        <w:t>Ve dvou rozsudcích</w:t>
      </w:r>
      <w:r w:rsidR="00E36C75" w:rsidRPr="002C69F2">
        <w:t xml:space="preserve"> z </w:t>
      </w:r>
      <w:r w:rsidRPr="002C69F2">
        <w:t>dnešního dne Soudní dvůr rozvinul svou judikaturu</w:t>
      </w:r>
      <w:r w:rsidR="00E36C75" w:rsidRPr="002C69F2">
        <w:t xml:space="preserve"> v </w:t>
      </w:r>
      <w:r w:rsidRPr="002C69F2">
        <w:t>oblasti odpovědnosti členských států za porušení unijního práva, kterého se dopustil vnitrostátní soud rozhodující</w:t>
      </w:r>
      <w:r w:rsidR="00E36C75" w:rsidRPr="002C69F2">
        <w:t xml:space="preserve"> v </w:t>
      </w:r>
      <w:r w:rsidRPr="002C69F2">
        <w:t>posledním stupni,</w:t>
      </w:r>
      <w:r w:rsidR="00E36C75" w:rsidRPr="002C69F2">
        <w:t xml:space="preserve"> a </w:t>
      </w:r>
      <w:r w:rsidRPr="002C69F2">
        <w:t>upřesnil úlohu, kterou hraje porušení povinnosti předložit předběžnou otázku</w:t>
      </w:r>
      <w:r w:rsidR="00E36C75" w:rsidRPr="002C69F2">
        <w:t>. V </w:t>
      </w:r>
      <w:r w:rsidRPr="002C69F2">
        <w:t xml:space="preserve">rumunské věci tedy Soudní dvůr uvedl, že taková odpovědnost může být založena pouze tehdy, je-li porušení povinnosti předložit předběžnou otázku doprovázeno porušením jiného pravidla unijního práva, jehož </w:t>
      </w:r>
      <w:bookmarkStart w:id="0" w:name="_Hlk238801361"/>
      <w:r w:rsidRPr="002C69F2">
        <w:t>cílem je přiznat práva jednotlivcům</w:t>
      </w:r>
      <w:bookmarkEnd w:id="0"/>
      <w:r w:rsidRPr="002C69F2">
        <w:t>. Tak tomu však</w:t>
      </w:r>
      <w:r w:rsidR="00E36C75" w:rsidRPr="002C69F2">
        <w:t xml:space="preserve"> v </w:t>
      </w:r>
      <w:r w:rsidRPr="002C69F2">
        <w:t>projednávané věci nebylo, jelikož dotčená pravidla týkající se přesné identifikace zemědělských ploch sledují cíl obecného veřejného zájmu, jímž je ochrana finančních zájmů Unie</w:t>
      </w:r>
      <w:r w:rsidR="00E36C75" w:rsidRPr="002C69F2">
        <w:t>. V </w:t>
      </w:r>
      <w:r w:rsidRPr="002C69F2">
        <w:t>portugalské věci dotčená pravidla, která byla nesprávně použita</w:t>
      </w:r>
      <w:r w:rsidR="00E36C75" w:rsidRPr="002C69F2">
        <w:t xml:space="preserve"> v </w:t>
      </w:r>
      <w:r w:rsidRPr="002C69F2">
        <w:t>rozsudku nejvyššího soudu</w:t>
      </w:r>
      <w:r w:rsidR="00E36C75" w:rsidRPr="002C69F2">
        <w:t xml:space="preserve"> z </w:t>
      </w:r>
      <w:r w:rsidRPr="002C69F2">
        <w:t>roku 2009, takový cíl skutečně měla, neboť chrání zaměstnance</w:t>
      </w:r>
      <w:r w:rsidR="00E36C75" w:rsidRPr="002C69F2">
        <w:t xml:space="preserve"> v </w:t>
      </w:r>
      <w:r w:rsidRPr="002C69F2">
        <w:t>případě převodu podniku. Soudní dvůr uvedl, že je na předkládajícím soudu, aby ověřil, zda tento rozsudek představuje dostatečně závažné porušení unijního práva, které je jednou</w:t>
      </w:r>
      <w:r w:rsidR="00E36C75" w:rsidRPr="002C69F2">
        <w:t xml:space="preserve"> z </w:t>
      </w:r>
      <w:r w:rsidRPr="002C69F2">
        <w:t>podmínek pro vznik odpovědnosti členského státu za porušení unijního práva některým</w:t>
      </w:r>
      <w:r w:rsidR="00E36C75" w:rsidRPr="002C69F2">
        <w:t xml:space="preserve"> z </w:t>
      </w:r>
      <w:r w:rsidRPr="002C69F2">
        <w:t>jeho soudů rozhodujících</w:t>
      </w:r>
      <w:r w:rsidR="00E36C75" w:rsidRPr="002C69F2">
        <w:t xml:space="preserve"> v </w:t>
      </w:r>
      <w:r w:rsidRPr="002C69F2">
        <w:t>posledním stupni. Zdůraznil však některé skutečnosti, které pro toto posouzení považuje za rozhodující,</w:t>
      </w:r>
      <w:r w:rsidR="00E36C75" w:rsidRPr="002C69F2">
        <w:t xml:space="preserve"> a </w:t>
      </w:r>
      <w:r w:rsidRPr="002C69F2">
        <w:t>naznačil, že tato podmínka je ve věci</w:t>
      </w:r>
      <w:r w:rsidR="00E36C75" w:rsidRPr="002C69F2">
        <w:t xml:space="preserve"> v </w:t>
      </w:r>
      <w:r w:rsidRPr="002C69F2">
        <w:t>původním řízení skutečně splněna.</w:t>
      </w:r>
    </w:p>
    <w:p w14:paraId="2DD5557D" w14:textId="34B3BF4E" w:rsidR="00EE3019" w:rsidRPr="002C69F2" w:rsidRDefault="00EE3019" w:rsidP="00947077">
      <w:pPr>
        <w:pStyle w:val="008CorpsDuTexte"/>
      </w:pPr>
      <w:r w:rsidRPr="002C69F2">
        <w:rPr>
          <w:b/>
          <w:bCs/>
        </w:rPr>
        <w:t xml:space="preserve">Ve věci </w:t>
      </w:r>
      <w:r w:rsidR="00E36C75" w:rsidRPr="002C69F2">
        <w:rPr>
          <w:b/>
          <w:bCs/>
        </w:rPr>
        <w:t>C</w:t>
      </w:r>
      <w:r w:rsidR="00E36C75" w:rsidRPr="002C69F2">
        <w:rPr>
          <w:b/>
          <w:bCs/>
        </w:rPr>
        <w:noBreakHyphen/>
        <w:t>163</w:t>
      </w:r>
      <w:r w:rsidRPr="002C69F2">
        <w:rPr>
          <w:b/>
          <w:bCs/>
        </w:rPr>
        <w:t>/24</w:t>
      </w:r>
      <w:r w:rsidRPr="002C69F2">
        <w:t xml:space="preserve"> požádal rumunský zemědělec</w:t>
      </w:r>
      <w:r w:rsidR="00E36C75" w:rsidRPr="002C69F2">
        <w:t xml:space="preserve"> v </w:t>
      </w:r>
      <w:r w:rsidRPr="002C69F2">
        <w:t>roce 2007</w:t>
      </w:r>
      <w:r w:rsidR="00E36C75" w:rsidRPr="002C69F2">
        <w:t xml:space="preserve"> o </w:t>
      </w:r>
      <w:r w:rsidRPr="002C69F2">
        <w:t>zemědělskou podporu pro plochu 264,71</w:t>
      </w:r>
      <w:r w:rsidR="00E36C75" w:rsidRPr="002C69F2">
        <w:t xml:space="preserve"> </w:t>
      </w:r>
      <w:r w:rsidRPr="002C69F2">
        <w:t>ha. Na základě kontroly dospěl příslušný rumunský orgán</w:t>
      </w:r>
      <w:r w:rsidR="00E36C75" w:rsidRPr="002C69F2">
        <w:t xml:space="preserve"> k </w:t>
      </w:r>
      <w:r w:rsidRPr="002C69F2">
        <w:t>závěru, že skutečně způsobilá plocha činí pouze 180,62</w:t>
      </w:r>
      <w:r w:rsidR="00E36C75" w:rsidRPr="002C69F2">
        <w:t xml:space="preserve"> </w:t>
      </w:r>
      <w:r w:rsidRPr="002C69F2">
        <w:t>ha,</w:t>
      </w:r>
      <w:r w:rsidR="00E36C75" w:rsidRPr="002C69F2">
        <w:t xml:space="preserve"> a </w:t>
      </w:r>
      <w:r w:rsidRPr="002C69F2">
        <w:t>jeho žádost zamítl. Opravné prostředky podané proti tomuto rozhodnutí byly zamítnuty, přičemž Odvolací soud</w:t>
      </w:r>
      <w:r w:rsidR="00E36C75" w:rsidRPr="002C69F2">
        <w:t xml:space="preserve"> v </w:t>
      </w:r>
      <w:r w:rsidRPr="002C69F2">
        <w:t>Bukurešti</w:t>
      </w:r>
      <w:r w:rsidR="00E36C75" w:rsidRPr="002C69F2">
        <w:t xml:space="preserve"> v </w:t>
      </w:r>
      <w:r w:rsidRPr="002C69F2">
        <w:t>roce 2012 odmítl předložit Soudnímu dvoru žádost</w:t>
      </w:r>
      <w:r w:rsidR="00E36C75" w:rsidRPr="002C69F2">
        <w:t xml:space="preserve"> o </w:t>
      </w:r>
      <w:r w:rsidRPr="002C69F2">
        <w:t>rozhodnutí</w:t>
      </w:r>
      <w:r w:rsidR="00E36C75" w:rsidRPr="002C69F2">
        <w:t xml:space="preserve"> o </w:t>
      </w:r>
      <w:r w:rsidRPr="002C69F2">
        <w:t>předběžné otázce týkající se výkladu nařízení</w:t>
      </w:r>
      <w:r w:rsidR="00E36C75" w:rsidRPr="002C69F2">
        <w:t xml:space="preserve"> o </w:t>
      </w:r>
      <w:bookmarkStart w:id="1" w:name="_Hlk238813532"/>
      <w:r w:rsidRPr="002C69F2">
        <w:t>integrovaném administrativním</w:t>
      </w:r>
      <w:r w:rsidR="00E36C75" w:rsidRPr="002C69F2">
        <w:t xml:space="preserve"> a </w:t>
      </w:r>
      <w:r w:rsidRPr="002C69F2">
        <w:t>kontrolním systému pro zemědělské podpory</w:t>
      </w:r>
      <w:bookmarkEnd w:id="1"/>
      <w:r w:rsidRPr="002C69F2">
        <w:rPr>
          <w:bCs/>
          <w:iCs/>
          <w:vertAlign w:val="superscript"/>
        </w:rPr>
        <w:endnoteReference w:id="1"/>
      </w:r>
      <w:r w:rsidRPr="002C69F2">
        <w:t>. Zemědělec tedy podal žalobu na náhradu škody proti rumunskému státu</w:t>
      </w:r>
      <w:r w:rsidR="00E36C75" w:rsidRPr="002C69F2">
        <w:t xml:space="preserve"> z </w:t>
      </w:r>
      <w:r w:rsidRPr="002C69F2">
        <w:t>důvodu porušení unijního práva</w:t>
      </w:r>
      <w:r w:rsidR="00E36C75" w:rsidRPr="002C69F2">
        <w:t>. V </w:t>
      </w:r>
      <w:r w:rsidRPr="002C69F2">
        <w:t>rámci odvolacího řízení se tentýž Odvolací soud</w:t>
      </w:r>
      <w:r w:rsidR="00E36C75" w:rsidRPr="002C69F2">
        <w:t xml:space="preserve"> v </w:t>
      </w:r>
      <w:r w:rsidRPr="002C69F2">
        <w:t>Bukurešti nakonec Soudního dvora dotázal zejména na to, zda původní odmítnutí předložit předběžnou otázku může vést ke vzniku odpovědnosti rumunského státu.</w:t>
      </w:r>
    </w:p>
    <w:p w14:paraId="7A28733E" w14:textId="2E87A31F" w:rsidR="00EE3019" w:rsidRPr="002C69F2" w:rsidRDefault="00EE3019" w:rsidP="002E64DD">
      <w:pPr>
        <w:pStyle w:val="008CorpsDuTexte"/>
      </w:pPr>
      <w:r w:rsidRPr="002C69F2">
        <w:rPr>
          <w:b/>
          <w:bCs/>
        </w:rPr>
        <w:t xml:space="preserve">Ve věci </w:t>
      </w:r>
      <w:r w:rsidR="00E36C75" w:rsidRPr="002C69F2">
        <w:rPr>
          <w:b/>
          <w:bCs/>
        </w:rPr>
        <w:t>C</w:t>
      </w:r>
      <w:r w:rsidR="00E36C75" w:rsidRPr="002C69F2">
        <w:rPr>
          <w:b/>
          <w:bCs/>
        </w:rPr>
        <w:noBreakHyphen/>
        <w:t>293</w:t>
      </w:r>
      <w:r w:rsidRPr="002C69F2">
        <w:rPr>
          <w:b/>
          <w:bCs/>
        </w:rPr>
        <w:t>/24</w:t>
      </w:r>
      <w:r w:rsidRPr="002C69F2">
        <w:t xml:space="preserve"> zaměstnanci portugalské letecké společnosti Air Atlantis, kteří byli propuštěni</w:t>
      </w:r>
      <w:r w:rsidR="00E36C75" w:rsidRPr="002C69F2">
        <w:t xml:space="preserve"> v </w:t>
      </w:r>
      <w:r w:rsidRPr="002C69F2">
        <w:t>souvislosti se zrušením této společnosti</w:t>
      </w:r>
      <w:r w:rsidR="00E36C75" w:rsidRPr="002C69F2">
        <w:t xml:space="preserve"> v </w:t>
      </w:r>
      <w:r w:rsidRPr="002C69F2">
        <w:t xml:space="preserve">roce 1993, tvrdili, že společnost </w:t>
      </w:r>
      <w:proofErr w:type="spellStart"/>
      <w:r w:rsidRPr="002C69F2">
        <w:t>Transportes</w:t>
      </w:r>
      <w:proofErr w:type="spellEnd"/>
      <w:r w:rsidRPr="002C69F2">
        <w:t xml:space="preserve"> </w:t>
      </w:r>
      <w:proofErr w:type="spellStart"/>
      <w:r w:rsidRPr="002C69F2">
        <w:t>Aéreos</w:t>
      </w:r>
      <w:proofErr w:type="spellEnd"/>
      <w:r w:rsidRPr="002C69F2">
        <w:t xml:space="preserve"> </w:t>
      </w:r>
      <w:proofErr w:type="spellStart"/>
      <w:r w:rsidRPr="002C69F2">
        <w:t>Portugueses</w:t>
      </w:r>
      <w:proofErr w:type="spellEnd"/>
      <w:r w:rsidR="00E36C75" w:rsidRPr="002C69F2">
        <w:t xml:space="preserve"> v </w:t>
      </w:r>
      <w:r w:rsidRPr="002C69F2">
        <w:t>rámci „převodu závodu“ ve smyslu směrnice</w:t>
      </w:r>
      <w:r w:rsidR="00E36C75" w:rsidRPr="002C69F2">
        <w:t xml:space="preserve"> o </w:t>
      </w:r>
      <w:r w:rsidRPr="002C69F2">
        <w:t>převodu podniků</w:t>
      </w:r>
      <w:r w:rsidRPr="002C69F2">
        <w:rPr>
          <w:vertAlign w:val="superscript"/>
        </w:rPr>
        <w:endnoteReference w:customMarkFollows="1" w:id="2"/>
        <w:t xml:space="preserve">2 </w:t>
      </w:r>
      <w:r w:rsidRPr="002C69F2">
        <w:t>převzala část jejích činností. Požádali proto, aby byli do posledně uvedené společnosti začleněni</w:t>
      </w:r>
      <w:r w:rsidR="00E36C75" w:rsidRPr="002C69F2">
        <w:t>. V </w:t>
      </w:r>
      <w:r w:rsidRPr="002C69F2">
        <w:t>roce 2009 portugalský Nejvyšší soud odmítl předložit Soudnímu dvoru žádost</w:t>
      </w:r>
      <w:r w:rsidR="00E36C75" w:rsidRPr="002C69F2">
        <w:t xml:space="preserve"> o </w:t>
      </w:r>
      <w:r w:rsidRPr="002C69F2">
        <w:t>rozhodnutí</w:t>
      </w:r>
      <w:r w:rsidR="00E36C75" w:rsidRPr="002C69F2">
        <w:t xml:space="preserve"> o </w:t>
      </w:r>
      <w:r w:rsidRPr="002C69F2">
        <w:t xml:space="preserve">předběžné otázce týkající se pojmu „převod závodu“ </w:t>
      </w:r>
      <w:r w:rsidR="00475165" w:rsidRPr="002C69F2">
        <w:t xml:space="preserve">před tím, než </w:t>
      </w:r>
      <w:r w:rsidRPr="002C69F2">
        <w:t>potvrdil zamítnutí žaloby zaměstnanců portugalskými soudy nižších stupňů. Zaměstnanci tedy podali</w:t>
      </w:r>
      <w:r w:rsidR="00E36C75" w:rsidRPr="002C69F2">
        <w:t xml:space="preserve"> k </w:t>
      </w:r>
      <w:r w:rsidRPr="002C69F2">
        <w:t>občanskoprávním senátům</w:t>
      </w:r>
      <w:r w:rsidR="00E36C75" w:rsidRPr="002C69F2">
        <w:t xml:space="preserve"> v </w:t>
      </w:r>
      <w:r w:rsidRPr="002C69F2">
        <w:t>Lisabonu žalobu na náhradu škody proti portugalskému státu</w:t>
      </w:r>
      <w:r w:rsidR="00E36C75" w:rsidRPr="002C69F2">
        <w:t xml:space="preserve"> z </w:t>
      </w:r>
      <w:r w:rsidRPr="002C69F2">
        <w:t xml:space="preserve">důvodu porušení unijního práva, které lze přičíst Nejvyššímu </w:t>
      </w:r>
      <w:r w:rsidRPr="002C69F2">
        <w:lastRenderedPageBreak/>
        <w:t>soudu. Tento soud prvního stupně předložil Soudnímu dvoru žádost</w:t>
      </w:r>
      <w:r w:rsidR="00E36C75" w:rsidRPr="002C69F2">
        <w:t xml:space="preserve"> o </w:t>
      </w:r>
      <w:r w:rsidRPr="002C69F2">
        <w:t>rozhodnutí</w:t>
      </w:r>
      <w:r w:rsidR="00E36C75" w:rsidRPr="002C69F2">
        <w:t xml:space="preserve"> o </w:t>
      </w:r>
      <w:r w:rsidRPr="002C69F2">
        <w:t xml:space="preserve">předběžné otázce, </w:t>
      </w:r>
      <w:r w:rsidR="00DC68A2" w:rsidRPr="002C69F2">
        <w:t>následně</w:t>
      </w:r>
      <w:r w:rsidRPr="002C69F2">
        <w:t xml:space="preserve"> Soudní dvůr</w:t>
      </w:r>
      <w:r w:rsidR="00E36C75" w:rsidRPr="002C69F2">
        <w:t xml:space="preserve"> v </w:t>
      </w:r>
      <w:r w:rsidRPr="002C69F2">
        <w:t>roce 2015 rozhodl, že</w:t>
      </w:r>
      <w:r w:rsidR="00E36C75" w:rsidRPr="002C69F2">
        <w:t xml:space="preserve"> v </w:t>
      </w:r>
      <w:r w:rsidRPr="002C69F2">
        <w:t>projednávané věci skutečně došlo</w:t>
      </w:r>
      <w:r w:rsidR="00E36C75" w:rsidRPr="002C69F2">
        <w:t xml:space="preserve"> k </w:t>
      </w:r>
      <w:r w:rsidRPr="002C69F2">
        <w:t>převodu podniku</w:t>
      </w:r>
      <w:r w:rsidR="00E36C75" w:rsidRPr="002C69F2">
        <w:t xml:space="preserve"> a </w:t>
      </w:r>
      <w:r w:rsidRPr="002C69F2">
        <w:t>že Nejvyšší soud měl podat žádost</w:t>
      </w:r>
      <w:r w:rsidR="00E36C75" w:rsidRPr="002C69F2">
        <w:t xml:space="preserve"> o </w:t>
      </w:r>
      <w:r w:rsidRPr="002C69F2">
        <w:t>rozhodnutí</w:t>
      </w:r>
      <w:r w:rsidR="00E36C75" w:rsidRPr="002C69F2">
        <w:t xml:space="preserve"> o </w:t>
      </w:r>
      <w:r w:rsidRPr="002C69F2">
        <w:t>předběžné otázce.</w:t>
      </w:r>
      <w:r w:rsidRPr="002C69F2">
        <w:rPr>
          <w:vertAlign w:val="superscript"/>
        </w:rPr>
        <w:endnoteReference w:customMarkFollows="1" w:id="3"/>
        <w:t>3</w:t>
      </w:r>
      <w:r w:rsidRPr="002C69F2">
        <w:t xml:space="preserve"> Navzdory tomuto rozsudku portugalské soudy rozhodující ve věci samé žalobu zaměstnanců zamítly zejména</w:t>
      </w:r>
      <w:r w:rsidR="00E36C75" w:rsidRPr="002C69F2">
        <w:t xml:space="preserve"> z </w:t>
      </w:r>
      <w:r w:rsidRPr="002C69F2">
        <w:t>toho důvodu, že Soudní dvůr ve svém rozsudku vycházel</w:t>
      </w:r>
      <w:r w:rsidR="00E36C75" w:rsidRPr="002C69F2">
        <w:t xml:space="preserve"> z </w:t>
      </w:r>
      <w:r w:rsidRPr="002C69F2">
        <w:t>judikatury týkající se pojmu „převod závodu“, která následovala po rozsudku portugalského Nejvyššího soudu</w:t>
      </w:r>
      <w:r w:rsidR="00E36C75" w:rsidRPr="002C69F2">
        <w:t xml:space="preserve"> z </w:t>
      </w:r>
      <w:r w:rsidRPr="002C69F2">
        <w:t>roku 2009</w:t>
      </w:r>
      <w:r w:rsidR="00E36C75" w:rsidRPr="002C69F2">
        <w:t>. I </w:t>
      </w:r>
      <w:r w:rsidRPr="002C69F2">
        <w:t>Nejvyšší soud,</w:t>
      </w:r>
      <w:r w:rsidR="00E36C75" w:rsidRPr="002C69F2">
        <w:t xml:space="preserve"> k </w:t>
      </w:r>
      <w:r w:rsidRPr="002C69F2">
        <w:t>němuž byl podán mimořádný opravný prostředek „</w:t>
      </w:r>
      <w:proofErr w:type="spellStart"/>
      <w:r w:rsidRPr="002C69F2">
        <w:t>Revision</w:t>
      </w:r>
      <w:proofErr w:type="spellEnd"/>
      <w:r w:rsidRPr="002C69F2">
        <w:t>“, se nakonec obrátil na Soudní dvůr</w:t>
      </w:r>
      <w:r w:rsidR="00E36C75" w:rsidRPr="002C69F2">
        <w:t xml:space="preserve"> s </w:t>
      </w:r>
      <w:r w:rsidRPr="002C69F2">
        <w:t>cílem určit, zda postoj, který zaujal</w:t>
      </w:r>
      <w:r w:rsidR="00E36C75" w:rsidRPr="002C69F2">
        <w:t xml:space="preserve"> v </w:t>
      </w:r>
      <w:r w:rsidRPr="002C69F2">
        <w:t>roce 2009, představuje dostatečně závažné porušení unijního práva, které může vést ke vzniku odpovědnosti portugalského státu.</w:t>
      </w:r>
    </w:p>
    <w:p w14:paraId="7B6649C5" w14:textId="475B3FC8" w:rsidR="00EE3019" w:rsidRPr="002C69F2" w:rsidRDefault="00EE3019" w:rsidP="00947077">
      <w:pPr>
        <w:pStyle w:val="008CorpsDuTexte"/>
      </w:pPr>
      <w:r w:rsidRPr="002C69F2">
        <w:t>Pokud jde</w:t>
      </w:r>
      <w:r w:rsidR="00E36C75" w:rsidRPr="002C69F2">
        <w:t xml:space="preserve"> o </w:t>
      </w:r>
      <w:r w:rsidRPr="002C69F2">
        <w:t>podmínky pro vznik odpovědnosti členského státu za porušení unijního práva, Soudní dvůr připomněl, že údajně poškození jednotlivci mají nárok na náhradu škody, jsou-li splněny tři kumulativní podmínky: porušené pravidlo unijního práva musí mít za cíl přiznat jim práva, porušení tohoto pravidla musí být dostatečně závažné</w:t>
      </w:r>
      <w:r w:rsidR="00E36C75" w:rsidRPr="002C69F2">
        <w:t xml:space="preserve"> a </w:t>
      </w:r>
      <w:r w:rsidRPr="002C69F2">
        <w:t>musí existovat přímá příčinná souvislost mezi tímto porušením</w:t>
      </w:r>
      <w:r w:rsidR="00E36C75" w:rsidRPr="002C69F2">
        <w:t xml:space="preserve"> a </w:t>
      </w:r>
      <w:r w:rsidRPr="002C69F2">
        <w:t>vzniklou škodou</w:t>
      </w:r>
      <w:bookmarkStart w:id="2" w:name="_GoBack"/>
      <w:bookmarkEnd w:id="2"/>
      <w:r w:rsidRPr="002C69F2">
        <w:t>. Tato zásada se uplatní</w:t>
      </w:r>
      <w:r w:rsidR="00E36C75" w:rsidRPr="002C69F2">
        <w:t xml:space="preserve"> i v </w:t>
      </w:r>
      <w:r w:rsidRPr="002C69F2">
        <w:t>případě, že porušení vyplývá</w:t>
      </w:r>
      <w:r w:rsidR="00E36C75" w:rsidRPr="002C69F2">
        <w:t xml:space="preserve"> z </w:t>
      </w:r>
      <w:r w:rsidRPr="002C69F2">
        <w:t>rozhodnutí soudu, jehož rozhodnutí nelze napadnout opravnými prostředky podle vnitrostátního práva.</w:t>
      </w:r>
    </w:p>
    <w:p w14:paraId="72FD28AB" w14:textId="20F1FB3B" w:rsidR="00EE3019" w:rsidRPr="002C69F2" w:rsidRDefault="00EE3019" w:rsidP="00CA3A4D">
      <w:pPr>
        <w:pStyle w:val="008CorpsDuTexte"/>
      </w:pPr>
      <w:r w:rsidRPr="002C69F2">
        <w:t xml:space="preserve">Ve věci </w:t>
      </w:r>
      <w:r w:rsidR="00E36C75" w:rsidRPr="002C69F2">
        <w:t>C</w:t>
      </w:r>
      <w:r w:rsidR="00E36C75" w:rsidRPr="002C69F2">
        <w:noBreakHyphen/>
        <w:t>163</w:t>
      </w:r>
      <w:r w:rsidRPr="002C69F2">
        <w:t>/24 tedy Soudní dvůr uvedl, že</w:t>
      </w:r>
      <w:r w:rsidR="00E36C75" w:rsidRPr="002C69F2">
        <w:t xml:space="preserve"> v </w:t>
      </w:r>
      <w:r w:rsidRPr="002C69F2">
        <w:t>případě, kdy se jedná</w:t>
      </w:r>
      <w:r w:rsidR="00E36C75" w:rsidRPr="002C69F2">
        <w:t xml:space="preserve"> o </w:t>
      </w:r>
      <w:r w:rsidRPr="002C69F2">
        <w:t xml:space="preserve">porušení povinnosti předložit předběžnou otázku, může být odpovědnost členského státu založena pouze tehdy, </w:t>
      </w:r>
      <w:r w:rsidRPr="002C69F2">
        <w:rPr>
          <w:b/>
          <w:bCs/>
        </w:rPr>
        <w:t>je-li toto porušení doprovázeno rovněž porušením jiného pravidla unijního práva, jehož cílem je přiznat práva jednotlivcům.</w:t>
      </w:r>
      <w:r w:rsidRPr="002C69F2">
        <w:rPr>
          <w:b/>
        </w:rPr>
        <w:t xml:space="preserve"> Porušení této povinnosti předložit předběžnou otázku totiž samo</w:t>
      </w:r>
      <w:r w:rsidR="00E36C75" w:rsidRPr="002C69F2">
        <w:rPr>
          <w:b/>
        </w:rPr>
        <w:t xml:space="preserve"> o </w:t>
      </w:r>
      <w:r w:rsidRPr="002C69F2">
        <w:rPr>
          <w:b/>
        </w:rPr>
        <w:t>sobě nemůže postačovat ke vzniku odpovědnosti členského státu</w:t>
      </w:r>
      <w:r w:rsidR="00E36C75" w:rsidRPr="002C69F2">
        <w:rPr>
          <w:b/>
        </w:rPr>
        <w:t xml:space="preserve">. </w:t>
      </w:r>
      <w:r w:rsidR="00E36C75" w:rsidRPr="002C69F2">
        <w:rPr>
          <w:bCs/>
        </w:rPr>
        <w:t>V</w:t>
      </w:r>
      <w:r w:rsidR="00E36C75" w:rsidRPr="002C69F2">
        <w:rPr>
          <w:b/>
        </w:rPr>
        <w:t> </w:t>
      </w:r>
      <w:r w:rsidRPr="002C69F2">
        <w:t>projednávané věci přitom dotčené ustanovení nařízení</w:t>
      </w:r>
      <w:r w:rsidR="00E36C75" w:rsidRPr="002C69F2">
        <w:t xml:space="preserve"> o </w:t>
      </w:r>
      <w:r w:rsidRPr="002C69F2">
        <w:t>integrovaném administrativním</w:t>
      </w:r>
      <w:r w:rsidR="00E36C75" w:rsidRPr="002C69F2">
        <w:t xml:space="preserve"> a </w:t>
      </w:r>
      <w:r w:rsidRPr="002C69F2">
        <w:t>kontrolním systému pro zemědělské podpory nepřiznává zemědělci, který požádal</w:t>
      </w:r>
      <w:r w:rsidR="00E36C75" w:rsidRPr="002C69F2">
        <w:t xml:space="preserve"> o </w:t>
      </w:r>
      <w:r w:rsidRPr="002C69F2">
        <w:t>zemědělskou podporu, žádná práva, jelikož cílem tohoto ustanovení je výlučně ochrana finančních zájmů Unie. Podmínky, za nichž dotyčný rumunský zemědělec jednal, mu mimoto neumožňovaly dovolávat se ustanovení unijního práva obsaženého</w:t>
      </w:r>
      <w:r w:rsidR="00E36C75" w:rsidRPr="002C69F2">
        <w:t xml:space="preserve"> v </w:t>
      </w:r>
      <w:r w:rsidRPr="002C69F2">
        <w:t>jiném nařízení, které se vztahuje na případ omluvitelného omylu.</w:t>
      </w:r>
    </w:p>
    <w:p w14:paraId="27383863" w14:textId="051D7E20" w:rsidR="00EE3019" w:rsidRDefault="00EE3019" w:rsidP="000E4B2D">
      <w:pPr>
        <w:pStyle w:val="008CorpsDuTexte"/>
        <w:rPr>
          <w:b/>
          <w:bCs/>
        </w:rPr>
      </w:pPr>
      <w:r w:rsidRPr="002C69F2">
        <w:t xml:space="preserve">Ve věci </w:t>
      </w:r>
      <w:r w:rsidR="00E36C75" w:rsidRPr="002C69F2">
        <w:t>C</w:t>
      </w:r>
      <w:r w:rsidR="00E36C75" w:rsidRPr="002C69F2">
        <w:noBreakHyphen/>
        <w:t>293/24 </w:t>
      </w:r>
      <w:r w:rsidR="00DC68A2" w:rsidRPr="002C69F2">
        <w:t xml:space="preserve">konstatoval </w:t>
      </w:r>
      <w:r w:rsidR="00E36C75" w:rsidRPr="002C69F2">
        <w:t>S</w:t>
      </w:r>
      <w:r w:rsidRPr="002C69F2">
        <w:t>oudní dvůr, že dotčená ustanovení směrnice</w:t>
      </w:r>
      <w:r w:rsidR="00E36C75" w:rsidRPr="002C69F2">
        <w:t xml:space="preserve"> o </w:t>
      </w:r>
      <w:r w:rsidRPr="002C69F2">
        <w:t>převodu podniků mají skutečně za cíl přiznat práva jednotlivcům, takže první podmínka pro vznik odpovědnosti portugalského státu</w:t>
      </w:r>
      <w:r w:rsidR="00E36C75" w:rsidRPr="002C69F2">
        <w:t xml:space="preserve"> v </w:t>
      </w:r>
      <w:r w:rsidRPr="002C69F2">
        <w:t>důsledku rozhodnutí Nejvyššího soudu</w:t>
      </w:r>
      <w:r w:rsidR="00E36C75" w:rsidRPr="002C69F2">
        <w:t xml:space="preserve"> z </w:t>
      </w:r>
      <w:r w:rsidRPr="002C69F2">
        <w:t>roku 2009 je splněna. Pokud jde</w:t>
      </w:r>
      <w:r w:rsidR="00E36C75" w:rsidRPr="002C69F2">
        <w:t xml:space="preserve"> o </w:t>
      </w:r>
      <w:r w:rsidRPr="002C69F2">
        <w:t>druhou podmínku, která se týká existence dostatečně závažného porušení unijního práva dotyčným soudem, Soudní dvůr uvedl tři skutečnosti, které považuje za rozhodující. Zaprvé konstatoval, že řešení přijaté</w:t>
      </w:r>
      <w:r w:rsidR="00E36C75" w:rsidRPr="002C69F2">
        <w:t xml:space="preserve"> v </w:t>
      </w:r>
      <w:r w:rsidRPr="002C69F2">
        <w:t>jeho rozsudku</w:t>
      </w:r>
      <w:r w:rsidR="00E36C75" w:rsidRPr="002C69F2">
        <w:t xml:space="preserve"> z </w:t>
      </w:r>
      <w:r w:rsidRPr="002C69F2">
        <w:t>roku 2015 již vyplývalo</w:t>
      </w:r>
      <w:r w:rsidR="00E36C75" w:rsidRPr="002C69F2">
        <w:t xml:space="preserve"> z </w:t>
      </w:r>
      <w:r w:rsidRPr="002C69F2">
        <w:t>judikatury předcházející zamítavému rozhodnutí portugalského Nejvyššího soudu</w:t>
      </w:r>
      <w:r w:rsidR="00E36C75" w:rsidRPr="002C69F2">
        <w:t xml:space="preserve"> z </w:t>
      </w:r>
      <w:r w:rsidRPr="002C69F2">
        <w:t>roku 2009, přičemž toto rozhodnutí bylo zatíženo souhrnem pochybení při výkladu unijního práva. Zadruhé okolnost, že se portugalský Nejvyšší soud odchýlil od informací, které vyplývaly</w:t>
      </w:r>
      <w:r w:rsidR="00E36C75" w:rsidRPr="002C69F2">
        <w:t xml:space="preserve"> z </w:t>
      </w:r>
      <w:r w:rsidRPr="002C69F2">
        <w:t>judikatury předcházející tomuto rozhodnutí</w:t>
      </w:r>
      <w:r w:rsidR="00E36C75" w:rsidRPr="002C69F2">
        <w:t xml:space="preserve"> z </w:t>
      </w:r>
      <w:r w:rsidRPr="002C69F2">
        <w:t>roku 2009, aniž Soudnímu dvoru předložil žádost</w:t>
      </w:r>
      <w:r w:rsidR="00E36C75" w:rsidRPr="002C69F2">
        <w:t xml:space="preserve"> o </w:t>
      </w:r>
      <w:r w:rsidRPr="002C69F2">
        <w:t>rozhodnutí</w:t>
      </w:r>
      <w:r w:rsidR="00E36C75" w:rsidRPr="002C69F2">
        <w:t xml:space="preserve"> o </w:t>
      </w:r>
      <w:r w:rsidRPr="002C69F2">
        <w:t>předběžné otázce,</w:t>
      </w:r>
      <w:r w:rsidR="00E36C75" w:rsidRPr="002C69F2">
        <w:t xml:space="preserve"> a </w:t>
      </w:r>
      <w:r w:rsidRPr="002C69F2">
        <w:t>to navzdory povinnosti, která mu</w:t>
      </w:r>
      <w:r w:rsidR="00E36C75" w:rsidRPr="002C69F2">
        <w:t xml:space="preserve"> v </w:t>
      </w:r>
      <w:r w:rsidRPr="002C69F2">
        <w:t>tomto ohledu přísluší, představuje</w:t>
      </w:r>
      <w:r w:rsidR="00E36C75" w:rsidRPr="002C69F2">
        <w:t xml:space="preserve"> v </w:t>
      </w:r>
      <w:r w:rsidRPr="002C69F2">
        <w:t>projednávané věci rovněž dostatečně závažné porušení unijního práva. Zatřetí tento Nejvyšší soud nemohl nevědět, že soulad metodického přístupu, který</w:t>
      </w:r>
      <w:r w:rsidR="00E36C75" w:rsidRPr="002C69F2">
        <w:t xml:space="preserve"> v </w:t>
      </w:r>
      <w:r w:rsidRPr="002C69F2">
        <w:t>tomto rozhodnutí zaujal,</w:t>
      </w:r>
      <w:r w:rsidR="00E36C75" w:rsidRPr="002C69F2">
        <w:t xml:space="preserve"> s </w:t>
      </w:r>
      <w:r w:rsidRPr="002C69F2">
        <w:t>unijním právem byl konkrétně jádrem žádosti</w:t>
      </w:r>
      <w:r w:rsidR="00E36C75" w:rsidRPr="002C69F2">
        <w:t xml:space="preserve"> o </w:t>
      </w:r>
      <w:r w:rsidRPr="002C69F2">
        <w:t>rozhodnutí</w:t>
      </w:r>
      <w:r w:rsidR="00E36C75" w:rsidRPr="002C69F2">
        <w:t xml:space="preserve"> o </w:t>
      </w:r>
      <w:r w:rsidRPr="002C69F2">
        <w:t>předběžné otázce,</w:t>
      </w:r>
      <w:r w:rsidR="00E36C75" w:rsidRPr="002C69F2">
        <w:t xml:space="preserve"> o </w:t>
      </w:r>
      <w:r w:rsidRPr="002C69F2">
        <w:t>níž</w:t>
      </w:r>
      <w:r w:rsidR="00E36C75" w:rsidRPr="002C69F2">
        <w:t xml:space="preserve"> v </w:t>
      </w:r>
      <w:r w:rsidRPr="002C69F2">
        <w:t>té době Soudní dvůr rozhodoval, což svědčí</w:t>
      </w:r>
      <w:r w:rsidR="00E36C75" w:rsidRPr="002C69F2">
        <w:t xml:space="preserve"> o </w:t>
      </w:r>
      <w:r w:rsidRPr="002C69F2">
        <w:t>neomluvitelnosti porušení uvedeného práva ze strany tohoto vnitrostátního soudu.</w:t>
      </w:r>
      <w:r w:rsidR="00E36C75" w:rsidRPr="002C69F2">
        <w:t xml:space="preserve"> S </w:t>
      </w:r>
      <w:r w:rsidRPr="002C69F2">
        <w:t xml:space="preserve">ohledem na tyto jednotlivé skutečnosti se tedy jeví, že </w:t>
      </w:r>
      <w:r w:rsidRPr="002C69F2">
        <w:rPr>
          <w:b/>
          <w:bCs/>
        </w:rPr>
        <w:t>rozsudek</w:t>
      </w:r>
      <w:r w:rsidR="00E36C75" w:rsidRPr="002C69F2">
        <w:rPr>
          <w:b/>
          <w:bCs/>
        </w:rPr>
        <w:t xml:space="preserve"> z </w:t>
      </w:r>
      <w:r w:rsidRPr="002C69F2">
        <w:rPr>
          <w:b/>
          <w:bCs/>
        </w:rPr>
        <w:t>roku 2009 je stižen dostatečně závažným porušením unijního práva, což však přísluší ověřit předkládajícímu soudu</w:t>
      </w:r>
      <w:r w:rsidRPr="002C69F2">
        <w:t xml:space="preserve">, stejně jako </w:t>
      </w:r>
      <w:r w:rsidRPr="002C69F2">
        <w:rPr>
          <w:b/>
          <w:bCs/>
        </w:rPr>
        <w:t>existenci příčinné souvislosti mezi tímto porušením</w:t>
      </w:r>
      <w:r w:rsidR="00E36C75" w:rsidRPr="002C69F2">
        <w:rPr>
          <w:b/>
          <w:bCs/>
        </w:rPr>
        <w:t xml:space="preserve"> a </w:t>
      </w:r>
      <w:r w:rsidRPr="002C69F2">
        <w:rPr>
          <w:b/>
          <w:bCs/>
        </w:rPr>
        <w:t>škodou, jejíž náhrada je bývalými zaměstnanci společnosti Air Atlantis ve věci</w:t>
      </w:r>
      <w:r w:rsidR="00E36C75" w:rsidRPr="002C69F2">
        <w:rPr>
          <w:b/>
          <w:bCs/>
        </w:rPr>
        <w:t xml:space="preserve"> v </w:t>
      </w:r>
      <w:r w:rsidRPr="002C69F2">
        <w:rPr>
          <w:b/>
          <w:bCs/>
        </w:rPr>
        <w:t>původním řízení požadována.</w:t>
      </w:r>
      <w:bookmarkStart w:id="3" w:name="_Hlk233290145"/>
    </w:p>
    <w:p w14:paraId="577C4DF1" w14:textId="77777777" w:rsidR="00197966" w:rsidRPr="002C69F2" w:rsidRDefault="00197966" w:rsidP="000E4B2D">
      <w:pPr>
        <w:pStyle w:val="008CorpsDuTexte"/>
      </w:pPr>
    </w:p>
    <w:bookmarkEnd w:id="3"/>
    <w:p w14:paraId="768907B9" w14:textId="75E4A34D" w:rsidR="00EE3019" w:rsidRPr="002C69F2" w:rsidRDefault="00EE3019">
      <w:pPr>
        <w:pStyle w:val="110Rappel"/>
      </w:pPr>
      <w:r w:rsidRPr="002C69F2">
        <w:rPr>
          <w:b/>
        </w:rPr>
        <w:t>UPOZORNĚNÍ:</w:t>
      </w:r>
      <w:r w:rsidRPr="002C69F2">
        <w:t xml:space="preserve"> Žádost</w:t>
      </w:r>
      <w:r w:rsidR="00E36C75" w:rsidRPr="002C69F2">
        <w:t xml:space="preserve"> o </w:t>
      </w:r>
      <w:r w:rsidRPr="002C69F2">
        <w:t>rozhodnutí</w:t>
      </w:r>
      <w:r w:rsidR="00E36C75" w:rsidRPr="002C69F2">
        <w:t xml:space="preserve"> o </w:t>
      </w:r>
      <w:r w:rsidRPr="002C69F2">
        <w:t>předběžné otázce umožňuje soudům členských států, aby</w:t>
      </w:r>
      <w:r w:rsidR="00E36C75" w:rsidRPr="002C69F2">
        <w:t xml:space="preserve"> v </w:t>
      </w:r>
      <w:r w:rsidRPr="002C69F2">
        <w:t>rámci sporu, který projednávají, položily Soudnímu dvoru Evropské unie otázky týkající se výkladu práva Unie nebo platnosti aktu Unie.</w:t>
      </w:r>
    </w:p>
    <w:p w14:paraId="01FA2DA3" w14:textId="71AD6301" w:rsidR="00EE3019" w:rsidRPr="002C69F2" w:rsidRDefault="00EE3019">
      <w:pPr>
        <w:pStyle w:val="110Rappel"/>
      </w:pPr>
      <w:r w:rsidRPr="002C69F2">
        <w:lastRenderedPageBreak/>
        <w:t>Tribunál je příslušný</w:t>
      </w:r>
      <w:r w:rsidR="00E36C75" w:rsidRPr="002C69F2">
        <w:t xml:space="preserve"> k </w:t>
      </w:r>
      <w:r w:rsidRPr="002C69F2">
        <w:t>projednání žádostí</w:t>
      </w:r>
      <w:r w:rsidR="00E36C75" w:rsidRPr="002C69F2">
        <w:t xml:space="preserve"> o </w:t>
      </w:r>
      <w:r w:rsidRPr="002C69F2">
        <w:t>rozhodnutí</w:t>
      </w:r>
      <w:r w:rsidR="00E36C75" w:rsidRPr="002C69F2">
        <w:t xml:space="preserve"> o </w:t>
      </w:r>
      <w:r w:rsidRPr="002C69F2">
        <w:t>předběžné otázce, které se týkají výlučně 1) společného systému daně</w:t>
      </w:r>
      <w:r w:rsidR="00E36C75" w:rsidRPr="002C69F2">
        <w:t xml:space="preserve"> z </w:t>
      </w:r>
      <w:r w:rsidRPr="002C69F2">
        <w:t>přidané hodnoty (DPH), 2) spotřebních daní, 3) celního kodexu, 4) sazebního zařazení zboží</w:t>
      </w:r>
      <w:r w:rsidR="00E36C75" w:rsidRPr="002C69F2">
        <w:t xml:space="preserve"> v </w:t>
      </w:r>
      <w:r w:rsidRPr="002C69F2">
        <w:t>kombinované nomenklatuře, 5) náhrady škody</w:t>
      </w:r>
      <w:r w:rsidR="00E36C75" w:rsidRPr="002C69F2">
        <w:t xml:space="preserve"> a </w:t>
      </w:r>
      <w:r w:rsidRPr="002C69F2">
        <w:t>pomoci cestujícím</w:t>
      </w:r>
      <w:r w:rsidR="00E36C75" w:rsidRPr="002C69F2">
        <w:t xml:space="preserve"> v </w:t>
      </w:r>
      <w:r w:rsidRPr="002C69F2">
        <w:t>případě odepření nástupu na palubu nebo zpoždění či zrušení dopravních služeb nebo 6) systému pro obchodování</w:t>
      </w:r>
      <w:r w:rsidR="00E36C75" w:rsidRPr="002C69F2">
        <w:t xml:space="preserve"> s </w:t>
      </w:r>
      <w:r w:rsidRPr="002C69F2">
        <w:t>povolenkami na emise skleníkových plynů. Soudní dvůr je příslušný</w:t>
      </w:r>
      <w:r w:rsidR="00E36C75" w:rsidRPr="002C69F2">
        <w:t xml:space="preserve"> k </w:t>
      </w:r>
      <w:r w:rsidRPr="002C69F2">
        <w:t>projednání všech ostatních žádostí</w:t>
      </w:r>
      <w:r w:rsidR="00E36C75" w:rsidRPr="002C69F2">
        <w:t xml:space="preserve"> o </w:t>
      </w:r>
      <w:r w:rsidRPr="002C69F2">
        <w:t>rozhodnutí</w:t>
      </w:r>
      <w:r w:rsidR="00E36C75" w:rsidRPr="002C69F2">
        <w:t xml:space="preserve"> o </w:t>
      </w:r>
      <w:r w:rsidRPr="002C69F2">
        <w:t>předběžné otázce.</w:t>
      </w:r>
    </w:p>
    <w:p w14:paraId="75B56934" w14:textId="0CE4DB5E" w:rsidR="00EE3019" w:rsidRPr="002C69F2" w:rsidRDefault="00EE3019">
      <w:pPr>
        <w:pStyle w:val="110Rappel"/>
      </w:pPr>
      <w:r w:rsidRPr="002C69F2">
        <w:t>Ani Soudní dvůr, ani Tribunál nerozhodují ve sporu před vnitrostátním soudem. Vnitrostátní soud musí věc rozhodnout</w:t>
      </w:r>
      <w:r w:rsidR="00E36C75" w:rsidRPr="002C69F2">
        <w:t xml:space="preserve"> v </w:t>
      </w:r>
      <w:r w:rsidRPr="002C69F2">
        <w:t>souladu</w:t>
      </w:r>
      <w:r w:rsidR="00E36C75" w:rsidRPr="002C69F2">
        <w:t xml:space="preserve"> s </w:t>
      </w:r>
      <w:r w:rsidRPr="002C69F2">
        <w:t>rozhodnutím Soudního dvora nebo Tribunálu. Toto rozhodnutí je stejně závazné pro ostatní vnitrostátní soudy, které případně budou projednávat podobný problém.</w:t>
      </w:r>
    </w:p>
    <w:p w14:paraId="4B91E96D" w14:textId="67CCE707" w:rsidR="00EE3019" w:rsidRPr="002C69F2" w:rsidRDefault="00EE3019">
      <w:pPr>
        <w:pStyle w:val="009Boite"/>
      </w:pPr>
      <w:r w:rsidRPr="002C69F2">
        <w:t>Neoficiální dokument pro potřeby sdělovacích prostředků, který nezavazuje Soudní dvůr. Popis skutkového stavu</w:t>
      </w:r>
      <w:r w:rsidR="00E36C75" w:rsidRPr="002C69F2">
        <w:t xml:space="preserve"> a </w:t>
      </w:r>
      <w:r w:rsidRPr="002C69F2">
        <w:t>právního rámce se vztahuje</w:t>
      </w:r>
      <w:r w:rsidR="00E36C75" w:rsidRPr="002C69F2">
        <w:t xml:space="preserve"> k </w:t>
      </w:r>
      <w:r w:rsidRPr="002C69F2">
        <w:t>rozhodné době</w:t>
      </w:r>
      <w:r w:rsidR="00E36C75" w:rsidRPr="002C69F2">
        <w:t xml:space="preserve"> a </w:t>
      </w:r>
      <w:r w:rsidRPr="002C69F2">
        <w:t>vychází ze spisů</w:t>
      </w:r>
      <w:r w:rsidR="00E36C75" w:rsidRPr="002C69F2">
        <w:t xml:space="preserve"> v </w:t>
      </w:r>
      <w:r w:rsidRPr="002C69F2">
        <w:t>daných věcech.</w:t>
      </w:r>
    </w:p>
    <w:p w14:paraId="37B4DCFB" w14:textId="229821A8" w:rsidR="00EE3019" w:rsidRPr="002C69F2" w:rsidRDefault="00EE3019">
      <w:pPr>
        <w:pStyle w:val="009Boite"/>
      </w:pPr>
      <w:r w:rsidRPr="002C69F2">
        <w:t>Úplná znění rozsudků (</w:t>
      </w:r>
      <w:hyperlink r:id="rId18" w:history="1">
        <w:r w:rsidR="00E36C75" w:rsidRPr="002C69F2">
          <w:rPr>
            <w:rStyle w:val="Hyperlink"/>
          </w:rPr>
          <w:t>C</w:t>
        </w:r>
        <w:r w:rsidR="00E36C75" w:rsidRPr="002C69F2">
          <w:rPr>
            <w:rStyle w:val="Hyperlink"/>
          </w:rPr>
          <w:noBreakHyphen/>
          <w:t>163</w:t>
        </w:r>
        <w:r w:rsidRPr="002C69F2">
          <w:rPr>
            <w:rStyle w:val="Hyperlink"/>
          </w:rPr>
          <w:t>/24</w:t>
        </w:r>
      </w:hyperlink>
      <w:r w:rsidR="00E36C75" w:rsidRPr="002C69F2">
        <w:t xml:space="preserve"> a </w:t>
      </w:r>
      <w:hyperlink r:id="rId19" w:history="1">
        <w:r w:rsidR="00E36C75" w:rsidRPr="002C69F2">
          <w:rPr>
            <w:rStyle w:val="Hyperlink"/>
          </w:rPr>
          <w:t>C</w:t>
        </w:r>
        <w:r w:rsidR="00E36C75" w:rsidRPr="002C69F2">
          <w:rPr>
            <w:rStyle w:val="Hyperlink"/>
          </w:rPr>
          <w:noBreakHyphen/>
          <w:t>293</w:t>
        </w:r>
        <w:r w:rsidRPr="002C69F2">
          <w:rPr>
            <w:rStyle w:val="Hyperlink"/>
          </w:rPr>
          <w:t>/24</w:t>
        </w:r>
      </w:hyperlink>
      <w:r w:rsidRPr="002C69F2">
        <w:t>),</w:t>
      </w:r>
      <w:r w:rsidR="00E36C75" w:rsidRPr="002C69F2">
        <w:t xml:space="preserve"> a </w:t>
      </w:r>
      <w:r w:rsidRPr="002C69F2">
        <w:t>případně jejich shrnutí jsou zveřejněna na internetové stránce CURIA</w:t>
      </w:r>
      <w:r w:rsidR="00E36C75" w:rsidRPr="002C69F2">
        <w:t xml:space="preserve"> v </w:t>
      </w:r>
      <w:r w:rsidRPr="002C69F2">
        <w:t>den vyhlášení.</w:t>
      </w:r>
    </w:p>
    <w:p w14:paraId="308E4F9E" w14:textId="092D7A04" w:rsidR="00EE3019" w:rsidRPr="002C69F2" w:rsidRDefault="00EE3019">
      <w:pPr>
        <w:pStyle w:val="009Boite"/>
      </w:pPr>
      <w:r w:rsidRPr="002C69F2">
        <w:t xml:space="preserve">Kontaktní osoba pro tisk: Traian Moga ✆ </w:t>
      </w:r>
      <w:r w:rsidR="00197966">
        <w:t xml:space="preserve"> </w:t>
      </w:r>
      <w:r w:rsidRPr="002C69F2">
        <w:t>(+352) 430</w:t>
      </w:r>
      <w:r w:rsidR="00E36C75" w:rsidRPr="002C69F2">
        <w:t>3 373</w:t>
      </w:r>
      <w:r w:rsidRPr="002C69F2">
        <w:t>2.</w:t>
      </w:r>
    </w:p>
    <w:p w14:paraId="5E913058" w14:textId="15077C47" w:rsidR="00EE3019" w:rsidRPr="002C69F2" w:rsidRDefault="00EE3019">
      <w:pPr>
        <w:pStyle w:val="009Boite"/>
      </w:pPr>
      <w:r w:rsidRPr="002C69F2">
        <w:t>Obrazové záznamy</w:t>
      </w:r>
      <w:r w:rsidR="00E36C75" w:rsidRPr="002C69F2">
        <w:t xml:space="preserve"> z </w:t>
      </w:r>
      <w:r w:rsidRPr="002C69F2">
        <w:t xml:space="preserve">vyhlášení rozsudku jsou dostupné na </w:t>
      </w:r>
      <w:hyperlink r:id="rId20" w:history="1">
        <w:r w:rsidRPr="002C69F2">
          <w:rPr>
            <w:rStyle w:val="Hyperlink"/>
          </w:rPr>
          <w:t>Curia Web T</w:t>
        </w:r>
        <w:r w:rsidR="00E36C75" w:rsidRPr="002C69F2">
          <w:rPr>
            <w:rStyle w:val="Hyperlink"/>
          </w:rPr>
          <w:t>V </w:t>
        </w:r>
      </w:hyperlink>
      <w:r w:rsidRPr="002C69F2">
        <w:t>, jakož</w:t>
      </w:r>
      <w:r w:rsidR="00E36C75" w:rsidRPr="002C69F2">
        <w:t xml:space="preserve"> i </w:t>
      </w:r>
      <w:r w:rsidRPr="002C69F2">
        <w:t xml:space="preserve">na </w:t>
      </w:r>
      <w:hyperlink r:id="rId21" w:history="1">
        <w:proofErr w:type="spellStart"/>
        <w:r w:rsidR="00197966">
          <w:rPr>
            <w:rStyle w:val="Hyperlink"/>
          </w:rPr>
          <w:t>European</w:t>
        </w:r>
        <w:proofErr w:type="spellEnd"/>
        <w:r w:rsidR="00197966">
          <w:rPr>
            <w:rStyle w:val="Hyperlink"/>
          </w:rPr>
          <w:t xml:space="preserve"> </w:t>
        </w:r>
        <w:proofErr w:type="spellStart"/>
        <w:r w:rsidR="00197966">
          <w:rPr>
            <w:rStyle w:val="Hyperlink"/>
          </w:rPr>
          <w:t>Broadcasting</w:t>
        </w:r>
        <w:proofErr w:type="spellEnd"/>
        <w:r w:rsidR="00197966">
          <w:rPr>
            <w:rStyle w:val="Hyperlink"/>
          </w:rPr>
          <w:t xml:space="preserve"> Service</w:t>
        </w:r>
      </w:hyperlink>
      <w:r w:rsidRPr="002C69F2">
        <w:t xml:space="preserve"> ✆ </w:t>
      </w:r>
      <w:r w:rsidR="00197966">
        <w:t xml:space="preserve"> </w:t>
      </w:r>
      <w:r w:rsidRPr="002C69F2">
        <w:t xml:space="preserve">(+32) </w:t>
      </w:r>
      <w:r w:rsidR="00E36C75" w:rsidRPr="002C69F2">
        <w:t>2 296</w:t>
      </w:r>
      <w:r w:rsidRPr="002C69F2">
        <w:t>4106.</w:t>
      </w:r>
    </w:p>
    <w:p w14:paraId="160EB634" w14:textId="77777777" w:rsidR="00EE3019" w:rsidRPr="002C69F2" w:rsidRDefault="00EE3019">
      <w:pPr>
        <w:pStyle w:val="012StayConnected"/>
      </w:pPr>
      <w:r w:rsidRPr="002C69F2">
        <w:t>Zůstaňte ve spojení!</w:t>
      </w:r>
      <w:r w:rsidRPr="002C69F2">
        <w:rPr>
          <w:noProof/>
          <w:lang w:val="fr-BE" w:eastAsia="fr-BE" w:bidi="ar-SA"/>
        </w:rPr>
        <w:drawing>
          <wp:anchor distT="0" distB="0" distL="114300" distR="114300" simplePos="0" relativeHeight="251656192" behindDoc="0" locked="0" layoutInCell="1" allowOverlap="1" wp14:anchorId="4D70AC07" wp14:editId="76846FCB">
            <wp:simplePos x="0" y="0"/>
            <wp:positionH relativeFrom="column">
              <wp:posOffset>6010910</wp:posOffset>
            </wp:positionH>
            <wp:positionV relativeFrom="paragraph">
              <wp:posOffset>144145</wp:posOffset>
            </wp:positionV>
            <wp:extent cx="179705" cy="179705"/>
            <wp:effectExtent l="0" t="0" r="0" b="0"/>
            <wp:wrapNone/>
            <wp:docPr id="230" name="CP_Pic_YouTube" descr="Youtub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CP_Pic_YouTube" descr="Youtub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53120" behindDoc="0" locked="0" layoutInCell="1" allowOverlap="1" wp14:anchorId="51C1A420" wp14:editId="0CC23054">
            <wp:simplePos x="0" y="0"/>
            <wp:positionH relativeFrom="column">
              <wp:posOffset>4102100</wp:posOffset>
            </wp:positionH>
            <wp:positionV relativeFrom="paragraph">
              <wp:posOffset>144145</wp:posOffset>
            </wp:positionV>
            <wp:extent cx="179705" cy="179705"/>
            <wp:effectExtent l="0" t="0" r="0" b="0"/>
            <wp:wrapNone/>
            <wp:docPr id="231" name="CP_Pic_LinkedIn" descr="Linkedin">
              <a:hlinkClick xmlns:a="http://schemas.openxmlformats.org/drawingml/2006/main" r:id="rId2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P_Pic_LinkedIn" descr="Linkedin"/>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59264" behindDoc="0" locked="0" layoutInCell="1" allowOverlap="1" wp14:anchorId="10C4ABAF" wp14:editId="63FB0FA5">
            <wp:simplePos x="0" y="0"/>
            <wp:positionH relativeFrom="column">
              <wp:posOffset>4374515</wp:posOffset>
            </wp:positionH>
            <wp:positionV relativeFrom="paragraph">
              <wp:posOffset>143510</wp:posOffset>
            </wp:positionV>
            <wp:extent cx="179705" cy="179705"/>
            <wp:effectExtent l="0" t="0" r="0" b="0"/>
            <wp:wrapNone/>
            <wp:docPr id="232" name="CP_Pic_BlueSky" descr="BlueSk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CP_Pic_BlueSky" descr="BlueSky"/>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60288" behindDoc="0" locked="0" layoutInCell="1" allowOverlap="1" wp14:anchorId="31941A30" wp14:editId="19BD76D6">
            <wp:simplePos x="0" y="0"/>
            <wp:positionH relativeFrom="column">
              <wp:posOffset>4646930</wp:posOffset>
            </wp:positionH>
            <wp:positionV relativeFrom="paragraph">
              <wp:posOffset>143510</wp:posOffset>
            </wp:positionV>
            <wp:extent cx="179705" cy="179705"/>
            <wp:effectExtent l="0" t="0" r="0" b="0"/>
            <wp:wrapNone/>
            <wp:docPr id="233" name="CP_Pic_Instagram" descr="Instagram">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P_Pic_Instagram" descr="Instagram"/>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61312" behindDoc="0" locked="0" layoutInCell="1" allowOverlap="1" wp14:anchorId="1484A997" wp14:editId="406AC206">
            <wp:simplePos x="0" y="0"/>
            <wp:positionH relativeFrom="column">
              <wp:posOffset>4919345</wp:posOffset>
            </wp:positionH>
            <wp:positionV relativeFrom="paragraph">
              <wp:posOffset>143510</wp:posOffset>
            </wp:positionV>
            <wp:extent cx="179705" cy="179705"/>
            <wp:effectExtent l="0" t="0" r="0" b="0"/>
            <wp:wrapNone/>
            <wp:docPr id="234" name="CP_Pic_Threads" descr="Thread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P_Pic_Threads" descr="Threads"/>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55168" behindDoc="0" locked="0" layoutInCell="1" allowOverlap="1" wp14:anchorId="5AA2348C" wp14:editId="1BC6CCEE">
            <wp:simplePos x="0" y="0"/>
            <wp:positionH relativeFrom="column">
              <wp:posOffset>5189855</wp:posOffset>
            </wp:positionH>
            <wp:positionV relativeFrom="paragraph">
              <wp:posOffset>143510</wp:posOffset>
            </wp:positionV>
            <wp:extent cx="179705" cy="179705"/>
            <wp:effectExtent l="0" t="0" r="0" b="0"/>
            <wp:wrapNone/>
            <wp:docPr id="235" name="CP_Pic_Mastodon" descr="Mastodo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CP_Pic_Mastodon" descr="Mastodon"/>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54144" behindDoc="0" locked="0" layoutInCell="1" allowOverlap="1" wp14:anchorId="34B099C8" wp14:editId="760866E5">
            <wp:simplePos x="0" y="0"/>
            <wp:positionH relativeFrom="column">
              <wp:posOffset>5464175</wp:posOffset>
            </wp:positionH>
            <wp:positionV relativeFrom="paragraph">
              <wp:posOffset>143510</wp:posOffset>
            </wp:positionV>
            <wp:extent cx="179705" cy="179705"/>
            <wp:effectExtent l="0" t="0" r="0" b="0"/>
            <wp:wrapNone/>
            <wp:docPr id="236" name="CP_Pic_Twitter" descr="X (Twitter)">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CP_Pic_Twitter" descr="X (Twitte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2C69F2">
        <w:rPr>
          <w:noProof/>
          <w:lang w:val="fr-BE" w:eastAsia="fr-BE" w:bidi="ar-SA"/>
        </w:rPr>
        <w:drawing>
          <wp:anchor distT="0" distB="0" distL="114300" distR="114300" simplePos="0" relativeHeight="251662336" behindDoc="0" locked="0" layoutInCell="1" allowOverlap="1" wp14:anchorId="3B6045D8" wp14:editId="7764439C">
            <wp:simplePos x="0" y="0"/>
            <wp:positionH relativeFrom="column">
              <wp:posOffset>5736367</wp:posOffset>
            </wp:positionH>
            <wp:positionV relativeFrom="paragraph">
              <wp:posOffset>142875</wp:posOffset>
            </wp:positionV>
            <wp:extent cx="179705" cy="179705"/>
            <wp:effectExtent l="0" t="0" r="0" b="0"/>
            <wp:wrapNone/>
            <wp:docPr id="237" name="CP_Pic_Whatsapp" descr="Whatsapp">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CP_Pic_Whatsapp" descr="Whatsapp"/>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sectPr w:rsidR="00EE3019" w:rsidRPr="002C69F2">
      <w:footerReference w:type="default" r:id="rId38"/>
      <w:headerReference w:type="first" r:id="rId39"/>
      <w:footerReference w:type="first" r:id="rId40"/>
      <w:endnotePr>
        <w:numFmt w:val="decimal"/>
      </w:endnotePr>
      <w:pgSz w:w="11906" w:h="16838"/>
      <w:pgMar w:top="1440" w:right="1080" w:bottom="144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3B41E" w14:textId="77777777" w:rsidR="002E7D4F" w:rsidRPr="002C69F2" w:rsidRDefault="002E7D4F">
      <w:pPr>
        <w:pStyle w:val="Footer"/>
      </w:pPr>
    </w:p>
  </w:endnote>
  <w:endnote w:type="continuationSeparator" w:id="0">
    <w:p w14:paraId="2EE3E138" w14:textId="77777777" w:rsidR="002E7D4F" w:rsidRPr="002C69F2" w:rsidRDefault="002E7D4F">
      <w:pPr>
        <w:pStyle w:val="Footer"/>
      </w:pPr>
    </w:p>
  </w:endnote>
  <w:endnote w:id="1">
    <w:p w14:paraId="69C0A4AE" w14:textId="4247B67B" w:rsidR="00EE3019" w:rsidRPr="002C69F2" w:rsidRDefault="00EE3019" w:rsidP="00560888">
      <w:pPr>
        <w:pStyle w:val="FootnoteText"/>
      </w:pPr>
      <w:r w:rsidRPr="002C69F2">
        <w:rPr>
          <w:vertAlign w:val="superscript"/>
        </w:rPr>
        <w:t xml:space="preserve">1 </w:t>
      </w:r>
      <w:hyperlink r:id="rId1" w:history="1">
        <w:r w:rsidRPr="00197966">
          <w:rPr>
            <w:rStyle w:val="Hyperlink"/>
          </w:rPr>
          <w:t xml:space="preserve">Nařízení Komise (ES) </w:t>
        </w:r>
        <w:r w:rsidR="00E36C75" w:rsidRPr="00197966">
          <w:rPr>
            <w:rStyle w:val="Hyperlink"/>
          </w:rPr>
          <w:t>č. </w:t>
        </w:r>
        <w:r w:rsidRPr="00197966">
          <w:rPr>
            <w:rStyle w:val="Hyperlink"/>
          </w:rPr>
          <w:t xml:space="preserve">796/2004 </w:t>
        </w:r>
      </w:hyperlink>
      <w:r w:rsidRPr="002C69F2">
        <w:t>ze dne 21.</w:t>
      </w:r>
      <w:r w:rsidR="00E36C75" w:rsidRPr="002C69F2">
        <w:t> dubna</w:t>
      </w:r>
      <w:r w:rsidRPr="002C69F2">
        <w:t xml:space="preserve"> 2004, kterým se stanoví prováděcí pravidla pro podmíněnost, modulaci</w:t>
      </w:r>
      <w:r w:rsidR="00E36C75" w:rsidRPr="002C69F2">
        <w:t xml:space="preserve"> a </w:t>
      </w:r>
      <w:r w:rsidRPr="002C69F2">
        <w:t>integrovaný administrativní</w:t>
      </w:r>
      <w:r w:rsidR="00E36C75" w:rsidRPr="002C69F2">
        <w:t xml:space="preserve"> a </w:t>
      </w:r>
      <w:r w:rsidRPr="002C69F2">
        <w:t xml:space="preserve">kontrolní systém podle nařízení Rady (ES) </w:t>
      </w:r>
      <w:r w:rsidR="00E36C75" w:rsidRPr="002C69F2">
        <w:t>č. </w:t>
      </w:r>
      <w:r w:rsidRPr="002C69F2">
        <w:t>1782/2003, kterým se stanoví společná pravidla pro režimy přímých podpor</w:t>
      </w:r>
      <w:r w:rsidR="00E36C75" w:rsidRPr="002C69F2">
        <w:t xml:space="preserve"> v </w:t>
      </w:r>
      <w:r w:rsidRPr="002C69F2">
        <w:t>rámci společné zemědělské politiky</w:t>
      </w:r>
      <w:r w:rsidR="00E36C75" w:rsidRPr="002C69F2">
        <w:t xml:space="preserve"> a </w:t>
      </w:r>
      <w:r w:rsidRPr="002C69F2">
        <w:t>kterým se zavádějí některé režimy podpor pro zemědělce.</w:t>
      </w:r>
    </w:p>
  </w:endnote>
  <w:endnote w:id="2">
    <w:p w14:paraId="7C71B0C9" w14:textId="72C592AB" w:rsidR="00EE3019" w:rsidRPr="002C69F2" w:rsidRDefault="00EE3019" w:rsidP="00560888">
      <w:pPr>
        <w:pStyle w:val="FootnoteText"/>
      </w:pPr>
      <w:r w:rsidRPr="002C69F2">
        <w:rPr>
          <w:vertAlign w:val="superscript"/>
        </w:rPr>
        <w:t xml:space="preserve">2 </w:t>
      </w:r>
      <w:hyperlink r:id="rId2" w:history="1">
        <w:r w:rsidRPr="00197966">
          <w:rPr>
            <w:rStyle w:val="Hyperlink"/>
          </w:rPr>
          <w:t>Směrnice Rady 77/187/EHS</w:t>
        </w:r>
      </w:hyperlink>
      <w:r w:rsidRPr="002C69F2">
        <w:t xml:space="preserve"> ze dne 14.</w:t>
      </w:r>
      <w:r w:rsidR="00E36C75" w:rsidRPr="002C69F2">
        <w:t> února</w:t>
      </w:r>
      <w:r w:rsidRPr="002C69F2">
        <w:t xml:space="preserve"> 1977</w:t>
      </w:r>
      <w:r w:rsidR="00E36C75" w:rsidRPr="002C69F2">
        <w:t xml:space="preserve"> o </w:t>
      </w:r>
      <w:r w:rsidRPr="002C69F2">
        <w:t>sbližování právních předpisů členských států týkajících se zachování práv zaměstnanců</w:t>
      </w:r>
      <w:r w:rsidR="00E36C75" w:rsidRPr="002C69F2">
        <w:t xml:space="preserve"> v </w:t>
      </w:r>
      <w:r w:rsidRPr="002C69F2">
        <w:t>případě převodů podniků, závodů nebo částí podniků nebo závodů.</w:t>
      </w:r>
    </w:p>
  </w:endnote>
  <w:endnote w:id="3">
    <w:p w14:paraId="6B27DE6F" w14:textId="68D8786D" w:rsidR="00EE3019" w:rsidRPr="002C69F2" w:rsidRDefault="00EE3019" w:rsidP="00560888">
      <w:pPr>
        <w:pStyle w:val="FootnoteText"/>
      </w:pPr>
      <w:r w:rsidRPr="002C69F2">
        <w:rPr>
          <w:vertAlign w:val="superscript"/>
        </w:rPr>
        <w:t xml:space="preserve">3 </w:t>
      </w:r>
      <w:r w:rsidRPr="002C69F2">
        <w:t>Rozsudek Soudního dvora ze dne 9.</w:t>
      </w:r>
      <w:r w:rsidR="00E36C75" w:rsidRPr="002C69F2">
        <w:t> září</w:t>
      </w:r>
      <w:r w:rsidRPr="002C69F2">
        <w:t xml:space="preserve"> 2015 ve věci </w:t>
      </w:r>
      <w:proofErr w:type="spellStart"/>
      <w:r w:rsidRPr="002C69F2">
        <w:t>Ferreira</w:t>
      </w:r>
      <w:proofErr w:type="spellEnd"/>
      <w:r w:rsidRPr="002C69F2">
        <w:t xml:space="preserve"> da Silva e </w:t>
      </w:r>
      <w:proofErr w:type="spellStart"/>
      <w:r w:rsidRPr="002C69F2">
        <w:t>Brito</w:t>
      </w:r>
      <w:proofErr w:type="spellEnd"/>
      <w:r w:rsidR="00E36C75" w:rsidRPr="002C69F2">
        <w:t xml:space="preserve"> a </w:t>
      </w:r>
      <w:r w:rsidRPr="002C69F2">
        <w:t>další,</w:t>
      </w:r>
      <w:hyperlink r:id="rId3" w:history="1">
        <w:r w:rsidRPr="00197966">
          <w:rPr>
            <w:rStyle w:val="Hyperlink"/>
          </w:rPr>
          <w:t xml:space="preserve"> </w:t>
        </w:r>
        <w:r w:rsidR="00E36C75" w:rsidRPr="00197966">
          <w:rPr>
            <w:rStyle w:val="Hyperlink"/>
          </w:rPr>
          <w:t>C</w:t>
        </w:r>
        <w:r w:rsidR="00E36C75" w:rsidRPr="00197966">
          <w:rPr>
            <w:rStyle w:val="Hyperlink"/>
          </w:rPr>
          <w:noBreakHyphen/>
          <w:t>160</w:t>
        </w:r>
        <w:r w:rsidRPr="00197966">
          <w:rPr>
            <w:rStyle w:val="Hyperlink"/>
          </w:rPr>
          <w:t>/14</w:t>
        </w:r>
      </w:hyperlink>
      <w:r w:rsidRPr="002C69F2">
        <w:t xml:space="preserve"> (viz také tisková zpráva </w:t>
      </w:r>
      <w:r w:rsidR="00E36C75" w:rsidRPr="002C69F2">
        <w:t>č. </w:t>
      </w:r>
      <w:hyperlink r:id="rId4" w:history="1">
        <w:r w:rsidRPr="00197966">
          <w:rPr>
            <w:rStyle w:val="Hyperlink"/>
          </w:rPr>
          <w:t>96/15</w:t>
        </w:r>
      </w:hyperlink>
      <w:r w:rsidRPr="002C69F2">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22"/>
      <w:id w:val="22"/>
    </w:sdtPr>
    <w:sdtEndPr/>
    <w:sdtContent>
      <w:p w14:paraId="1D6717DC" w14:textId="022E1B5B" w:rsidR="00EE3019" w:rsidRPr="002C69F2" w:rsidRDefault="00EE3019">
        <w:pPr>
          <w:pStyle w:val="011Footer"/>
        </w:pPr>
        <w:r w:rsidRPr="002C69F2">
          <w:t>Ředitelství komunikace</w:t>
        </w:r>
        <w:r w:rsidRPr="002C69F2">
          <w:br/>
          <w:t>Oddělení tisk</w:t>
        </w:r>
        <w:r w:rsidR="00E36C75" w:rsidRPr="002C69F2">
          <w:t xml:space="preserve"> a </w:t>
        </w:r>
        <w:r w:rsidRPr="002C69F2">
          <w:t>informace</w:t>
        </w:r>
        <w:r w:rsidRPr="002C69F2">
          <w:ptab w:relativeTo="margin" w:alignment="right" w:leader="none"/>
        </w:r>
        <w:r w:rsidRPr="002C69F2">
          <w:t>curia.europa.eu</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23"/>
      <w:id w:val="23"/>
    </w:sdtPr>
    <w:sdtEndPr/>
    <w:sdtContent>
      <w:p w14:paraId="541B2179" w14:textId="41ACE98A" w:rsidR="00EE3019" w:rsidRPr="002C69F2" w:rsidRDefault="00EE3019">
        <w:pPr>
          <w:pStyle w:val="011Footer"/>
        </w:pPr>
        <w:r w:rsidRPr="002C69F2">
          <w:t>Ředitelství komunikace</w:t>
        </w:r>
        <w:r w:rsidRPr="002C69F2">
          <w:br/>
          <w:t>Oddělení tisk</w:t>
        </w:r>
        <w:r w:rsidR="00E36C75" w:rsidRPr="002C69F2">
          <w:t xml:space="preserve"> a </w:t>
        </w:r>
        <w:r w:rsidRPr="002C69F2">
          <w:t>informace</w:t>
        </w:r>
        <w:r w:rsidRPr="002C69F2">
          <w:ptab w:relativeTo="margin" w:alignment="right" w:leader="none"/>
        </w:r>
        <w:r w:rsidRPr="002C69F2">
          <w:t>curia.europa.eu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16974" w14:textId="77777777" w:rsidR="002E7D4F" w:rsidRPr="002C69F2" w:rsidRDefault="002E7D4F">
      <w:pPr>
        <w:pStyle w:val="Footer"/>
      </w:pPr>
      <w:r w:rsidRPr="002C69F2">
        <w:separator/>
      </w:r>
    </w:p>
  </w:footnote>
  <w:footnote w:type="continuationSeparator" w:id="0">
    <w:p w14:paraId="33DA7A4F" w14:textId="77777777" w:rsidR="002E7D4F" w:rsidRPr="002C69F2" w:rsidRDefault="002E7D4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24"/>
      <w:id w:val="24"/>
    </w:sdtPr>
    <w:sdtEndPr/>
    <w:sdtContent>
      <w:p w14:paraId="1D54A4FB" w14:textId="059A62D3" w:rsidR="00EE3019" w:rsidRPr="002C69F2" w:rsidRDefault="00EE3019">
        <w:pPr>
          <w:pStyle w:val="Footer"/>
        </w:pPr>
        <w:r w:rsidRPr="002C69F2">
          <w:rPr>
            <w:noProof/>
            <w:lang w:val="fr-BE" w:eastAsia="fr-BE" w:bidi="ar-SA"/>
          </w:rPr>
          <mc:AlternateContent>
            <mc:Choice Requires="wps">
              <w:drawing>
                <wp:anchor distT="0" distB="0" distL="114300" distR="114300" simplePos="0" relativeHeight="251658240" behindDoc="1" locked="0" layoutInCell="1" allowOverlap="1" wp14:anchorId="04ED0C99" wp14:editId="4CAF8BFE">
                  <wp:simplePos x="0" y="0"/>
                  <wp:positionH relativeFrom="column">
                    <wp:posOffset>-688975</wp:posOffset>
                  </wp:positionH>
                  <wp:positionV relativeFrom="paragraph">
                    <wp:posOffset>-449580</wp:posOffset>
                  </wp:positionV>
                  <wp:extent cx="7560310" cy="107950"/>
                  <wp:effectExtent l="0" t="0" r="0" b="0"/>
                  <wp:wrapNone/>
                  <wp:docPr id="188747879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560310" cy="107950"/>
                          </a:xfrm>
                          <a:prstGeom prst="rect">
                            <a:avLst/>
                          </a:prstGeom>
                          <a:solidFill>
                            <a:srgbClr val="851A1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C4895" id="Rectangle 1" o:spid="_x0000_s1026" style="position:absolute;margin-left:-54.25pt;margin-top:-35.4pt;width:595.3pt;height: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" fillcolor="#851a15" stroked="f"/>
              </w:pict>
            </mc:Fallback>
          </mc:AlternateContent>
        </w:r>
        <w:r w:rsidRPr="002C69F2">
          <w:rPr>
            <w:noProof/>
            <w:lang w:val="fr-BE" w:eastAsia="fr-BE" w:bidi="ar-SA"/>
          </w:rPr>
          <w:drawing>
            <wp:inline distT="0" distB="0" distL="0" distR="0" wp14:anchorId="0F5BE2CA" wp14:editId="53180E23">
              <wp:extent cx="1753536" cy="467995"/>
              <wp:effectExtent l="0" t="0" r="0" b="0"/>
              <wp:docPr id="2" name="CP_logo_FR_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P_logo_FR_regular.png"/>
                      <pic:cNvPicPr/>
                    </pic:nvPicPr>
                    <pic:blipFill>
                      <a:blip r:embed="rId1" cstate="print"/>
                      <a:stretch>
                        <a:fillRect/>
                      </a:stretch>
                    </pic:blipFill>
                    <pic:spPr>
                      <a:xfrm>
                        <a:off x="0" y="0"/>
                        <a:ext cx="1753536" cy="467995"/>
                      </a:xfrm>
                      <a:prstGeom prst="rect">
                        <a:avLst/>
                      </a:prstGeom>
                    </pic:spPr>
                  </pic:pic>
                </a:graphicData>
              </a:graphic>
            </wp:inline>
          </w:drawing>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
  <w:rsids>
    <w:rsidRoot w:val="00DF0B0F"/>
    <w:rsid w:val="001864A2"/>
    <w:rsid w:val="00197966"/>
    <w:rsid w:val="001A3A42"/>
    <w:rsid w:val="001E7FC5"/>
    <w:rsid w:val="00280FBD"/>
    <w:rsid w:val="002C69F2"/>
    <w:rsid w:val="002E7D4F"/>
    <w:rsid w:val="00324C8A"/>
    <w:rsid w:val="00351CB5"/>
    <w:rsid w:val="003D2358"/>
    <w:rsid w:val="00475165"/>
    <w:rsid w:val="004962CA"/>
    <w:rsid w:val="004E6D80"/>
    <w:rsid w:val="00507E49"/>
    <w:rsid w:val="00660729"/>
    <w:rsid w:val="00A464AE"/>
    <w:rsid w:val="00AE2757"/>
    <w:rsid w:val="00DC68A2"/>
    <w:rsid w:val="00DF0B0F"/>
    <w:rsid w:val="00E36B91"/>
    <w:rsid w:val="00E36C75"/>
    <w:rsid w:val="00EE3019"/>
    <w:rsid w:val="00FC5B21"/>
  </w:rsids>
  <m:mathPr>
    <m:mathFont m:val="Cambria Math"/>
    <m:brkBin m:val="before"/>
    <m:brkBinSub m:val="--"/>
    <m:smallFrac m:val="0"/>
    <m:dispDef/>
    <m:lMargin m:val="0"/>
    <m:rMargin m:val="0"/>
    <m:defJc m:val="centerGroup"/>
    <m:wrapIndent m:val="1440"/>
    <m:intLim m:val="subSup"/>
    <m:naryLim m:val="undOvr"/>
  </m:mathPr>
  <w:themeFontLang w:val="cs-CZ" w:eastAsia="cs-CZ" w:bidi="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5D22A"/>
  <w15:docId w15:val="{3F18ABC2-7C9D-42BE-82D6-59F7191F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pPr>
      <w:widowControl w:val="0"/>
      <w:spacing w:after="0" w:line="240" w:lineRule="auto"/>
    </w:pPr>
    <w:rPr>
      <w:rFonts w:ascii="Open Sans" w:hAnsi="Open Sans" w:cs="Open Sans"/>
      <w:sz w:val="18"/>
      <w:szCs w:val="17"/>
    </w:rPr>
  </w:style>
  <w:style w:type="character" w:styleId="FootnoteReference">
    <w:name w:val="footnote reference"/>
    <w:basedOn w:val="DefaultParagraphFont"/>
    <w:uiPriority w:val="99"/>
    <w:rPr>
      <w:b w:val="0"/>
      <w:bCs w:val="0"/>
      <w:i w:val="0"/>
      <w:iCs w:val="0"/>
      <w:color w:val="auto"/>
      <w:vertAlign w:val="superscript"/>
    </w:rPr>
  </w:style>
  <w:style w:type="character" w:customStyle="1" w:styleId="GendocOriginalFootnoteReference">
    <w:name w:val="Gendoc_Original_Footnote Reference"/>
    <w:basedOn w:val="DefaultParagraphFont"/>
    <w:uiPriority w:val="99"/>
    <w:semiHidden/>
    <w:rPr>
      <w:b w:val="0"/>
      <w:bCs w:val="0"/>
      <w:i w:val="0"/>
      <w:iCs w:val="0"/>
      <w:color w:val="auto"/>
      <w:vertAlign w:val="superscript"/>
    </w:rPr>
  </w:style>
  <w:style w:type="character" w:styleId="Hyperlink">
    <w:name w:val="Hyperlink"/>
    <w:basedOn w:val="DefaultParagraphFont"/>
    <w:uiPriority w:val="99"/>
    <w:rPr>
      <w:b w:val="0"/>
      <w:bCs w:val="0"/>
      <w:i w:val="0"/>
      <w:iCs w:val="0"/>
      <w:color w:val="205E9E"/>
      <w:u w:val="single" w:color="205E9E"/>
    </w:rPr>
  </w:style>
  <w:style w:type="character" w:customStyle="1" w:styleId="GendocOriginalHyperlink">
    <w:name w:val="Gendoc_Original_Hyperlink"/>
    <w:basedOn w:val="DefaultParagraphFont"/>
    <w:uiPriority w:val="99"/>
    <w:semiHidden/>
    <w:rPr>
      <w:b w:val="0"/>
      <w:bCs w:val="0"/>
      <w:i w:val="0"/>
      <w:iCs w:val="0"/>
      <w:color w:val="205E9E"/>
      <w:u w:val="single" w:color="205E9E"/>
    </w:rPr>
  </w:style>
  <w:style w:type="character" w:customStyle="1" w:styleId="WingdingsChar">
    <w:name w:val="WingdingsChar"/>
    <w:basedOn w:val="DefaultParagraphFont"/>
    <w:uiPriority w:val="99"/>
    <w:rPr>
      <w:rFonts w:ascii="Wingdings" w:hAnsi="Wingdings" w:cs="Wingdings"/>
      <w:b w:val="0"/>
      <w:bCs w:val="0"/>
      <w:i w:val="0"/>
      <w:iCs w:val="0"/>
      <w:color w:val="auto"/>
      <w:sz w:val="18"/>
      <w:szCs w:val="17"/>
    </w:rPr>
  </w:style>
  <w:style w:type="character" w:customStyle="1" w:styleId="GendocOriginalWingdingsChar">
    <w:name w:val="Gendoc_Original_WingdingsChar"/>
    <w:basedOn w:val="DefaultParagraphFont"/>
    <w:uiPriority w:val="99"/>
    <w:semiHidden/>
    <w:rPr>
      <w:rFonts w:ascii="Wingdings" w:hAnsi="Wingdings" w:cs="Wingdings"/>
      <w:b w:val="0"/>
      <w:bCs w:val="0"/>
      <w:i w:val="0"/>
      <w:iCs w:val="0"/>
      <w:color w:val="auto"/>
      <w:sz w:val="18"/>
      <w:szCs w:val="17"/>
    </w:rPr>
  </w:style>
  <w:style w:type="character" w:customStyle="1" w:styleId="02BoldCharacterStyle">
    <w:name w:val="02_BoldCharacterStyle"/>
    <w:basedOn w:val="DefaultParagraphFont"/>
    <w:uiPriority w:val="99"/>
    <w:rPr>
      <w:b/>
      <w:bCs/>
    </w:rPr>
  </w:style>
  <w:style w:type="character" w:customStyle="1" w:styleId="GendocOriginal02BoldCharacterStyle">
    <w:name w:val="Gendoc_Original_02_BoldCharacterStyle"/>
    <w:basedOn w:val="DefaultParagraphFont"/>
    <w:uiPriority w:val="99"/>
    <w:semiHidden/>
    <w:rPr>
      <w:b/>
      <w:bCs/>
    </w:rPr>
  </w:style>
  <w:style w:type="paragraph" w:styleId="Footer">
    <w:name w:val="footer"/>
    <w:basedOn w:val="Normal"/>
    <w:uiPriority w:val="99"/>
    <w:pPr>
      <w:tabs>
        <w:tab w:val="center" w:pos="4320"/>
        <w:tab w:val="right" w:pos="8640"/>
      </w:tabs>
      <w:spacing w:after="0" w:line="240" w:lineRule="auto"/>
    </w:pPr>
    <w:rPr>
      <w:sz w:val="25"/>
      <w:szCs w:val="24"/>
    </w:rPr>
  </w:style>
  <w:style w:type="paragraph" w:customStyle="1" w:styleId="GendocOriginalFooter">
    <w:name w:val="Gendoc_Original_Footer"/>
    <w:basedOn w:val="Normal"/>
    <w:next w:val="Footer"/>
    <w:uiPriority w:val="99"/>
    <w:semiHidden/>
    <w:pPr>
      <w:tabs>
        <w:tab w:val="center" w:pos="4320"/>
        <w:tab w:val="right" w:pos="8640"/>
      </w:tabs>
      <w:spacing w:after="0" w:line="240" w:lineRule="auto"/>
    </w:pPr>
    <w:rPr>
      <w:sz w:val="25"/>
      <w:szCs w:val="24"/>
    </w:rPr>
  </w:style>
  <w:style w:type="paragraph" w:customStyle="1" w:styleId="000Intitule">
    <w:name w:val="000_Intitule"/>
    <w:basedOn w:val="Normal"/>
    <w:uiPriority w:val="99"/>
    <w:pPr>
      <w:widowControl w:val="0"/>
      <w:spacing w:after="60" w:line="240" w:lineRule="auto"/>
    </w:pPr>
    <w:rPr>
      <w:rFonts w:ascii="Open Sans" w:hAnsi="Open Sans" w:cs="Open Sans"/>
      <w:sz w:val="24"/>
      <w:szCs w:val="23"/>
    </w:rPr>
  </w:style>
  <w:style w:type="paragraph" w:customStyle="1" w:styleId="GendocOriginal000Intitule">
    <w:name w:val="Gendoc_Original_000_Intitule"/>
    <w:basedOn w:val="Normal"/>
    <w:uiPriority w:val="99"/>
    <w:semiHidden/>
    <w:pPr>
      <w:widowControl w:val="0"/>
      <w:spacing w:after="60" w:line="240" w:lineRule="auto"/>
    </w:pPr>
    <w:rPr>
      <w:rFonts w:ascii="Open Sans" w:hAnsi="Open Sans" w:cs="Open Sans"/>
      <w:sz w:val="24"/>
      <w:szCs w:val="23"/>
    </w:rPr>
  </w:style>
  <w:style w:type="paragraph" w:customStyle="1" w:styleId="001Auteur">
    <w:name w:val="001_Auteur"/>
    <w:basedOn w:val="Normal"/>
    <w:uiPriority w:val="99"/>
    <w:pPr>
      <w:widowControl w:val="0"/>
      <w:spacing w:before="60" w:after="0" w:line="310" w:lineRule="exact"/>
      <w:contextualSpacing/>
    </w:pPr>
    <w:rPr>
      <w:rFonts w:ascii="Open Sans" w:hAnsi="Open Sans" w:cs="Open Sans"/>
      <w:caps/>
      <w:color w:val="CDA878"/>
      <w:sz w:val="24"/>
      <w:szCs w:val="23"/>
    </w:rPr>
  </w:style>
  <w:style w:type="paragraph" w:customStyle="1" w:styleId="GendocOriginal001Auteur">
    <w:name w:val="Gendoc_Original_001_Auteur"/>
    <w:basedOn w:val="Normal"/>
    <w:uiPriority w:val="99"/>
    <w:semiHidden/>
    <w:pPr>
      <w:widowControl w:val="0"/>
      <w:spacing w:before="60" w:after="0" w:line="310" w:lineRule="exact"/>
      <w:contextualSpacing/>
    </w:pPr>
    <w:rPr>
      <w:rFonts w:ascii="Open Sans" w:hAnsi="Open Sans" w:cs="Open Sans"/>
      <w:caps/>
      <w:color w:val="CDA878"/>
      <w:sz w:val="24"/>
      <w:szCs w:val="23"/>
    </w:rPr>
  </w:style>
  <w:style w:type="paragraph" w:customStyle="1" w:styleId="002ID">
    <w:name w:val="002_ID"/>
    <w:basedOn w:val="Normal"/>
    <w:uiPriority w:val="99"/>
    <w:pPr>
      <w:widowControl w:val="0"/>
      <w:spacing w:after="60" w:line="240" w:lineRule="auto"/>
    </w:pPr>
    <w:rPr>
      <w:rFonts w:ascii="Open Sans" w:hAnsi="Open Sans" w:cs="Open Sans"/>
      <w:b/>
      <w:bCs/>
      <w:color w:val="D4A167"/>
      <w:sz w:val="28"/>
      <w:szCs w:val="27"/>
    </w:rPr>
  </w:style>
  <w:style w:type="paragraph" w:customStyle="1" w:styleId="GendocOriginal002ID">
    <w:name w:val="Gendoc_Original_002_ID"/>
    <w:basedOn w:val="Normal"/>
    <w:uiPriority w:val="99"/>
    <w:semiHidden/>
    <w:pPr>
      <w:widowControl w:val="0"/>
      <w:spacing w:after="60" w:line="240" w:lineRule="auto"/>
    </w:pPr>
    <w:rPr>
      <w:rFonts w:ascii="Open Sans" w:hAnsi="Open Sans" w:cs="Open Sans"/>
      <w:b/>
      <w:bCs/>
      <w:color w:val="D4A167"/>
      <w:sz w:val="28"/>
      <w:szCs w:val="27"/>
    </w:rPr>
  </w:style>
  <w:style w:type="paragraph" w:customStyle="1" w:styleId="003Date">
    <w:name w:val="003_Date"/>
    <w:basedOn w:val="Normal"/>
    <w:uiPriority w:val="99"/>
    <w:pPr>
      <w:widowControl w:val="0"/>
      <w:spacing w:before="54" w:after="60" w:line="240" w:lineRule="auto"/>
    </w:pPr>
    <w:rPr>
      <w:rFonts w:ascii="Open Sans" w:hAnsi="Open Sans" w:cs="Open Sans"/>
      <w:b/>
      <w:bCs/>
      <w:color w:val="FFFFFF"/>
      <w:sz w:val="19"/>
      <w:szCs w:val="18"/>
    </w:rPr>
  </w:style>
  <w:style w:type="paragraph" w:customStyle="1" w:styleId="GendocOriginal003Date">
    <w:name w:val="Gendoc_Original_003_Date"/>
    <w:basedOn w:val="Normal"/>
    <w:uiPriority w:val="99"/>
    <w:semiHidden/>
    <w:pPr>
      <w:widowControl w:val="0"/>
      <w:spacing w:before="54" w:after="60" w:line="240" w:lineRule="auto"/>
    </w:pPr>
    <w:rPr>
      <w:rFonts w:ascii="Open Sans" w:hAnsi="Open Sans" w:cs="Open Sans"/>
      <w:b/>
      <w:bCs/>
      <w:color w:val="FFFFFF"/>
      <w:sz w:val="19"/>
      <w:szCs w:val="18"/>
    </w:rPr>
  </w:style>
  <w:style w:type="paragraph" w:customStyle="1" w:styleId="004Objet">
    <w:name w:val="004_Objet"/>
    <w:basedOn w:val="Normal"/>
    <w:uiPriority w:val="99"/>
    <w:pPr>
      <w:widowControl w:val="0"/>
      <w:spacing w:before="480" w:after="240" w:line="288" w:lineRule="auto"/>
    </w:pPr>
    <w:rPr>
      <w:rFonts w:ascii="Open Sans" w:hAnsi="Open Sans" w:cs="Open Sans"/>
      <w:szCs w:val="19"/>
    </w:rPr>
  </w:style>
  <w:style w:type="paragraph" w:customStyle="1" w:styleId="GendocOriginal004Objet">
    <w:name w:val="Gendoc_Original_004_Objet"/>
    <w:basedOn w:val="Normal"/>
    <w:uiPriority w:val="99"/>
    <w:semiHidden/>
    <w:pPr>
      <w:widowControl w:val="0"/>
      <w:spacing w:before="480" w:after="240" w:line="288" w:lineRule="auto"/>
    </w:pPr>
    <w:rPr>
      <w:rFonts w:ascii="Open Sans" w:hAnsi="Open Sans" w:cs="Open Sans"/>
      <w:szCs w:val="19"/>
    </w:rPr>
  </w:style>
  <w:style w:type="paragraph" w:customStyle="1" w:styleId="005Titre">
    <w:name w:val="005_Titre"/>
    <w:basedOn w:val="Normal"/>
    <w:uiPriority w:val="99"/>
    <w:pPr>
      <w:widowControl w:val="0"/>
      <w:spacing w:after="240" w:line="264" w:lineRule="auto"/>
    </w:pPr>
    <w:rPr>
      <w:rFonts w:ascii="Open Sans" w:hAnsi="Open Sans" w:cs="Open Sans"/>
      <w:b/>
      <w:bCs/>
      <w:color w:val="231F20"/>
      <w:sz w:val="26"/>
      <w:szCs w:val="25"/>
    </w:rPr>
  </w:style>
  <w:style w:type="paragraph" w:customStyle="1" w:styleId="GendocOriginal005Titre">
    <w:name w:val="Gendoc_Original_005_Titre"/>
    <w:basedOn w:val="Normal"/>
    <w:uiPriority w:val="99"/>
    <w:semiHidden/>
    <w:pPr>
      <w:widowControl w:val="0"/>
      <w:spacing w:after="240" w:line="264" w:lineRule="auto"/>
    </w:pPr>
    <w:rPr>
      <w:rFonts w:ascii="Open Sans" w:hAnsi="Open Sans" w:cs="Open Sans"/>
      <w:b/>
      <w:bCs/>
      <w:color w:val="231F20"/>
      <w:sz w:val="26"/>
      <w:szCs w:val="25"/>
    </w:rPr>
  </w:style>
  <w:style w:type="paragraph" w:customStyle="1" w:styleId="006SousTitre">
    <w:name w:val="006_SousTitre"/>
    <w:basedOn w:val="Normal"/>
    <w:uiPriority w:val="99"/>
    <w:pPr>
      <w:widowControl w:val="0"/>
      <w:spacing w:after="240" w:line="264" w:lineRule="auto"/>
    </w:pPr>
    <w:rPr>
      <w:rFonts w:ascii="Open Sans" w:hAnsi="Open Sans" w:cs="Open Sans"/>
      <w:i/>
      <w:iCs/>
      <w:color w:val="231F20"/>
      <w:szCs w:val="19"/>
    </w:rPr>
  </w:style>
  <w:style w:type="paragraph" w:customStyle="1" w:styleId="GendocOriginal006SousTitre">
    <w:name w:val="Gendoc_Original_006_SousTitre"/>
    <w:basedOn w:val="Normal"/>
    <w:uiPriority w:val="99"/>
    <w:semiHidden/>
    <w:pPr>
      <w:widowControl w:val="0"/>
      <w:spacing w:after="240" w:line="264" w:lineRule="auto"/>
    </w:pPr>
    <w:rPr>
      <w:rFonts w:ascii="Open Sans" w:hAnsi="Open Sans" w:cs="Open Sans"/>
      <w:i/>
      <w:iCs/>
      <w:color w:val="231F20"/>
      <w:szCs w:val="19"/>
    </w:rPr>
  </w:style>
  <w:style w:type="paragraph" w:customStyle="1" w:styleId="007NomDesParties">
    <w:name w:val="007_NomDesParties"/>
    <w:basedOn w:val="Normal"/>
    <w:uiPriority w:val="99"/>
    <w:pPr>
      <w:widowControl w:val="0"/>
      <w:spacing w:after="0" w:line="240" w:lineRule="auto"/>
    </w:pPr>
    <w:rPr>
      <w:rFonts w:ascii="Open Sans" w:hAnsi="Open Sans" w:cs="Open Sans"/>
      <w:szCs w:val="19"/>
    </w:rPr>
  </w:style>
  <w:style w:type="paragraph" w:customStyle="1" w:styleId="GendocOriginal007NomDesParties">
    <w:name w:val="Gendoc_Original_007_NomDesParties"/>
    <w:basedOn w:val="Normal"/>
    <w:uiPriority w:val="99"/>
    <w:semiHidden/>
    <w:pPr>
      <w:widowControl w:val="0"/>
      <w:spacing w:after="0" w:line="240" w:lineRule="auto"/>
    </w:pPr>
    <w:rPr>
      <w:rFonts w:ascii="Open Sans" w:hAnsi="Open Sans" w:cs="Open Sans"/>
      <w:szCs w:val="19"/>
    </w:rPr>
  </w:style>
  <w:style w:type="paragraph" w:customStyle="1" w:styleId="008CorpsDuTexte">
    <w:name w:val="008_CorpsDuTexte"/>
    <w:basedOn w:val="Normal"/>
    <w:uiPriority w:val="99"/>
    <w:pPr>
      <w:widowControl w:val="0"/>
      <w:spacing w:before="172" w:after="0" w:line="274" w:lineRule="auto"/>
    </w:pPr>
    <w:rPr>
      <w:rFonts w:ascii="Open Sans" w:hAnsi="Open Sans" w:cs="Open Sans"/>
      <w:color w:val="231F20"/>
      <w:sz w:val="18"/>
      <w:szCs w:val="17"/>
    </w:rPr>
  </w:style>
  <w:style w:type="paragraph" w:customStyle="1" w:styleId="GendocOriginal008CorpsDuTexte">
    <w:name w:val="Gendoc_Original_008_CorpsDuTexte"/>
    <w:basedOn w:val="Normal"/>
    <w:uiPriority w:val="99"/>
    <w:semiHidden/>
    <w:pPr>
      <w:widowControl w:val="0"/>
      <w:spacing w:before="172" w:after="0" w:line="274" w:lineRule="auto"/>
    </w:pPr>
    <w:rPr>
      <w:rFonts w:ascii="Open Sans" w:hAnsi="Open Sans" w:cs="Open Sans"/>
      <w:color w:val="231F20"/>
      <w:sz w:val="18"/>
      <w:szCs w:val="17"/>
    </w:rPr>
  </w:style>
  <w:style w:type="paragraph" w:customStyle="1" w:styleId="009Boite">
    <w:name w:val="009_Boite"/>
    <w:basedOn w:val="Normal"/>
    <w:uiPriority w:val="99"/>
    <w:pPr>
      <w:widowControl w:val="0"/>
      <w:spacing w:before="100" w:after="0" w:line="240" w:lineRule="auto"/>
    </w:pPr>
    <w:rPr>
      <w:rFonts w:ascii="Open Sans" w:hAnsi="Open Sans" w:cs="Open Sans"/>
      <w:color w:val="231F20"/>
      <w:sz w:val="18"/>
      <w:szCs w:val="17"/>
    </w:rPr>
  </w:style>
  <w:style w:type="paragraph" w:customStyle="1" w:styleId="GendocOriginal009Boite">
    <w:name w:val="Gendoc_Original_009_Boite"/>
    <w:basedOn w:val="Normal"/>
    <w:uiPriority w:val="99"/>
    <w:semiHidden/>
    <w:pPr>
      <w:widowControl w:val="0"/>
      <w:spacing w:before="100" w:after="0" w:line="240" w:lineRule="auto"/>
    </w:pPr>
    <w:rPr>
      <w:rFonts w:ascii="Open Sans" w:hAnsi="Open Sans" w:cs="Open Sans"/>
      <w:color w:val="231F20"/>
      <w:sz w:val="18"/>
      <w:szCs w:val="17"/>
    </w:rPr>
  </w:style>
  <w:style w:type="paragraph" w:customStyle="1" w:styleId="110Rappel">
    <w:name w:val="110_Rappel"/>
    <w:basedOn w:val="Normal"/>
    <w:uiPriority w:val="99"/>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customStyle="1" w:styleId="GendocOriginal110Rappel">
    <w:name w:val="Gendoc_Original_110_Rappel"/>
    <w:basedOn w:val="Normal"/>
    <w:uiPriority w:val="99"/>
    <w:semiHidden/>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styleId="Header">
    <w:name w:val="header"/>
    <w:basedOn w:val="Normal"/>
    <w:uiPriority w:val="99"/>
    <w:pPr>
      <w:widowControl w:val="0"/>
      <w:spacing w:after="120" w:line="240" w:lineRule="auto"/>
    </w:pPr>
    <w:rPr>
      <w:rFonts w:ascii="Open Sans" w:hAnsi="Open Sans" w:cs="Open Sans"/>
      <w:sz w:val="22"/>
      <w:szCs w:val="21"/>
    </w:rPr>
  </w:style>
  <w:style w:type="paragraph" w:customStyle="1" w:styleId="GendocOriginalHeader">
    <w:name w:val="Gendoc_Original_Header"/>
    <w:basedOn w:val="Normal"/>
    <w:uiPriority w:val="99"/>
    <w:semiHidden/>
    <w:pPr>
      <w:widowControl w:val="0"/>
      <w:spacing w:after="120" w:line="240" w:lineRule="auto"/>
    </w:pPr>
    <w:rPr>
      <w:rFonts w:ascii="Open Sans" w:hAnsi="Open Sans" w:cs="Open Sans"/>
      <w:sz w:val="22"/>
      <w:szCs w:val="21"/>
    </w:rPr>
  </w:style>
  <w:style w:type="paragraph" w:customStyle="1" w:styleId="002IDBig">
    <w:name w:val="002_ID_Big"/>
    <w:basedOn w:val="Normal"/>
    <w:uiPriority w:val="99"/>
    <w:pPr>
      <w:widowControl w:val="0"/>
      <w:spacing w:after="0" w:line="240" w:lineRule="auto"/>
    </w:pPr>
    <w:rPr>
      <w:rFonts w:ascii="Open Sans" w:hAnsi="Open Sans" w:cs="Open Sans"/>
      <w:color w:val="D4A167"/>
      <w:sz w:val="48"/>
      <w:szCs w:val="47"/>
    </w:rPr>
  </w:style>
  <w:style w:type="paragraph" w:customStyle="1" w:styleId="GendocOriginal002IDBig">
    <w:name w:val="Gendoc_Original_002_ID_Big"/>
    <w:basedOn w:val="Normal"/>
    <w:uiPriority w:val="99"/>
    <w:semiHidden/>
    <w:pPr>
      <w:widowControl w:val="0"/>
      <w:spacing w:after="0" w:line="240" w:lineRule="auto"/>
    </w:pPr>
    <w:rPr>
      <w:rFonts w:ascii="Open Sans" w:hAnsi="Open Sans" w:cs="Open Sans"/>
      <w:color w:val="D4A167"/>
      <w:sz w:val="48"/>
      <w:szCs w:val="47"/>
    </w:rPr>
  </w:style>
  <w:style w:type="paragraph" w:customStyle="1" w:styleId="GendocOriginalBodytext">
    <w:name w:val="Gendoc_Original_Body text"/>
    <w:basedOn w:val="Normal"/>
    <w:uiPriority w:val="99"/>
    <w:semiHidden/>
    <w:pPr>
      <w:widowControl w:val="0"/>
      <w:spacing w:after="0" w:line="240" w:lineRule="auto"/>
    </w:pPr>
    <w:rPr>
      <w:rFonts w:ascii="Open Sans" w:hAnsi="Open Sans" w:cs="Open Sans"/>
      <w:sz w:val="18"/>
      <w:szCs w:val="17"/>
    </w:rPr>
  </w:style>
  <w:style w:type="paragraph" w:customStyle="1" w:styleId="012StayConnected">
    <w:name w:val="012_StayConnected"/>
    <w:basedOn w:val="Normal"/>
    <w:uiPriority w:val="99"/>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GendocOriginal012StayConnected">
    <w:name w:val="Gendoc_Original_012_StayConnected"/>
    <w:basedOn w:val="Normal"/>
    <w:uiPriority w:val="99"/>
    <w:semiHidden/>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50FootnoteNomFictif">
    <w:name w:val="50_Footnote_Nom_Fictif"/>
    <w:basedOn w:val="FootnoteText"/>
    <w:uiPriority w:val="99"/>
    <w:pPr>
      <w:spacing w:after="300" w:line="240" w:lineRule="auto"/>
      <w:ind w:left="142" w:hanging="142"/>
      <w:jc w:val="both"/>
    </w:pPr>
    <w:rPr>
      <w:color w:val="auto"/>
      <w:sz w:val="15"/>
      <w:szCs w:val="14"/>
    </w:rPr>
  </w:style>
  <w:style w:type="paragraph" w:customStyle="1" w:styleId="GendocOriginal50FootnoteNomFictif">
    <w:name w:val="Gendoc_Original_50_Footnote_Nom_Fictif"/>
    <w:basedOn w:val="FootnoteText"/>
    <w:next w:val="50FootnoteNomFictif"/>
    <w:uiPriority w:val="99"/>
    <w:semiHidden/>
    <w:pPr>
      <w:spacing w:after="300" w:line="240" w:lineRule="auto"/>
      <w:ind w:left="142" w:hanging="142"/>
      <w:jc w:val="both"/>
    </w:pPr>
    <w:rPr>
      <w:color w:val="auto"/>
      <w:sz w:val="15"/>
      <w:szCs w:val="14"/>
    </w:rPr>
  </w:style>
  <w:style w:type="paragraph" w:styleId="FootnoteText">
    <w:name w:val="footnote text"/>
    <w:basedOn w:val="Normal"/>
    <w:uiPriority w:val="99"/>
    <w:pPr>
      <w:widowControl w:val="0"/>
      <w:spacing w:after="60" w:line="288" w:lineRule="auto"/>
    </w:pPr>
    <w:rPr>
      <w:rFonts w:ascii="Open Sans" w:hAnsi="Open Sans" w:cs="Open Sans"/>
      <w:color w:val="231F20"/>
      <w:sz w:val="14"/>
      <w:szCs w:val="13"/>
    </w:rPr>
  </w:style>
  <w:style w:type="paragraph" w:customStyle="1" w:styleId="GendocOriginalFootnoteText">
    <w:name w:val="Gendoc_Original_Footnote Text"/>
    <w:basedOn w:val="Normal"/>
    <w:uiPriority w:val="99"/>
    <w:semiHidden/>
    <w:pPr>
      <w:widowControl w:val="0"/>
      <w:spacing w:after="60" w:line="288" w:lineRule="auto"/>
    </w:pPr>
    <w:rPr>
      <w:rFonts w:ascii="Open Sans" w:hAnsi="Open Sans" w:cs="Open Sans"/>
      <w:color w:val="231F20"/>
      <w:sz w:val="14"/>
      <w:szCs w:val="13"/>
    </w:rPr>
  </w:style>
  <w:style w:type="paragraph" w:customStyle="1" w:styleId="011Footer">
    <w:name w:val="011_Footer"/>
    <w:basedOn w:val="Normal"/>
    <w:uiPriority w:val="99"/>
    <w:pPr>
      <w:widowControl w:val="0"/>
      <w:spacing w:after="0" w:line="221" w:lineRule="auto"/>
    </w:pPr>
    <w:rPr>
      <w:rFonts w:ascii="Open Sans" w:hAnsi="Open Sans" w:cs="Open Sans"/>
      <w:color w:val="414042"/>
      <w:sz w:val="18"/>
      <w:szCs w:val="17"/>
    </w:rPr>
  </w:style>
  <w:style w:type="paragraph" w:customStyle="1" w:styleId="GendocOriginal011Footer">
    <w:name w:val="Gendoc_Original_011_Footer"/>
    <w:basedOn w:val="Normal"/>
    <w:uiPriority w:val="99"/>
    <w:semiHidden/>
    <w:pPr>
      <w:widowControl w:val="0"/>
      <w:spacing w:after="0" w:line="221" w:lineRule="auto"/>
    </w:pPr>
    <w:rPr>
      <w:rFonts w:ascii="Open Sans" w:hAnsi="Open Sans" w:cs="Open Sans"/>
      <w:color w:val="414042"/>
      <w:sz w:val="18"/>
      <w:szCs w:val="17"/>
    </w:rPr>
  </w:style>
  <w:style w:type="paragraph" w:customStyle="1" w:styleId="102ID">
    <w:name w:val="102_ID"/>
    <w:basedOn w:val="Normal"/>
    <w:uiPriority w:val="99"/>
    <w:pPr>
      <w:widowControl w:val="0"/>
      <w:spacing w:after="0" w:line="240" w:lineRule="auto"/>
    </w:pPr>
    <w:rPr>
      <w:rFonts w:ascii="Open Sans" w:hAnsi="Open Sans" w:cs="Open Sans"/>
      <w:color w:val="851A15"/>
      <w:sz w:val="28"/>
      <w:szCs w:val="27"/>
    </w:rPr>
  </w:style>
  <w:style w:type="paragraph" w:customStyle="1" w:styleId="GendocOriginal102ID">
    <w:name w:val="Gendoc_Original_102_ID"/>
    <w:basedOn w:val="Normal"/>
    <w:uiPriority w:val="99"/>
    <w:semiHidden/>
    <w:pPr>
      <w:widowControl w:val="0"/>
      <w:spacing w:after="0" w:line="240" w:lineRule="auto"/>
    </w:pPr>
    <w:rPr>
      <w:rFonts w:ascii="Open Sans" w:hAnsi="Open Sans" w:cs="Open Sans"/>
      <w:color w:val="851A15"/>
      <w:sz w:val="28"/>
      <w:szCs w:val="27"/>
    </w:rPr>
  </w:style>
  <w:style w:type="paragraph" w:customStyle="1" w:styleId="102IDC">
    <w:name w:val="102_ID_C"/>
    <w:basedOn w:val="Normal"/>
    <w:uiPriority w:val="99"/>
    <w:pPr>
      <w:widowControl w:val="0"/>
      <w:spacing w:after="0" w:line="240" w:lineRule="auto"/>
    </w:pPr>
    <w:rPr>
      <w:rFonts w:ascii="Open Sans" w:hAnsi="Open Sans" w:cs="Open Sans"/>
      <w:color w:val="851A15"/>
      <w:sz w:val="28"/>
      <w:szCs w:val="27"/>
    </w:rPr>
  </w:style>
  <w:style w:type="paragraph" w:customStyle="1" w:styleId="GendocOriginal102IDC">
    <w:name w:val="Gendoc_Original_102_ID_C"/>
    <w:basedOn w:val="Normal"/>
    <w:uiPriority w:val="99"/>
    <w:semiHidden/>
    <w:pPr>
      <w:widowControl w:val="0"/>
      <w:spacing w:after="0" w:line="240" w:lineRule="auto"/>
    </w:pPr>
    <w:rPr>
      <w:rFonts w:ascii="Open Sans" w:hAnsi="Open Sans" w:cs="Open Sans"/>
      <w:color w:val="851A15"/>
      <w:sz w:val="28"/>
      <w:szCs w:val="27"/>
    </w:rPr>
  </w:style>
  <w:style w:type="paragraph" w:customStyle="1" w:styleId="103DateC">
    <w:name w:val="103_Date_C"/>
    <w:basedOn w:val="Normal"/>
    <w:uiPriority w:val="99"/>
    <w:pPr>
      <w:widowControl w:val="0"/>
      <w:spacing w:before="120" w:after="100" w:line="240" w:lineRule="auto"/>
      <w:ind w:left="45"/>
    </w:pPr>
    <w:rPr>
      <w:rFonts w:ascii="Open Sans" w:hAnsi="Open Sans" w:cs="Open Sans"/>
      <w:color w:val="851A15"/>
      <w:sz w:val="18"/>
      <w:szCs w:val="17"/>
    </w:rPr>
  </w:style>
  <w:style w:type="paragraph" w:customStyle="1" w:styleId="GendocOriginal103DateC">
    <w:name w:val="Gendoc_Original_103_Date_C"/>
    <w:basedOn w:val="Normal"/>
    <w:uiPriority w:val="99"/>
    <w:semiHidden/>
    <w:pPr>
      <w:widowControl w:val="0"/>
      <w:spacing w:before="120" w:after="100" w:line="240" w:lineRule="auto"/>
      <w:ind w:left="45"/>
    </w:pPr>
    <w:rPr>
      <w:rFonts w:ascii="Open Sans" w:hAnsi="Open Sans" w:cs="Open Sans"/>
      <w:color w:val="851A15"/>
      <w:sz w:val="18"/>
      <w:szCs w:val="17"/>
    </w:rPr>
  </w:style>
  <w:style w:type="paragraph" w:customStyle="1" w:styleId="103DateTitreC">
    <w:name w:val="103_Date_Titre_C"/>
    <w:basedOn w:val="Normal"/>
    <w:uiPriority w:val="99"/>
    <w:pPr>
      <w:widowControl w:val="0"/>
      <w:spacing w:before="54" w:after="0" w:line="240" w:lineRule="auto"/>
      <w:ind w:left="45"/>
    </w:pPr>
    <w:rPr>
      <w:rFonts w:ascii="Open Sans" w:hAnsi="Open Sans" w:cs="Open Sans"/>
      <w:color w:val="851A15"/>
      <w:sz w:val="22"/>
      <w:szCs w:val="21"/>
    </w:rPr>
  </w:style>
  <w:style w:type="paragraph" w:customStyle="1" w:styleId="GendocOriginal103DateTitreC">
    <w:name w:val="Gendoc_Original_103_Date_Titre_C"/>
    <w:basedOn w:val="Normal"/>
    <w:uiPriority w:val="99"/>
    <w:semiHidden/>
    <w:pPr>
      <w:widowControl w:val="0"/>
      <w:spacing w:before="54" w:after="0" w:line="240" w:lineRule="auto"/>
      <w:ind w:left="45"/>
    </w:pPr>
    <w:rPr>
      <w:rFonts w:ascii="Open Sans" w:hAnsi="Open Sans" w:cs="Open Sans"/>
      <w:color w:val="851A15"/>
      <w:sz w:val="22"/>
      <w:szCs w:val="21"/>
    </w:rPr>
  </w:style>
  <w:style w:type="paragraph" w:customStyle="1" w:styleId="102IDT">
    <w:name w:val="102_ID_T"/>
    <w:basedOn w:val="Normal"/>
    <w:uiPriority w:val="99"/>
    <w:pPr>
      <w:widowControl w:val="0"/>
      <w:spacing w:after="0" w:line="240" w:lineRule="auto"/>
    </w:pPr>
    <w:rPr>
      <w:rFonts w:ascii="Open Sans" w:hAnsi="Open Sans" w:cs="Open Sans"/>
      <w:color w:val="3E516E"/>
      <w:sz w:val="28"/>
      <w:szCs w:val="27"/>
    </w:rPr>
  </w:style>
  <w:style w:type="paragraph" w:customStyle="1" w:styleId="GendocOriginal102IDT">
    <w:name w:val="Gendoc_Original_102_ID_T"/>
    <w:basedOn w:val="Normal"/>
    <w:uiPriority w:val="99"/>
    <w:semiHidden/>
    <w:pPr>
      <w:widowControl w:val="0"/>
      <w:spacing w:after="0" w:line="240" w:lineRule="auto"/>
    </w:pPr>
    <w:rPr>
      <w:rFonts w:ascii="Open Sans" w:hAnsi="Open Sans" w:cs="Open Sans"/>
      <w:color w:val="3E516E"/>
      <w:sz w:val="28"/>
      <w:szCs w:val="27"/>
    </w:rPr>
  </w:style>
  <w:style w:type="paragraph" w:customStyle="1" w:styleId="103DateT">
    <w:name w:val="103_Date_T"/>
    <w:basedOn w:val="Normal"/>
    <w:uiPriority w:val="99"/>
    <w:pPr>
      <w:widowControl w:val="0"/>
      <w:spacing w:before="120" w:after="100" w:line="240" w:lineRule="auto"/>
      <w:ind w:left="45"/>
    </w:pPr>
    <w:rPr>
      <w:rFonts w:ascii="Open Sans" w:hAnsi="Open Sans" w:cs="Open Sans"/>
      <w:color w:val="3E516E"/>
      <w:sz w:val="18"/>
      <w:szCs w:val="17"/>
    </w:rPr>
  </w:style>
  <w:style w:type="paragraph" w:customStyle="1" w:styleId="GendocOriginal103DateT">
    <w:name w:val="Gendoc_Original_103_Date_T"/>
    <w:basedOn w:val="Normal"/>
    <w:uiPriority w:val="99"/>
    <w:semiHidden/>
    <w:pPr>
      <w:widowControl w:val="0"/>
      <w:spacing w:before="120" w:after="100" w:line="240" w:lineRule="auto"/>
      <w:ind w:left="45"/>
    </w:pPr>
    <w:rPr>
      <w:rFonts w:ascii="Open Sans" w:hAnsi="Open Sans" w:cs="Open Sans"/>
      <w:color w:val="3E516E"/>
      <w:sz w:val="18"/>
      <w:szCs w:val="17"/>
    </w:rPr>
  </w:style>
  <w:style w:type="paragraph" w:customStyle="1" w:styleId="103DateTitreT">
    <w:name w:val="103_Date_Titre_T"/>
    <w:basedOn w:val="Normal"/>
    <w:uiPriority w:val="99"/>
    <w:pPr>
      <w:widowControl w:val="0"/>
      <w:spacing w:before="54" w:after="0" w:line="240" w:lineRule="auto"/>
      <w:ind w:left="45"/>
    </w:pPr>
    <w:rPr>
      <w:rFonts w:ascii="Open Sans" w:hAnsi="Open Sans" w:cs="Open Sans"/>
      <w:color w:val="3E516E"/>
      <w:sz w:val="22"/>
      <w:szCs w:val="21"/>
    </w:rPr>
  </w:style>
  <w:style w:type="paragraph" w:customStyle="1" w:styleId="GendocOriginal103DateTitreT">
    <w:name w:val="Gendoc_Original_103_Date_Titre_T"/>
    <w:basedOn w:val="Normal"/>
    <w:uiPriority w:val="99"/>
    <w:semiHidden/>
    <w:pPr>
      <w:widowControl w:val="0"/>
      <w:spacing w:before="54" w:after="0" w:line="240" w:lineRule="auto"/>
      <w:ind w:left="45"/>
    </w:pPr>
    <w:rPr>
      <w:rFonts w:ascii="Open Sans" w:hAnsi="Open Sans" w:cs="Open Sans"/>
      <w:color w:val="3E516E"/>
      <w:sz w:val="22"/>
      <w:szCs w:val="21"/>
    </w:rPr>
  </w:style>
  <w:style w:type="paragraph" w:customStyle="1" w:styleId="102IDI">
    <w:name w:val="102_ID_I"/>
    <w:basedOn w:val="Normal"/>
    <w:uiPriority w:val="99"/>
    <w:pPr>
      <w:widowControl w:val="0"/>
      <w:spacing w:after="0" w:line="240" w:lineRule="auto"/>
    </w:pPr>
    <w:rPr>
      <w:rFonts w:ascii="Open Sans" w:hAnsi="Open Sans" w:cs="Open Sans"/>
      <w:color w:val="725922"/>
      <w:sz w:val="28"/>
      <w:szCs w:val="27"/>
    </w:rPr>
  </w:style>
  <w:style w:type="paragraph" w:customStyle="1" w:styleId="GendocOriginal102IDI">
    <w:name w:val="Gendoc_Original_102_ID_I"/>
    <w:basedOn w:val="Normal"/>
    <w:uiPriority w:val="99"/>
    <w:semiHidden/>
    <w:pPr>
      <w:widowControl w:val="0"/>
      <w:spacing w:after="0" w:line="240" w:lineRule="auto"/>
    </w:pPr>
    <w:rPr>
      <w:rFonts w:ascii="Open Sans" w:hAnsi="Open Sans" w:cs="Open Sans"/>
      <w:color w:val="725922"/>
      <w:sz w:val="28"/>
      <w:szCs w:val="27"/>
    </w:rPr>
  </w:style>
  <w:style w:type="paragraph" w:customStyle="1" w:styleId="103DateI">
    <w:name w:val="103_Date_I"/>
    <w:basedOn w:val="Normal"/>
    <w:uiPriority w:val="99"/>
    <w:pPr>
      <w:widowControl w:val="0"/>
      <w:spacing w:before="120" w:after="100" w:line="240" w:lineRule="auto"/>
      <w:ind w:left="45"/>
    </w:pPr>
    <w:rPr>
      <w:rFonts w:ascii="Open Sans" w:hAnsi="Open Sans" w:cs="Open Sans"/>
      <w:color w:val="725922"/>
      <w:sz w:val="18"/>
      <w:szCs w:val="17"/>
    </w:rPr>
  </w:style>
  <w:style w:type="paragraph" w:customStyle="1" w:styleId="GendocOriginal103DateI">
    <w:name w:val="Gendoc_Original_103_Date_I"/>
    <w:basedOn w:val="Normal"/>
    <w:uiPriority w:val="99"/>
    <w:semiHidden/>
    <w:pPr>
      <w:widowControl w:val="0"/>
      <w:spacing w:before="120" w:after="100" w:line="240" w:lineRule="auto"/>
      <w:ind w:left="45"/>
    </w:pPr>
    <w:rPr>
      <w:rFonts w:ascii="Open Sans" w:hAnsi="Open Sans" w:cs="Open Sans"/>
      <w:color w:val="725922"/>
      <w:sz w:val="18"/>
      <w:szCs w:val="17"/>
    </w:rPr>
  </w:style>
  <w:style w:type="paragraph" w:customStyle="1" w:styleId="103DateTitreI">
    <w:name w:val="103_Date_Titre_I"/>
    <w:basedOn w:val="Normal"/>
    <w:uiPriority w:val="99"/>
    <w:pPr>
      <w:widowControl w:val="0"/>
      <w:spacing w:before="54" w:after="0" w:line="240" w:lineRule="auto"/>
      <w:ind w:left="45"/>
    </w:pPr>
    <w:rPr>
      <w:rFonts w:ascii="Open Sans" w:hAnsi="Open Sans" w:cs="Open Sans"/>
      <w:color w:val="725922"/>
      <w:sz w:val="22"/>
      <w:szCs w:val="21"/>
    </w:rPr>
  </w:style>
  <w:style w:type="paragraph" w:customStyle="1" w:styleId="GendocOriginal103DateTitreI">
    <w:name w:val="Gendoc_Original_103_Date_Titre_I"/>
    <w:basedOn w:val="Normal"/>
    <w:uiPriority w:val="99"/>
    <w:semiHidden/>
    <w:pPr>
      <w:widowControl w:val="0"/>
      <w:spacing w:before="54" w:after="0" w:line="240" w:lineRule="auto"/>
      <w:ind w:left="45"/>
    </w:pPr>
    <w:rPr>
      <w:rFonts w:ascii="Open Sans" w:hAnsi="Open Sans" w:cs="Open Sans"/>
      <w:color w:val="725922"/>
      <w:sz w:val="22"/>
      <w:szCs w:val="21"/>
    </w:rPr>
  </w:style>
  <w:style w:type="table" w:customStyle="1" w:styleId="TableNoBorder">
    <w:name w:val="TableNoBorder"/>
    <w:basedOn w:val="TableNormal"/>
    <w:uiPriority w:val="99"/>
    <w:tblPr>
      <w:tblCellSpacing w:w="0" w:type="auto"/>
      <w:tblBorders>
        <w:top w:val="none" w:sz="2" w:space="0" w:color="auto"/>
        <w:left w:val="none" w:sz="2" w:space="0" w:color="auto"/>
        <w:bottom w:val="none" w:sz="2" w:space="0" w:color="auto"/>
        <w:right w:val="none" w:sz="2" w:space="0" w:color="auto"/>
        <w:insideH w:val="none" w:sz="2" w:space="0" w:color="auto"/>
        <w:insideV w:val="none" w:sz="2" w:space="0" w:color="auto"/>
      </w:tblBorders>
    </w:tblPr>
    <w:trPr>
      <w:tblCellSpacing w:w="0" w:type="auto"/>
    </w:trPr>
  </w:style>
  <w:style w:type="table" w:customStyle="1" w:styleId="GendocOriginalTableNoBorder">
    <w:name w:val="Gendoc_Original_TableNoBorder"/>
    <w:basedOn w:val="TableNormal"/>
    <w:uiPriority w:val="99"/>
    <w:semiHidden/>
    <w:tblPr>
      <w:tblCellSpacing w:w="0" w:type="auto"/>
      <w:tblBorders>
        <w:top w:val="none" w:sz="2" w:space="0" w:color="auto"/>
        <w:left w:val="none" w:sz="2" w:space="0" w:color="auto"/>
        <w:bottom w:val="none" w:sz="2" w:space="0" w:color="auto"/>
        <w:right w:val="none" w:sz="2" w:space="0" w:color="auto"/>
        <w:insideH w:val="none" w:sz="2" w:space="0" w:color="auto"/>
        <w:insideV w:val="none" w:sz="2" w:space="0" w:color="auto"/>
      </w:tblBorders>
    </w:tblPr>
    <w:trPr>
      <w:tblCellSpacing w:w="0" w:type="auto"/>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s://curia.europa.eu/juris/documents.jsf?num=C-163/24" TargetMode="External"/><Relationship Id="rId26" Type="http://schemas.openxmlformats.org/officeDocument/2006/relationships/hyperlink" Target="https://bsky.app/profile/eucourtofjustice.bsky.social"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udiovisual.ec.europa.eu/en/ebs/grid?ebs=yes&amp;ebsplus" TargetMode="External"/><Relationship Id="rId34" Type="http://schemas.openxmlformats.org/officeDocument/2006/relationships/hyperlink" Target="https://twitter.com/CourUEPresse" TargetMode="External"/><Relationship Id="rId42"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endnotes" Target="endnotes.xml"/><Relationship Id="rId25" Type="http://schemas.openxmlformats.org/officeDocument/2006/relationships/image" Target="media/image2.bin"/><Relationship Id="rId33" Type="http://schemas.openxmlformats.org/officeDocument/2006/relationships/image" Target="media/image6.bin"/><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yperlink" Target="https://curia.europa.eu/site/jcms/d2_5159/fr/curia-web-tv" TargetMode="External"/><Relationship Id="rId29" Type="http://schemas.openxmlformats.org/officeDocument/2006/relationships/image" Target="media/image4.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www.linkedin.com/company/european-court-of-justice/" TargetMode="External"/><Relationship Id="rId32" Type="http://schemas.openxmlformats.org/officeDocument/2006/relationships/hyperlink" Target="https://curia.social-network.europa.eu/@Curia_fr/" TargetMode="External"/><Relationship Id="rId37" Type="http://schemas.openxmlformats.org/officeDocument/2006/relationships/image" Target="media/image8.bin"/><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image" Target="media/image1.bin"/><Relationship Id="rId28" Type="http://schemas.openxmlformats.org/officeDocument/2006/relationships/hyperlink" Target="https://www.instagram.com/eucourtofjustice/" TargetMode="External"/><Relationship Id="rId36" Type="http://schemas.openxmlformats.org/officeDocument/2006/relationships/hyperlink" Target="https://whatsapp.com/channel/0029Vb5JeMEKbYMR9yMMGP0e" TargetMode="External"/><Relationship Id="rId10" Type="http://schemas.openxmlformats.org/officeDocument/2006/relationships/customXml" Target="../customXml/item10.xml"/><Relationship Id="rId19" Type="http://schemas.openxmlformats.org/officeDocument/2006/relationships/hyperlink" Target="https://curia.europa.eu/juris/documents.jsf?num=C-293/24" TargetMode="External"/><Relationship Id="rId31" Type="http://schemas.openxmlformats.org/officeDocument/2006/relationships/image" Target="media/image5.bin"/><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yperlink" Target="https://www.youtube.com/channel/UCTfyrAlsJRZF1nGLLgnDiMA" TargetMode="External"/><Relationship Id="rId27" Type="http://schemas.openxmlformats.org/officeDocument/2006/relationships/image" Target="media/image3.bin"/><Relationship Id="rId30" Type="http://schemas.openxmlformats.org/officeDocument/2006/relationships/hyperlink" Target="https://www.threads.net/@eucourtofjustice" TargetMode="External"/><Relationship Id="rId35" Type="http://schemas.openxmlformats.org/officeDocument/2006/relationships/image" Target="media/image7.bin"/></Relationships>
</file>

<file path=word/_rels/endnotes.xml.rels><?xml version="1.0" encoding="UTF-8" standalone="yes"?>
<Relationships xmlns="http://schemas.openxmlformats.org/package/2006/relationships"><Relationship Id="rId3" Type="http://schemas.openxmlformats.org/officeDocument/2006/relationships/hyperlink" Target="https://curia.europa.eu/juris/documents.jsf?num=C-160/14" TargetMode="External"/><Relationship Id="rId2" Type="http://schemas.openxmlformats.org/officeDocument/2006/relationships/hyperlink" Target="http://data.europa.eu/eli/dir/1977/187/oj" TargetMode="External"/><Relationship Id="rId1" Type="http://schemas.openxmlformats.org/officeDocument/2006/relationships/hyperlink" Target="http://data.europa.eu/eli/reg/2004/796/oj" TargetMode="External"/><Relationship Id="rId4" Type="http://schemas.openxmlformats.org/officeDocument/2006/relationships/hyperlink" Target="https://curia.europa.eu/site/upload/docs/application/pdf/2015-09/cp150096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lidationRuleDefinitions>
  <FormattingRuleDefinitions/>
  <BlockStyleRuleDefinitions>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ccTag24</string>
      </BlockIds>
      <AuthorizedParagraphStyleIds>
        <string>Header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ccTag22</string>
      </BlockIds>
      <AuthorizedParagraphStyleIds>
        <string>011_Footer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ccTag23</string>
      </BlockIds>
      <AuthorizedParagraphStyleIds>
        <string>011_Footer</string>
      </AuthorizedParagraphStyleIds>
      <AuthorizedCharacterStyleIds>
        <string>Default Paragraph Font</string>
      </AuthorizedCharacterStyleIds>
      <CanOverrideStyle>false</CanOverrideStyle>
    </BlockStyleRuleDefinition>
  </BlockStyleRuleDefinitions>
</ValidationRuleDefinitions>
</file>

<file path=customXml/item10.xml><?xml version="1.0" encoding="utf-8"?>
<doc_ref lang="fr">
  <dateDepotPiece/>
  <chambre numero="GC"/>
  <suite>1</suite>
  <type_proc>P</type_proc>
  <numproc>1</numproc>
  <ordonnance_motivee/>
  <langues_procedure>
    <affaire id="C###TIRET_INSECABLE###163/24">
      <langue>RO</langue>
    </affaire>
    <affaire id="C###TIRET_INSECABLE###293/24">
      <langue>PT</langue>
    </affaire>
    <agg_langue_procedure>le portugais et le roumain</agg_langue_procedure>
    <agg_langue_procedure_count>2</agg_langue_procedure_count>
  </langues_procedure>
  <langue_originale>fr</langue_originale>
  <infos_rectif>
    <agg_infoRectif_count>0</agg_infoRectif_count>
    <agg_infoRectif_mention>[Texte rectifié par ordonnance du # ]</agg_infoRectif_mention>
  </infos_rectif>
  <dates>
    <date annee="2025" mois="05" jour="20" type="audience_plaidoirie"/>
    <date annee="2026" mois="09" jour="08" type="prononce"/>
    <date annee="2025" mois="10" jour="02" type="conclusions_av_gen"/>
    <date annee="2024" mois="03" jour="01" type="depot"/>
    <date annee="2023" mois="12" jour="21" type="renvoi"/>
    <date annee="2024" mois="07" jour="10" type="fin_proc_ecrite"/>
    <date annee="2024" mois="09" jour="12" type="derniere_traduction"/>
    <date_distribution_rapport>[Date distribution]</date_distribution_rapport>
    <rp_entamer_etude>[Entamer étude]</rp_entamer_etude>
    <rp_envoi_avgen>[Envoi avocat général]</rp_envoi_avgen>
    <rp_accepter_avgen>[Acceptation avocat général]</rp_accepter_avgen>
    <date annee="2025" mois="02" jour="11" type="reunion_generale"/>
    <agg_audience_plaidoirie_date>20.05.2025</agg_audience_plaidoirie_date>
    <agg_prononce_date>08-09-2026</agg_prononce_date>
    <agg_conclusions_av_gen_date>02.10.2025</agg_conclusions_av_gen_date>
    <agg_depot_date>01-03-2024</agg_depot_date>
    <agg_jonction_date/>
    <agg_cloture_date/>
    <agg_fin_proc_ecrite_date>10-07-2024</agg_fin_proc_ecrite_date>
    <agg_derniere_traduction_date>12-09-2024</agg_derniere_traduction_date>
    <agg_renvoi_date>21-12-2023</agg_renvoi_date>
    <agg_radiation_date/>
    <agg_reunion_generale_date>11-02-2025</agg_reunion_generale_date>
    <agg_cloture_fin_mention_date/>
    <agg_ordonnance_date/>
    <agg_ordonnance_motivee/>
    <agg_pieceDossier_date/>
  </dates>
  <rp_annexe>[Annexe]</rp_annexe>
  <JO>JO C###NON_BREAKING_SPACE###3737 du 24.6.2024.</JO>
  <rp_juge_rapporteur>Miroslav Gavalec</rp_juge_rapporteur>
  <depot>
    <act_id>56538</act_id>
    <juridiction>Curtea de Apel Bucureşti</juridiction>
    <pays_code>RO</pays_code>
    <pays>Roumanie</pays>
    <date_renvoi>21/12/2023</date_renvoi>
    <affaire_penale>N</affaire_penale>
  </depot>
  <depotOriginal>
    <typeDepotOriginal/>
    <date annee="2024" mois="03" jour="01" type="dateDepotOriginal"/>
    <agg_depotOriginal_date>01-03-2024</agg_depotOriginal_date>
  </depotOriginal>
  <organisation_procedure>0</organisation_procedure>
  <procedure_orale>0</procedure_orale>
  <reouv>0</reouv>
  <conc_juge_av_gen>0</conc_juge_av_gen>
  <president_juridiction>
    <nom>Lenaerts</nom>
    <prenom>Koen</prenom>
    <initiale>K.</initiale>
    <sexe>M</sexe>
    <civilite>M.</civilite>
    <code>LEA</code>
  </president_juridiction>
  <juges>
    <juge>
      <nom>Lenaerts</nom>
      <prenom>Koen</prenom>
      <initiale>K.</initiale>
      <sexe>M</sexe>
      <civilite>M.</civilite>
      <fonction>président</fonction>
    </juge>
    <juge>
      <nom>von Danwitz</nom>
      <prenom>Thomas</prenom>
      <initiale>T.</initiale>
      <sexe>M</sexe>
      <civilite>M.</civilite>
      <fonction>vice-président</fonction>
    </juge>
    <juge>
      <nom>Biltgen</nom>
      <prenom>François</prenom>
      <initiale>F.</initiale>
      <sexe>M</sexe>
      <civilite>M.</civilite>
      <fonction>président de chambre</fonction>
    </juge>
    <juge>
      <nom>Jürimäe</nom>
      <prenom>Küllike</prenom>
      <initiale>K.</initiale>
      <sexe>F</sexe>
      <civilite>Mme</civilite>
      <fonction>présidente de chambre</fonction>
    </juge>
    <juge>
      <nom>Arastey Sahún</nom>
      <prenom>María Lourdes</prenom>
      <initiale>M. L.</initiale>
      <sexe>F</sexe>
      <civilite>Mme</civilite>
      <fonction>présidente de chambre</fonction>
    </juge>
    <juge>
      <nom>Passer</nom>
      <prenom>Jan</prenom>
      <initiale>J.</initiale>
      <sexe>M</sexe>
      <civilite>M.</civilite>
      <fonction>président de chambre</fonction>
    </juge>
    <juge>
      <nom>Schalin</nom>
      <prenom>Fredrik</prenom>
      <initiale>F.</initiale>
      <sexe>M</sexe>
      <civilite>M.</civilite>
      <fonction>président de chambre</fonction>
    </juge>
    <juge>
      <nom>Rodin</nom>
      <prenom>Siniša</prenom>
      <initiale>S.</initiale>
      <sexe>M</sexe>
      <civilite>M.</civilite>
      <fonction/>
    </juge>
    <juge>
      <nom>Regan</nom>
      <prenom>Eugene</prenom>
      <initiale>E.</initiale>
      <sexe>M</sexe>
      <civilite>M.</civilite>
      <fonction/>
    </juge>
    <juge>
      <nom>Gratsias</nom>
      <prenom>Dimitrios</prenom>
      <initiale>D.</initiale>
      <sexe>M</sexe>
      <civilite>M.</civilite>
      <fonction/>
    </juge>
    <juge>
      <nom>Gavalec</nom>
      <prenom>Miroslav</prenom>
      <initiale>M.</initiale>
      <sexe>M</sexe>
      <civilite>M.</civilite>
      <fonction>(rapporteur)</fonction>
    </juge>
    <juge>
      <nom>Csehi</nom>
      <prenom>Zoltán</prenom>
      <initiale>Z.</initiale>
      <sexe>M</sexe>
      <civilite>M.</civilite>
      <fonction/>
    </juge>
    <juge>
      <nom>Gervasoni</nom>
      <prenom>Stéphane</prenom>
      <initiale>S.</initiale>
      <sexe>M</sexe>
      <civilite>M.</civilite>
      <fonction/>
    </juge>
    <juge>
      <nom>Fenger</nom>
      <prenom>Niels</prenom>
      <initiale>N.</initiale>
      <sexe>M</sexe>
      <civilite>M.</civilite>
      <fonction/>
    </juge>
    <juge>
      <nom>Frendo</nom>
      <prenom>Ramona</prenom>
      <initiale>R.</initiale>
      <sexe>F</sexe>
      <civilite>Mme</civilite>
      <fonction/>
    </juge>
    <composition>M.###NON_BREAKING_SPACE###K.###NON_BREAKING_SPACE###Lenaerts, président, M.###NON_BREAKING_SPACE###T.###NON_BREAKING_SPACE###von Danwitz, vice-président, M.###NON_BREAKING_SPACE###F.###NON_BREAKING_SPACE###Biltgen, Mmes###NON_BREAKING_SPACE###K.###NON_BREAKING_SPACE###Jürimäe, M.###NON_BREAKING_SPACE###L.###NON_BREAKING_SPACE###Arastey Sahún, MM.###NON_BREAKING_SPACE###J.###NON_BREAKING_SPACE###Passer et F.###NON_BREAKING_SPACE###Schalin, présidents de chambre, MM.###NON_BREAKING_SPACE###S.###NON_BREAKING_SPACE###Rodin, E.###NON_BREAKING_SPACE###Regan, D.###NON_BREAKING_SPACE###Gratsias, M.###NON_BREAKING_SPACE###Gavalec (rapporteur), Z.###NON_BREAKING_SPACE###Csehi, S.###NON_BREAKING_SPACE###Gervasoni, N.###NON_BREAKING_SPACE###Fenger et Mme###NON_BREAKING_SPACE###R.###NON_BREAKING_SPACE###Frendo, juges</composition>
    <president>
      <nom>Lenaerts</nom>
      <prenom>Koen</prenom>
      <initiale>K.</initiale>
      <sexe>M</sexe>
      <civilite>M.</civilite>
      <code>LEA</code>
    </president>
    <presidentFF/>
    <agg_juges>M.###NON_BREAKING_SPACE###K.###NON_BREAKING_SPACE###Lenaerts, président, M.###NON_BREAKING_SPACE###T.###NON_BREAKING_SPACE###von Danwitz, vice###TIRET_INSECABLE###président, M.###NON_BREAKING_SPACE###F.###NON_BREAKING_SPACE###Biltgen, Mmes###NON_BREAKING_SPACE###K.###NON_BREAKING_SPACE###Jürimäe, M.###NON_BREAKING_SPACE###L.###NON_BREAKING_SPACE###Arastey Sahún, MM.###NON_BREAKING_SPACE###J.###NON_BREAKING_SPACE###Passer et F.###NON_BREAKING_SPACE###Schalin, présidents de chambre, MM.###NON_BREAKING_SPACE###S.###NON_BREAKING_SPACE###Rodin, E.###NON_BREAKING_SPACE###Regan, D.###NON_BREAKING_SPACE###Gratsias, M.###NON_BREAKING_SPACE###Gavalec (rapporteur), Z.###NON_BREAKING_SPACE###Csehi, S.###NON_BREAKING_SPACE###Gervasoni, N.###NON_BREAKING_SPACE###Fenger et Mme###NON_BREAKING_SPACE###R.###NON_BREAKING_SPACE###Frendo, juges</agg_juges>
    <agg_juges_count>15</agg_juges_count>
    <agg_juges_president>M. F.###NON_BREAKING_SPACE###Biltgen, M. J.###NON_BREAKING_SPACE###Passer et M. F.###NON_BREAKING_SPACE###Schalin, présidents de chambre, </agg_juges_president>
    <agg_juges_president_count>3</agg_juges_president_count>
    <agg_juges_sign>
      <agg_juge_sign>Lenaerts</agg_juge_sign>
      <agg_juge_sign>von###NON_BREAKING_SPACE###Danwitz</agg_juge_sign>
      <agg_juge_sign>Biltgen</agg_juge_sign>
      <agg_juge_sign>Jürimäe</agg_juge_sign>
      <agg_juge_sign>Arastey###NON_BREAKING_SPACE###Sahún</agg_juge_sign>
      <agg_juge_sign>Passer</agg_juge_sign>
      <agg_juge_sign>Schalin</agg_juge_sign>
      <agg_juge_sign>Rodin</agg_juge_sign>
      <agg_juge_sign>Regan</agg_juge_sign>
      <agg_juge_sign>Gratsias</agg_juge_sign>
      <agg_juge_sign>Gavalec</agg_juge_sign>
      <agg_juge_sign>Csehi</agg_juge_sign>
      <agg_juge_sign>Gervasoni</agg_juge_sign>
      <agg_juge_sign>Fenger</agg_juge_sign>
      <agg_juge_sign>Frendo</agg_juge_sign>
    </agg_juges_sign>
    <agg_president_nom>M.###NON_BREAKING_SPACE###K.###NON_BREAKING_SPACE###Lenaerts</agg_president_nom>
    <agg_president_signataire>K.###NON_BREAKING_SPACE###Lenaerts</agg_president_signataire>
    <agg_president_faisant_fonction_nom/>
    <agg_president_faisant_fonction_signataire/>
    <agg_president_faisant_fonction_chambre>grande chambre</agg_president_faisant_fonction_chambre>
    <agg_president2_juridiction_nom>K.###NON_BREAKING_SPACE###Lenaerts</agg_president2_juridiction_nom>
    <agg_president2_meme_chambre_nom/>
    <agg_president2_faisant_fonction_nom/>
    <agg_president2_faisant_fonction_chambre/>
    <agg_composition>
      <agg_composition_juges>M.###NON_BREAKING_SPACE###K.###NON_BREAKING_SPACE###Lenaerts, président, M.###NON_BREAKING_SPACE###T.###NON_BREAKING_SPACE###von Danwitz, vice###TIRET_INSECABLE###président, M.###NON_BREAKING_SPACE###F.###NON_BREAKING_SPACE###Biltgen, Mmes###NON_BREAKING_SPACE###K.###NON_BREAKING_SPACE###Jürimäe, M.###NON_BREAKING_SPACE###L.###NON_BREAKING_SPACE###Arastey Sahún, MM.###NON_BREAKING_SPACE###J.###NON_BREAKING_SPACE###Passer et F.###NON_BREAKING_SPACE###Schalin, présidents de chambre, MM.###NON_BREAKING_SPACE###S.###NON_BREAKING_SPACE###Rodin, E.###NON_BREAKING_SPACE###Regan, D.###NON_BREAKING_SPACE###Gratsias, M.###NON_BREAKING_SPACE###Gavalec (rapporteur), Z.###NON_BREAKING_SPACE###Csehi, S.###NON_BREAKING_SPACE###Gervasoni, N.###NON_BREAKING_SPACE###Fenger et Mme###NON_BREAKING_SPACE###R.###NON_BREAKING_SPACE###Frendo, juges,</agg_composition_juges>
    </agg_composition>
    <agg_juge_rapporteur>M.###NON_BREAKING_SPACE###Gavalec</agg_juge_rapporteur>
    <agg_juge_rapporteur_Civilite>M.###NON_BREAKING_SPACE###M.###NON_BREAKING_SPACE###Gavalec</agg_juge_rapporteur_Civilite>
  </juges>
  <avgen>
    <premier_avg>O</premier_avg>
    <nom>Rantos</nom>
    <prenom>Athanasios</prenom>
    <initiale>A.</initiale>
    <sexe>M</sexe>
    <civilite>M.</civilite>
    <code>RAN</code>
    <agg_avgen_civilite>M.</agg_avgen_civilite>
    <agg_avgen_nom>M.###NON_BREAKING_SPACE###Athanasios Rantos</agg_avgen_nom>
    <agg_avgen_nom_short>M.###NON_BREAKING_SPACE###A.###NON_BREAKING_SPACE###Rantos</agg_avgen_nom_short>
    <agg_avgen_nom_Header>M.###NON_BREAKING_SPACE###Rantos</agg_avgen_nom_Header>
    <agg_avgen_nom_uppercase>M.###NON_BREAKING_SPACE###ATHANASIOS RANTOS</agg_avgen_nom_uppercase>
    <agg_avgen_nom_short_uppercase>M.###NON_BREAKING_SPACE###RANTOS</agg_avgen_nom_short_uppercase>
  </avgen>
  <greffiers>
    <greffier type="present">
      <nom>Şereş</nom>
      <prenom>Ramona</prenom>
      <initiale>R.</initiale>
      <sexe>F</sexe>
      <civilite>Mme</civilite>
      <code>RSS</code>
      <fonction>Administratrice</fonction>
      <code_fonction>ADM_F</code_fonction>
    </greffier>
    <greffier type="signataire">
      <nom>Calot Escobar</nom>
      <prenom>Alfredo</prenom>
      <initiale>A.</initiale>
      <sexe>M</sexe>
      <civilite>M.</civilite>
      <code>ACE</code>
    </greffier>
    <agg_greffier_present>Mme###NON_BREAKING_SPACE###R.###NON_BREAKING_SPACE###Şereş, administratrice</agg_greffier_present>
    <agg_greffier_signataire_present>M.###NON_BREAKING_SPACE###A.###NON_BREAKING_SPACE###Calot Escobar</agg_greffier_signataire_present>
    <agg_greffier_signataire>M.###NON_BREAKING_SPACE###A.###NON_BREAKING_SPACE###Calot Escobar</agg_greffier_signataire>
    <agg_greffier_signataire_present_signature>A.###NON_BREAKING_SPACE###Calot###NON_BREAKING_SPACE###Escobar</agg_greffier_signataire_present_signature>
    <agg_greffier_signataire_signature>A.###NON_BREAKING_SPACE###Calot###NON_BREAKING_SPACE###Escobar</agg_greffier_signataire_signature>
    <agg_greffier_present_initial>R.###NON_BREAKING_SPACE###Şereş</agg_greffier_present_initial>
  </greffiers>
  <observations>
    <observation>
      <parties>
        <partie>
          <partie_id>91938</partie_id>
          <nom_developpe>BX</nom_developpe>
          <libelle_type>Personne physique</libelle_type>
        </partie>
      </parties>
      <representants>
        <representant>
          <nom>BX</nom>
          <prenom>.</prenom>
          <initiale/>
          <sexe>M</sexe>
          <civilite>M.</civilite>
          <pays>Roumanie</pays>
          <ville>Judeţ Argeş</ville>
          <qualite>*</qualite>
          <fonction>REP</fonction>
          <domicile>O</domicile>
          <titre_original>non avocat</titre_original>
          <titre>?</titre>
          <debut_mandat>28/10/2024</debut_mandat>
        </representant>
        <representant>
          <nom>Kis</nom>
          <prenom>Iulia</prenom>
          <initiale>I.</initiale>
          <sexe>F</sexe>
          <civilite>Mme</civilite>
          <pays>Roumanie</pays>
          <ville>Cluj-Napoca</ville>
          <qualite>AV</qualite>
          <fonction>REP</fonction>
          <domicile>O</domicile>
          <titre_original>avocat</titre_original>
          <titre>avocat</titre>
          <debut_mandat>24/03/2025</debut_mandat>
        </representant>
      </representants>
    </observation>
    <observation>
      <parties>
        <partie>
          <partie_id>47137</partie_id>
          <nom_developpe>Roumanie</nom_developpe>
          <libelle_type>Etat membre</libelle_type>
        </partie>
      </parties>
      <representants>
        <representant>
          <nom>Ghiță</nom>
          <prenom>Lavinia</prenom>
          <initiale>L.</initiale>
          <sexe>F</sexe>
          <civilite>Mme</civilite>
          <pays>Roumanie</pays>
          <ville>Bucarest</ville>
          <qualite>*</qualite>
          <fonction>ASS</fonction>
          <domicile>O</domicile>
          <titre_original>Consilier</titre_original>
          <titre>Conseil</titre>
          <debut_mandat>04/07/2024</debut_mandat>
        </representant>
        <representant>
          <nom>Gane</nom>
          <prenom>Emilia</prenom>
          <initiale>E.</initiale>
          <sexe>F</sexe>
          <civilite>Mme</civilite>
          <pays>Roumanie</pays>
          <ville>Bucarest</ville>
          <qualite>*</qualite>
          <fonction>REP</fonction>
          <domicile>O</domicile>
          <titre_original>?</titre_original>
          <titre>?</titre>
          <debut_mandat>04/07/2024</debut_mandat>
        </representant>
        <representant>
          <nom>Liţu</nom>
          <prenom>Laura</prenom>
          <initiale>L.</initiale>
          <sexe>F</sexe>
          <civilite>Mme</civilite>
          <pays>Roumanie</pays>
          <ville>Bucarest</ville>
          <qualite>*</qualite>
          <fonction>ASS</fonction>
          <domicile>O</domicile>
          <titre_original>?</titre_original>
          <titre>?</titre>
          <debut_mandat>04/07/2024</debut_mandat>
        </representant>
      </representants>
    </observation>
    <observation>
      <parties>
        <partie>
          <partie_id>8408</partie_id>
          <nom_developpe>Commission européenne</nom_developpe>
          <libelle_type>Institutions comm.</libelle_type>
        </partie>
      </parties>
      <representants>
        <representant>
          <nom>Becker</nom>
          <prenom>Anne Charlotte</prenom>
          <initiale>A.</initiale>
          <sexe>F</sexe>
          <civilite>Mme</civilite>
          <pays>Belgique</pays>
          <ville>Bruxelles</ville>
          <qualite>MSJ</qualite>
          <fonction>REP</fonction>
          <domicile>O</domicile>
          <titre_original>Membre du service juridique</titre_original>
          <titre/>
          <debut_mandat>03/07/2024</debut_mandat>
        </representant>
        <representant>
          <nom>Radu Bouyon</nom>
          <prenom>Lucia</prenom>
          <initiale>L.</initiale>
          <sexe>F</sexe>
          <civilite>Mme</civilite>
          <pays>Belgique</pays>
          <ville>Bruxelles</ville>
          <qualite>MSJ</qualite>
          <fonction>REP</fonction>
          <domicile>O</domicile>
          <titre_original>Membre du service juridique</titre_original>
          <titre/>
          <debut_mandat>03/07/2024</debut_mandat>
        </representant>
      </representants>
    </observation>
    <agg_observation_parties_count>3</agg_observation_parties_count>
    <partie>
      <agg_observation_partie>BX</agg_observation_partie>
      <agg_observation_partie_representants> par M.###NON_BREAKING_SPACE###BX et Mme###NON_BREAKING_SPACE###I.###NON_BREAKING_SPACE###Kis, avocat,</agg_observation_partie_representants>
      <agg_observation_partie_representants_mandats> par M.###NON_BREAKING_SPACE###BX et Mme###NON_BREAKING_SPACE###I.###NON_BREAKING_SPACE###Kis, avocat,</agg_observation_partie_representants_mandats>
    </partie>
    <partie>
      <agg_observation_partie>le gouvernement roumain</agg_observation_partie>
      <agg_observation_partie_representants> par Mme###NON_BREAKING_SPACE###E.###NON_BREAKING_SPACE###Gane, en qualité d’agent,</agg_observation_partie_representants>
      <agg_observation_partie_representants_mandats> par Mme###NON_BREAKING_SPACE###E.###NON_BREAKING_SPACE###Gane, en qualité d’agent,</agg_observation_partie_representants_mandats>
    </partie>
    <partie>
      <agg_observation_partie>la Commission européenne</agg_observation_partie>
      <agg_observation_partie_representants> par Mmes###NON_BREAKING_SPACE###A.###NON_BREAKING_SPACE###Becker et L.###NON_BREAKING_SPACE###Radu Bouyon, en qualité d’agents,</agg_observation_partie_representants>
      <agg_observation_partie_representants_mandats> par Mmes###NON_BREAKING_SPACE###A.###NON_BREAKING_SPACE###Becker et L.###NON_BREAKING_SPACE###Radu Bouyon, en qualité d’agents,</agg_observation_partie_representants_mandats>
    </partie>
  </observations>
  <affaires>
    <affaire id="pilote" nature="RP">
      <num_aff>C###TIRET_INSECABLE###163/24</num_aff>
      <nom_usuel>Statul Român – Ministerul Finanţelor Publice et Curtea de Apel Bucureşti</nom_usuel>
      <nom_fictif>N</nom_fictif>
      <nature_procedure_nationale code=""/>
      <objet/>
      <mots_cle>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mots_cle>
      <complement_mots_cle>Renvoi préjudiciel###NON_BREAKING_SPACE###– ###MotCle###</complement_mots_cle>
      <fondement>
        <institution>TFUE</institution>
        <article>267</article>
      </fondement>
      <depot>
        <act_id>56538</act_id>
        <juridiction>Curtea de Apel Bucureşti</juridiction>
        <pays_code>RO</pays_code>
        <pays>Roumanie</pays>
        <date_renvoi>21/12/2023</date_renvoi>
        <affaire_penale>N</affaire_penale>
      </depot>
      <depotOriginal>
        <typeDepotOriginal/>
        <date annee="2024" mois="03" jour="01" type="dateDepotOriginal"/>
      </depotOriginal>
      <observation_ecrite>1</observation_ecrite>
      <audience_plaidoirie_prevue>1</audience_plaidoirie_prevue>
      <conclusion_prevue>1</conclusion_prevue>
      <depotRequete>
        <date annee="2024" mois="03" jour="01" type="dateDepotRequete"/>
        <agg_depotRequete_date>01-03-2024</agg_depotRequete_date>
      </depotRequete>
      <procedure_ecrite>
        <piece type="DEL_MEMOBS">
          <libelle>Fix. délai pour mémoire ou observations écrites</libelle>
          <partie id="8408" qualite="">Commission</partie>
          <auteurs>
            <auteur>Ernest Ley</auteur>
          </auteurs>
          <numero_pieceDossier/>
          <depots>
            <date annee="2024" mois="07" jour="03" type="memoire"/>
          </depots>
        </piece>
        <piece type="DEL_MEMOBS">
          <libelle>Fix. délai pour mémoire ou observations écrites</libelle>
          <partie id="47137" qualite="">Roumanie</partie>
          <auteurs>
            <auteur>République hellénique</auteur>
          </auteurs>
          <numero_pieceDossier>9</numero_pieceDossier>
          <depots>
            <date annee="2024" mois="07" jour="04" type="memoire"/>
          </depots>
        </piece>
      </procedure_ecrite>
      <parties>
        <requerantes>
          <requerante>
            <parties>
              <partie>
                <id>91938</id>
                <nom_developpe>BX</nom_developpe>
                <nom_simple>BX</nom_simple>
                <pays>Roumanie</pays>
                <ville/>
                <type>PP</type>
                <tri>63</tri>
              </partie>
            </parties>
            <representants>
              <representant>
                <nom>BX</nom>
                <prenom1>.</prenom1>
                <prenom2/>
                <prenom3/>
                <prenom4/>
                <prenom5/>
                <initiale/>
                <sexe>M</sexe>
                <civilite>M.</civilite>
                <qualite>NA</qualite>
                <fonction>REP</fonction>
                <domicile>O</domicile>
                <titre_original>non avocat</titre_original>
                <titre>?</titre>
                <date_debut_mandat>28/10/2024</date_debut_mandat>
                <date_fin_mandat/>
              </representant>
              <representant>
                <nom>Kis</nom>
                <prenom1>Iulia</prenom1>
                <prenom2/>
                <prenom3/>
                <prenom4/>
                <prenom5/>
                <initiale>I.</initiale>
                <sexe>F</sexe>
                <civilite>Mme</civilite>
                <qualite>AV</qualite>
                <fonction>REP</fonction>
                <domicile>O</domicile>
                <titre_original>avocat</titre_original>
                <titre>avocat</titre>
                <date_debut_mandat>24/03/2025</date_debut_mandat>
                <date_fin_mandat/>
              </representant>
            </representants>
            <qualite_secondaire>au principal</qualite_secondaire>
            <qualite_secondaire_code>PRIN</qualite_secondaire_code>
            <agg_parties>
              <agg_partie>
                <agg_partie_nom>BX</agg_partie_nom>
                <agg_partie_countrycity/>
                <agg_partie_countrycity_annexe/>
                <agg_type>PP</agg_type>
                <agg_tri>63</agg_tri>
              </agg_partie>
            </agg_parties>
            <agg_partie_representants> par M.###NON_BREAKING_SPACE###BX et Mme###NON_BREAKING_SPACE###I.###NON_BREAKING_SPACE###Kis, avocat,</agg_partie_representants>
            <agg_partie_representants_mandat> par M.###NON_BREAKING_SPACE###BX et Mme###NON_BREAKING_SPACE###I.###NON_BREAKING_SPACE###Kis, avocat,</agg_partie_representants_mandat>
            <agg_partie_representants_mandat_count>2</agg_partie_representants_mandat_count>
            <agg_partie_qualite>PRIN</agg_partie_qualite>
          </requerante>
          <agg_annexe>0</agg_annexe>
          <agg_partie_Display_Affaire_Jointe>1</agg_partie_Display_Affaire_Jointe>
        </requerantes>
        <defenderesses>
          <defenderesse>
            <parties>
              <partie>
                <id>75159</id>
                <nom_developpe>Statul Român – Ministerul Finanţelor Publice</nom_developpe>
                <nom_simple>STATUL ROMÂN – MINISTERUL FINANŢELOR PUBLICE</nom_simple>
                <pays>Roumanie</pays>
                <ville/>
                <type>EP</type>
                <tri>63</tri>
              </partie>
            </parties>
            <representants/>
            <qualite_secondaire>au principal</qualite_secondaire>
            <qualite_secondaire_code>PRIN</qualite_secondaire_code>
            <agg_parties>
              <agg_partie>
                <agg_partie_nom>Statul Român – Ministerul Finanţelor Publice</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defenderesse>
            <parties>
              <partie>
                <id>91270</id>
                <nom_developpe>Curtea de Apel Bucureşti</nom_developpe>
                <nom_simple>CURTEA DE APEL BUCUREŞTI</nom_simple>
                <pays>Roumanie</pays>
                <ville/>
                <type>EP</type>
                <tri>63</tri>
              </partie>
            </parties>
            <representants/>
            <qualite_secondaire>au principal</qualite_secondaire>
            <qualite_secondaire_code>PRIN</qualite_secondaire_code>
            <agg_parties>
              <agg_partie>
                <agg_partie_nom>Curtea de Apel Bucureşti</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agg_annexe>0</agg_annexe>
          <agg_partie_Display_Affaire_Jointe>1</agg_partie_Display_Affaire_Jointe>
        </defenderesses>
      </parties>
      <agg_motcle>Renvoi préjudiciel###NON_BREAKING_SPACE###– 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agg_motcle>
      <agg_nom_usuel_uppercase>STATUL ROMÂN – MINISTERUL FINANŢELOR PUBLICE ET CURTEA DE APEL BUCUREŞTI</agg_nom_usuel_uppercase>
      <agg_fondement>267TFUE</agg_fondement>
    </affaire>
    <affaire id="liee" nature="RP">
      <num_aff>C###TIRET_INSECABLE###293/24</num_aff>
      <nom_usuel>Ferreira da Silva e Brito e.a.</nom_usuel>
      <nom_fictif>N</nom_fictif>
      <nature_procedure_nationale code=""/>
      <objet/>
      <mots_cle>Transfert d’entreprises – Maintien des droits des travailleurs – Saisine de la Cour – Obligation de renvoi – Action en responsabilité civile contre l’État portugais</mots_cle>
      <complement_mots_cle>Renvoi préjudiciel###NON_BREAKING_SPACE###– ###MotCle###</complement_mots_cle>
      <fondement>
        <institution>TFUE</institution>
        <article>267</article>
      </fondement>
      <depot>
        <act_id>44580</act_id>
        <juridiction>Supremo Tribunal de Justiça</juridiction>
        <pays_code>P</pays_code>
        <pays>Portugal</pays>
        <date_renvoi>13/03/2024</date_renvoi>
        <affaire_penale>N</affaire_penale>
      </depot>
      <depotOriginal>
        <typeDepotOriginal/>
        <date annee="2024" mois="04" jour="23" type="dateDepotOriginal"/>
      </depotOriginal>
      <observation_ecrite>1</observation_ecrite>
      <audience_plaidoirie_prevue>1</audience_plaidoirie_prevue>
      <conclusion_prevue>1</conclusion_prevue>
      <depotRequete>
        <date annee="2024" mois="04" jour="23" type="dateDepotRequete"/>
        <agg_depotRequete_date>23-04-2024</agg_depotRequete_date>
      </depotRequete>
      <procedure_ecrite>
        <piece type="DEL_MEMOBS">
          <libelle>Fix. délai pour mémoire ou observations écrites</libelle>
          <partie id="64788" qualite="">Ferreira da Silva e Brito e.a.</partie>
          <auteurs>
            <auteur>Oberlandesgericht München</auteur>
          </auteurs>
          <numero_pieceDossier>1</numero_pieceDossier>
          <depots>
            <date annee="2024" mois="08" jour="23" type="memoire"/>
          </depots>
        </piece>
        <piece type="DEL_MEMOBS">
          <libelle>Fix. délai pour mémoire ou observations écrites</libelle>
          <partie id="37260" qualite="">Estado português</partie>
          <auteurs>
            <auteur>Kantongerecht te Nijmegen</auteur>
          </auteurs>
          <numero_pieceDossier>1</numero_pieceDossier>
          <depots>
            <date annee="2024" mois="09" jour="11" type="memoire"/>
          </depots>
        </piece>
        <piece type="DEL_MEMOBS">
          <libelle>Fix. délai pour mémoire ou observations écrites</libelle>
          <partie id="8428" qualite="">Portugal</partie>
          <auteurs>
            <auteur>Emmanuel Stipperger</auteur>
          </auteurs>
          <numero_pieceDossier/>
          <depots>
            <date annee="2024" mois="09" jour="11" type="memoire"/>
          </depots>
        </piece>
        <piece type="DEL_MEMOBS">
          <libelle>Fix. délai pour mémoire ou observations écrites</libelle>
          <partie id="8408" qualite="">Commission</partie>
          <auteurs>
            <auteur>Ernest Ley</auteur>
          </auteurs>
          <numero_pieceDossier/>
          <depots>
            <date annee="2024" mois="09" jour="12" type="memoire"/>
          </depots>
        </piece>
        <piece type="DEL_MEMOBS">
          <libelle>Fix. délai pour mémoire ou observations écrites</libelle>
          <partie id="8408" qualite="">Commission</partie>
          <auteurs>
            <auteur>Ernest Ley</auteur>
          </auteurs>
          <numero_pieceDossier/>
          <depots>
            <date annee="2024" mois="11" jour="20" type="memoire"/>
          </depots>
        </piece>
      </procedure_ecrite>
      <parties>
        <requerantes>
          <requerante>
            <parties>
              <partie>
                <id>64788</id>
                <nom_developpe>João Filipe Ferreira da Silva e Brito e.a.</nom_developpe>
                <nom_simple>FERREIRA DA SILVA E BRITO E.A.</nom_simple>
                <pays>Portugal</pays>
                <ville/>
                <type>PP</type>
                <tri>62</tri>
              </partie>
            </parties>
            <representants>
              <representant>
                <nom>da Cruz Vilaça</nom>
                <prenom1>José Luís</prenom1>
                <prenom2/>
                <prenom3/>
                <prenom4/>
                <prenom5/>
                <initiale>J.L.</initiale>
                <sexe>M</sexe>
                <civilite>Me</civilite>
                <qualite>AV</qualite>
                <fonction>REP</fonction>
                <domicile>O</domicile>
                <titre_original>advogado</titre_original>
                <titre>avocat</titre>
                <date_debut_mandat>23/04/2024</date_debut_mandat>
                <date_fin_mandat/>
              </representant>
              <representant>
                <nom>Santos Silva</nom>
                <prenom1>Teresa</prenom1>
                <prenom2/>
                <prenom3/>
                <prenom4/>
                <prenom5/>
                <initiale>T.</initiale>
                <sexe>F</sexe>
                <civilite>Mme</civilite>
                <qualite>AV</qualite>
                <fonction>REP</fonction>
                <domicile>O</domicile>
                <titre_original>advogada</titre_original>
                <titre>avocate</titre>
                <date_debut_mandat>23/04/2024</date_debut_mandat>
                <date_fin_mandat/>
              </representant>
              <representant>
                <nom>Domingues Alves</nom>
                <prenom1>Inês</prenom1>
                <prenom2/>
                <prenom3/>
                <prenom4/>
                <prenom5/>
                <initiale>I.</initiale>
                <sexe>F</sexe>
                <civilite>Me</civilite>
                <qualite>AV</qualite>
                <fonction>REP</fonction>
                <domicile>O</domicile>
                <titre_original>advogada</titre_original>
                <titre>avocate</titre>
                <date_debut_mandat>21/01/2025</date_debut_mandat>
                <date_fin_mandat/>
              </representant>
              <representant>
                <nom>Martins Pereira</nom>
                <prenom1>Mariana</prenom1>
                <prenom2/>
                <prenom3/>
                <prenom4/>
                <prenom5/>
                <initiale>M.</initiale>
                <sexe>F</sexe>
                <civilite>Me</civilite>
                <qualite>AV</qualite>
                <fonction>REP</fonction>
                <domicile>N</domicile>
                <titre_original>advogada</titre_original>
                <titre>avocate</titre>
                <date_debut_mandat>23/04/2024</date_debut_mandat>
                <date_fin_mandat>21/01/2025</date_fin_mandat>
              </representant>
            </representants>
            <qualite_secondaire>au principal</qualite_secondaire>
            <qualite_secondaire_code>PRIN</qualite_secondaire_code>
            <agg_parties>
              <agg_partie>
                <agg_partie_nom>João Filipe Ferreira da Silva e Brito e.a.</agg_partie_nom>
                <agg_partie_countrycity/>
                <agg_partie_countrycity_annexe/>
                <agg_type>PP</agg_type>
                <agg_tri>62</agg_tri>
              </agg_partie>
            </agg_parties>
            <agg_partie_representants> initialement par Me###NON_BREAKING_SPACE###J.L.###NON_BREAKING_SPACE###da Cruz Vilaça, advogado ainsi que Mme###NON_BREAKING_SPACE###T.###NON_BREAKING_SPACE###Santos Silva, advogada et Me###NON_BREAKING_SPACE###M.###NON_BREAKING_SPACE###Martins Pereira, advogada et enfin par Me###NON_BREAKING_SPACE###da Cruz Vilaça ainsi que Mme###NON_BREAKING_SPACE###Santos Silva et Me###NON_BREAKING_SPACE###I.###NON_BREAKING_SPACE###Domingues Alves, advogada,</agg_partie_representants>
            <agg_partie_representants_mandat> initialement par Me###NON_BREAKING_SPACE###J.L.###NON_BREAKING_SPACE###da Cruz Vilaça, advogado ainsi que Mme###NON_BREAKING_SPACE###T.###NON_BREAKING_SPACE###Santos Silva, advogada et Me###NON_BREAKING_SPACE###M.###NON_BREAKING_SPACE###Martins Pereira, advogada et enfin par Me###NON_BREAKING_SPACE###da Cruz Vilaça ainsi que Mme###NON_BREAKING_SPACE###Santos Silva et Me###NON_BREAKING_SPACE###I.###NON_BREAKING_SPACE###Domingues Alves, advogada,</agg_partie_representants_mandat>
            <agg_partie_representants_mandat_count>3</agg_partie_representants_mandat_count>
            <agg_partie_qualite>PRIN</agg_partie_qualite>
          </requerante>
          <agg_annexe>0</agg_annexe>
        </requerantes>
        <defenderesses>
          <defenderesse>
            <parties>
              <partie>
                <id>37260</id>
                <nom_developpe>Estado português</nom_developpe>
                <nom_simple>ESTADO PORTUGUÊS</nom_simple>
                <pays>Portugal</pays>
                <ville/>
                <type>EP</type>
                <tri>62</tri>
              </partie>
            </parties>
            <representants>
              <representant>
                <nom>Barros da Costa</nom>
                <prenom1>Paula</prenom1>
                <prenom2/>
                <prenom3/>
                <prenom4/>
                <prenom5/>
                <initiale>P.</initiale>
                <sexe>F</sexe>
                <civilite>Mme</civilite>
                <qualite>AG</qualite>
                <fonction>REP</fonction>
                <domicile>O</domicile>
                <titre_original>membro do serviço jurídico</titre_original>
                <titre>membre du service juridique</titre>
                <date_debut_mandat>11/09/2024</date_debut_mandat>
                <date_fin_mandat/>
              </representant>
              <representant>
                <nom>Pimenta</nom>
                <prenom1>Alexandra</prenom1>
                <prenom2/>
                <prenom3/>
                <prenom4/>
                <prenom5/>
                <initiale>A.</initiale>
                <sexe>F</sexe>
                <civilite>Mme</civilite>
                <qualite>AG</qualite>
                <fonction>REP</fonction>
                <domicile>O</domicile>
                <titre_original>jurista</titre_original>
                <titre/>
                <date_debut_mandat>11/09/2024</date_debut_mandat>
                <date_fin_mandat/>
              </representant>
              <representant>
                <nom>Freire</nom>
                <prenom1>Carla</prenom1>
                <prenom2/>
                <prenom3/>
                <prenom4/>
                <prenom5/>
                <initiale>C.</initiale>
                <sexe>F</sexe>
                <civilite>Mme</civilite>
                <qualite>AG</qualite>
                <fonction>REP</fonction>
                <domicile>O</domicile>
                <titre_original>membro do serviço jurídico</titre_original>
                <titre>membre du service juridique</titre>
                <date_debut_mandat>11/09/2024</date_debut_mandat>
                <date_fin_mandat/>
              </representant>
              <representant>
                <nom>Castello-Branco</nom>
                <prenom1>Maria José</prenom1>
                <prenom2/>
                <prenom3/>
                <prenom4/>
                <prenom5/>
                <initiale>M. J.</initiale>
                <sexe>F</sexe>
                <civilite>Mme</civilite>
                <qualite>AG</qualite>
                <fonction>REP</fonction>
                <domicile>O</domicile>
                <titre_original>membro do serviço jurídico</titre_original>
                <titre>membre du service juridique</titre>
                <date_debut_mandat>11/09/2024</date_debut_mandat>
                <date_fin_mandat/>
              </representant>
              <representant>
                <nom>Leite</nom>
                <prenom1>Sandra</prenom1>
                <prenom2/>
                <prenom3/>
                <prenom4/>
                <prenom5/>
                <initiale>S.</initiale>
                <sexe>F</sexe>
                <civilite>Mme</civilite>
                <qualite>AG</qualite>
                <fonction>REP</fonction>
                <domicile>O</domicile>
                <titre_original>?</titre_original>
                <titre>?</titre>
                <date_debut_mandat>11/09/2024</date_debut_mandat>
                <date_fin_mandat/>
              </representant>
            </representants>
            <qualite_secondaire>au principal</qualite_secondaire>
            <qualite_secondaire_code>PRIN</qualite_secondaire_code>
            <agg_parties>
              <agg_partie>
                <agg_partie_nom>Estado português</agg_partie_nom>
                <agg_partie_countrycity/>
                <agg_partie_countrycity_annexe/>
                <agg_type>EP</agg_type>
                <agg_tri>62</agg_tri>
              </agg_partie>
            </agg_parties>
            <agg_partie_representants> par Mmes###NON_BREAKING_SPACE###P.###NON_BREAKING_SPACE###Barros da Costa, A.###NON_BREAKING_SPACE###Pimenta, C.###NON_BREAKING_SPACE###Freire, M. J.###NON_BREAKING_SPACE###Castello-Branco et S.###NON_BREAKING_SPACE###Leite, en qualité d'agents,</agg_partie_representants>
            <agg_partie_representants_mandat> par Mmes###NON_BREAKING_SPACE###P.###NON_BREAKING_SPACE###Barros da Costa, A.###NON_BREAKING_SPACE###Pimenta, C.###NON_BREAKING_SPACE###Freire, M. J.###NON_BREAKING_SPACE###Castello-Branco et S.###NON_BREAKING_SPACE###Leite, en qualité d'agents,</agg_partie_representants_mandat>
            <agg_partie_representants_mandat_count>2</agg_partie_representants_mandat_count>
            <agg_partie_qualite>PRIN</agg_partie_qualite>
          </defenderesse>
          <agg_annexe>0</agg_annexe>
        </defenderesses>
      </parties>
      <agg_motcle>Renvoi préjudiciel###NON_BREAKING_SPACE###– Transfert d’entreprises – Maintien des droits des travailleurs – Saisine de la Cour – Obligation de renvoi – Action en responsabilité civile contre l’État portugais</agg_motcle>
      <agg_fondement>267TFUE</agg_fondement>
    </affaire>
    <agg_group_affaires>
      <agg_display_comma>True</agg_display_comma>
      <agg_group_affaire>
        <agg_numaff_list>C###TIRET_INSECABLE###163/24 et C###TIRET_INSECABLE###293/24</agg_numaff_list>
        <agg_numaff_list_compress>C###TIRET_INSECABLE###163/24 | Statul Român – Ministerul Finanţelor Publice et Curtea de Apel Bucureşti et C###TIRET_INSECABLE###293/24 | Ferreira da Silva e Brito e.a.</agg_numaff_list_compress>
        <agg_numaff_count>2</agg_numaff_count>
        <agg_juridiction>
          <depot>
            <act_id>56538</act_id>
            <juridiction>Curtea de Apel Bucureşti</juridiction>
            <pays_code>RO</pays_code>
            <pays>Roumanie</pays>
            <date_renvoi>21/12/2023</date_renvoi>
            <affaire_penale>N</affaire_penale>
          </depot>
        </agg_juridiction>
        <agg_group_parties>
          <agg_group_partie>
            <agg_numaff_list>C###TIRET_INSECABLE###163/24</agg_numaff_list>
            <agg_REQ_parties>
              <group>
                <agg_partie group="1" position="1" total="1" last_partie="1">
                  <agg_nom>BX</agg_nom>
                  <agg_city_country/>
                  <agg_type>PP</agg_type>
                  <agg_tri>63</agg_tri>
                  <agg_numaff_list>C###TIRET_INSECABLE###163/24</agg_numaff_list>
                  <agg_numaff_count>1</agg_numaff_count>
                  <agg_qualite_code>PRIN</agg_qualite_code>
                  <agg_representants> par M.###NON_BREAKING_SPACE###BX et Mme###NON_BREAKING_SPACE###I.###NON_BREAKING_SPACE###Kis, avocat,</agg_representants>
                  <agg_representants_mandat> par M.###NON_BREAKING_SPACE###BX et Mme###NON_BREAKING_SPACE###I.###NON_BREAKING_SPACE###Kis, avocat,</agg_representants_mandat>
                </agg_partie>
              </group>
            </agg_REQ_parties>
            <agg_DEF_parties>
              <group>
                <agg_partie group="1" position="1" total="1">
                  <agg_nom>Statul Român – Ministerul Finanţelor Publice</agg_nom>
                  <agg_city_country/>
                  <agg_type>EP</agg_type>
                  <agg_tri>63</agg_tri>
                  <agg_numaff_list>C###TIRET_INSECABLE###163/24</agg_numaff_list>
                  <agg_numaff_count>1</agg_numaff_count>
                  <agg_qualite_code>PRIN</agg_qualite_code>
                  <agg_representants/>
                  <agg_representants_mandat/>
                </agg_partie>
                <agg_partie group="2" position="1" total="1" last_partie="1">
                  <agg_nom>Curtea de Apel Bucureşti</agg_nom>
                  <agg_city_country/>
                  <agg_type>EP</agg_type>
                  <agg_tri>63</agg_tri>
                  <agg_numaff_list>C###TIRET_INSECABLE###163/24</agg_numaff_list>
                  <agg_numaff_count>1</agg_numaff_count>
                  <agg_qualite_code>PRIN</agg_qualite_code>
                  <agg_representants/>
                  <agg_representants_mandat/>
                </agg_partie>
              </group>
            </agg_DEF_parties>
            <agg_AUTRE_parties/>
            <agg_PEC_parties/>
          </agg_group_partie>
          <agg_group_partie>
            <agg_numaff_list>C###TIRET_INSECABLE###293/24</agg_numaff_list>
            <agg_REQ_parties>
              <group>
                <agg_partie group="1" position="1" total="1" last_partie="1">
                  <agg_nom>João Filipe Ferreira da Silva e Brito e.a.</agg_nom>
                  <agg_city_country/>
                  <agg_type>PP</agg_type>
                  <agg_tri>62</agg_tri>
                  <agg_numaff_list>C###TIRET_INSECABLE###293/24</agg_numaff_list>
                  <agg_numaff_count>1</agg_numaff_count>
                  <agg_qualite_code>PRIN</agg_qualite_code>
                  <agg_representants> initialement par Me###NON_BREAKING_SPACE###J.L.###NON_BREAKING_SPACE###da Cruz Vilaça, advogado ainsi que Mme###NON_BREAKING_SPACE###T.###NON_BREAKING_SPACE###Santos Silva, advogada et Me###NON_BREAKING_SPACE###M.###NON_BREAKING_SPACE###Martins Pereira, advogada et enfin par Me###NON_BREAKING_SPACE###da Cruz Vilaça ainsi que Mme###NON_BREAKING_SPACE###Santos Silva et Me###NON_BREAKING_SPACE###I.###NON_BREAKING_SPACE###Domingues Alves, advogada,</agg_representants>
                  <agg_representants_mandat> initialement par Me###NON_BREAKING_SPACE###J.L.###NON_BREAKING_SPACE###da Cruz Vilaça, advogado ainsi que Mme###NON_BREAKING_SPACE###T.###NON_BREAKING_SPACE###Santos Silva, advogada et Me###NON_BREAKING_SPACE###M.###NON_BREAKING_SPACE###Martins Pereira, advogada et enfin par Me###NON_BREAKING_SPACE###da Cruz Vilaça ainsi que Mme###NON_BREAKING_SPACE###Santos Silva et Me###NON_BREAKING_SPACE###I.###NON_BREAKING_SPACE###Domingues Alves, advogada,</agg_representants_mandat>
                </agg_partie>
              </group>
            </agg_REQ_parties>
            <agg_DEF_parties>
              <group>
                <agg_partie group="1" position="1" total="1" last_partie="1">
                  <agg_nom>Estado português</agg_nom>
                  <agg_city_country/>
                  <agg_type>EP</agg_type>
                  <agg_tri>62</agg_tri>
                  <agg_numaff_list>C###TIRET_INSECABLE###293/24</agg_numaff_list>
                  <agg_numaff_count>1</agg_numaff_count>
                  <agg_qualite_code>PRIN</agg_qualite_code>
                  <agg_representants> par Mmes###NON_BREAKING_SPACE###P.###NON_BREAKING_SPACE###Barros da Costa, A.###NON_BREAKING_SPACE###Pimenta, C.###NON_BREAKING_SPACE###Freire, M. J.###NON_BREAKING_SPACE###Castello-Branco et S.###NON_BREAKING_SPACE###Leite, en qualité d'agents,</agg_representants>
                  <agg_representants_mandat> par Mmes###NON_BREAKING_SPACE###P.###NON_BREAKING_SPACE###Barros da Costa, A.###NON_BREAKING_SPACE###Pimenta, C.###NON_BREAKING_SPACE###Freire, M. J.###NON_BREAKING_SPACE###Castello-Branco et S.###NON_BREAKING_SPACE###Leite, en qualité d'agents,</agg_representants_mandat>
                </agg_partie>
              </group>
            </agg_DEF_parties>
            <agg_AUTRE_parties/>
            <agg_PEC_parties/>
          </agg_group_partie>
        </agg_group_parties>
        <agg_numaff_count>1</agg_numaff_count>
        <agg_numaff_count>1</agg_numaff_count>
      </agg_group_affaire>
    </agg_group_affaires>
    <agg_Affaires_parties>
      <agg_REQ_parties>
        <agg_partie>BX(C###TIRET_INSECABLE###163/24)</agg_partie>
        <agg_partie>João Filipe Ferreira da Silva e Brito e.a.(C###TIRET_INSECABLE###293/24)</agg_partie>
      </agg_REQ_parties>
      <agg_DEF_parties>
        <agg_partie>Statul Român – Ministerul Finanţelor Publice(C###TIRET_INSECABLE###163/24)</agg_partie>
        <agg_partie>Curtea de Apel Bucureşti(C###TIRET_INSECABLE###163/24)</agg_partie>
        <agg_partie>Estado português(C###TIRET_INSECABLE###293/24)</agg_partie>
      </agg_DEF_parties>
    </agg_Affaires_parties>
    <agg_introduction_affaire> introduites par Curtea de Apel Bucureşti (Roumanie), par décisions du </agg_introduction_affaire>
    <agg_affaires_start>C###TIRET_INSECABLE###163/24</agg_affaires_start>
    <agg_affaires_start_uppercase>C###TIRET_INSECABLE###163/24</agg_affaires_start_uppercase>
    <agg_affaires_short/>
    <agg_affaires>C###TIRET_INSECABLE###163/24 et C###TIRET_INSECABLE###293/24,</agg_affaires>
    <agg_affaires_avis>C###TIRET_INSECABLE###163/24 et C###TIRET_INSECABLE###293/24,</agg_affaires_avis>
    <agg_affaires_jointes>C###TIRET_INSECABLE###163/24 et C###TIRET_INSECABLE###293/24</agg_affaires_jointes>
    <agg_affaires_jointes_uppercase>C###TIRET_INSECABLE###163/24 ET C###TIRET_INSECABLE###293/24</agg_affaires_jointes_uppercase>
    <agg_affaires_display_type>grouped</agg_affaires_display_type>
    <agg_affaires_nb_parties_REQ>2</agg_affaires_nb_parties_REQ>
    <agg_affaires_nb_parties_DEF>3</agg_affaires_nb_parties_DEF>
    <agg_affaires_nb_parties_AUTRE>0</agg_affaires_nb_parties_AUTRE>
  </affaires>
  <dates_renvoi>
    <date numaffs=" (C###TIRET_INSECABLE###163/24) et du ">21-12-2023</date>
    <date numaffs=" (C###TIRET_INSECABLE###293/24)">13-03-2024</date>
  </dates_renvoi>
  <dates_objet>
    <date numaffs=" (C###TIRET_INSECABLE###163/24) et le ">01-03-2024</date>
    <date numaffs=" (C###TIRET_INSECABLE###293/24)">23-04-2024</date>
  </dates_objet>
  <agg_langue_originale>le français</agg_langue_originale>
  <agg_general_data>
    <agg_aide_judiciaire_texte>Les textes de la présente décision ainsi que des décisions des juridictions de l’Union européenne citées dans celle-ci sont disponibles sur le site internet www.curia.europa.eu.</agg_aide_judiciaire_texte>
    <agg_affaire_chambre>grande chambre</agg_affaire_chambre>
    <agg_chambre_numero>grande chambre</agg_chambre_numero>
    <agg_affaire_chambre_parentheses>(grande chambre)</agg_affaire_chambre_parentheses>
    <agg_affaire_chambre_upper>GRANDE CHAMBRE</agg_affaire_chambre_upper>
  </agg_general_data>
  <agg_demande_suivi2>
    <agg_auteurs/>
    <agg_numero_pieceDossier> - </agg_numero_pieceDossier>
    <agg_denomination>DENOM_PP-</agg_denomination>
  </agg_demande_suivi2>
</doc_ref>
</file>

<file path=customXml/item11.xml><?xml version="1.0" encoding="utf-8"?>
<COM_PRESS_Rappels>
  <rappels>
    <rappel>{b}RAPPEL :{/b} Le renvoi préjudiciel permet aux juridictions des États membres, dans le cadre d’un litige dont elles sont saisies, d’interroger la Cour de justice de l’Union européenne sur l’interprétation du droit de l’Union ou sur la validité d’un acte de l’Union.</rappel>
    <rappel>Le Tribunal est compétent pour traiter les demandes de décision préjudicielle qui relèvent exclusivement 1)###NON_BREAKING_SPACE###du système commun de taxe sur la valeur ajoutée (TVA), 2)###NON_BREAKING_SPACE###des droits d’accise, 3)###NON_BREAKING_SPACE###du code des douanes, 4)###NON_BREAKING_SPACE###du classement tarifaire des marchandises dans la nomenclature combinée, 5)###NON_BREAKING_SPACE###de l’indemnisation et l’assistance des passagers en cas de refus d’embarquement ou de retard ou d’annulation de services de transport ou 6)###NON_BREAKING_SPACE###du système d’échange de quotas d’émission de gaz à effet de serre. La Cour de justice est compétente pour traiter toutes les autres demandes de décision préjudicielle.</rappel>
    <rappel>Ni la Cour ni le Tribunal ne tranchent le litige national. Il appartient à la juridiction nationale de résoudre l’affaire conformément à la décision de la Cour ou du Tribunal. Cette décision lie, de la même manière, les autres juridictions nationales qui seraient saisies d’un problème similaire.</rappel>
  </rappels>
</COM_PRESS_Rappels>
</file>

<file path=customXml/item12.xml><?xml version="1.0" encoding="utf-8"?>
<BackupStyles>
  <OriginalEditionType>Final</OriginalEditionType>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uiPriority w:val="99"/>
      <w:pPr>
        <w:widowControl w:val="0"/>
        <w:spacing w:after="0" w:line="240" w:lineRule="auto"/>
      </w:pPr>
      <w:rPr>
        <w:rFonts w:ascii="Open Sans" w:hAnsi="Open Sans" w:cs="Open Sans"/>
        <w:sz w:val="18"/>
        <w:szCs w:val="17"/>
      </w:rPr>
    </w:style>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tabs>
          <w:tab w:val="center" w:leader="none" w:pos="4320"/>
          <w:tab w:val="right" w:leader="none" w:pos="8640"/>
        </w:tabs>
        <w:spacing w:before="0" w:after="0" w:line="240" w:lineRule="auto"/>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tabs>
          <w:tab w:val="center" w:leader="none" w:pos="4320"/>
          <w:tab w:val="right" w:leader="none" w:pos="8640"/>
        </w:tabs>
        <w:spacing w:before="0" w:after="0" w:line="240" w:lineRule="auto"/>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005Titre" w:default="false">
      <w:name w:val="005_Titre"/>
      <w:next w:val="005_Titre"/>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GendocOriginal005Titre" w:default="false">
      <w:name w:val="Gendoc_Original_005_Titre"/>
      <w:next w:val="Gendoc_Original_005_Titre"/>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006SousTitre" w:default="false">
      <w:name w:val="006_SousTitre"/>
      <w:next w:val="006_SousTitre"/>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GendocOriginal006SousTitre" w:default="false">
      <w:name w:val="Gendoc_Original_006_SousTitre"/>
      <w:next w:val="Gendoc_Original_006_SousTitre"/>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103DateTitreC" w:default="false">
      <w:name w:val="103_Date_Titre_C"/>
      <w:next w:val="103_Date_Titre_C"/>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GendocOriginal103DateTitreC" w:default="false">
      <w:name w:val="Gendoc_Original_103_Date_Titre_C"/>
      <w:next w:val="Gendoc_Original_103_Date_Titre_C"/>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103DateTitreT" w:default="false">
      <w:name w:val="103_Date_Titre_T"/>
      <w:next w:val="103_Date_Titre_T"/>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GendocOriginal103DateTitreT" w:default="false">
      <w:name w:val="Gendoc_Original_103_Date_Titre_T"/>
      <w:next w:val="Gendoc_Original_103_Date_Titre_T"/>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103DateTitreI" w:default="false">
      <w:name w:val="103_Date_Titre_I"/>
      <w:next w:val="103_Date_Titre_I"/>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paragraph" w:styleId="GendocOriginal103DateTitreI" w:default="false">
      <w:name w:val="Gendoc_Original_103_Date_Titre_I"/>
      <w:next w:val="Gendoc_Original_103_Date_Titre_I"/>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table" w:styleId="TableNoBorder" w:default="false">
      <w:name w:val="TableNoBorder"/>
      <w:next w:val="TableNoBorder"/>
      <w:uiPriority w:val="99"/>
      <w:basedOn w:val="TableNormal"/>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 w:type="table" w:styleId="GendocOriginalTableNoBorder" w:default="false">
      <w:name w:val="Gendoc_Original_TableNoBorder"/>
      <w:next w:val="Gendoc_Original_TableNoBorder"/>
      <w:uiPriority w:val="99"/>
      <w:basedOn w:val="TableNormal"/>
      <w:semiHidden/>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s>
</BackupStyles>
</file>

<file path=customXml/item2.xml><?xml version="1.0" encoding="utf-8"?>
<XMLPartCheckSums>
  <CheckSum XMLPart="template-info" version="1">5DDE46261655152FC1C03F737582D7C3</CheckSum>
  <CheckSum XMLPart="doc_ref" version="1">7AC9C4635095F6CBD31AC46407878226</CheckSum>
  <CheckSum XMLPart="OriginalStyles" version="1">62B7E0C1F247A5C8BFCB658FF9234786</CheckSum>
  <CheckSum XMLPart="TOCProperties" version="1">85947B3DBD1B751106942EAFB1AFAAFC</CheckSum>
  <CheckSum XMLPart="GendocCanevasStyleMapping" version="1">1DBD7F133243483941ECF7256401667F</CheckSum>
  <CheckSum XMLPart="BackupStyles" version="1">32DADA7339317EBB51C74E3CFB0ED24F</CheckSum>
  <CheckSum XMLPart="BackupStylesWithEffects" version="1">9450E2EB739EE4FBA4E8F16CD4DBEE5C</CheckSum>
  <CheckSum XMLPart="BackupNumbering" version="1">45DEDA170207ED32DFC1C0707584A1FE</CheckSum>
  <CheckSum XMLPart="ValidationRuleDefinitions" version="1">D07CB5E3B019BF771CC4C0080B83C67A</CheckSum>
  <CheckSum XMLPart="OriginalStyleDescriptions" version="1">7C0D08B921D2D59030F26A080D80A9EF</CheckSum>
</XMLPartCheckSums>
</file>

<file path=customXml/item3.xml><?xml version="1.0" encoding="utf-8"?>
<OriginalStyleDescriptions>
  <OriginalStyleDescription xmlns:xsd="http://www.w3.org/2001/XMLSchema" xmlns:xsi="http://www.w3.org/2001/XMLSchema-instance">
    <Name>000_Intitule</Name>
    <Description>Font: (Default) Open Sans, 12 pt
    Line spacing:  single, Space
    After:  3 pt, No widow/orphan control, Priority: 100
    Based on: Normal</Description>
  </OriginalStyleDescription>
  <OriginalStyleDescription xmlns:xsd="http://www.w3.org/2001/XMLSchema" xmlns:xsi="http://www.w3.org/2001/XMLSchema-instance">
    <Name>001_Auteur</Name>
    <Description>Font: (Default) Open Sans, 12 pt, Font color: Custom Color(RGB(205;168;120)), All caps
    Line spacing:  Exactly 15,5 pt, Space
    Before:  3 pt
    After:  0 pt, Don't add space between paragraphs of the same style, No widow/orphan control, Priority: 100
    Based on: Normal</Description>
  </OriginalStyleDescription>
  <OriginalStyleDescription xmlns:xsd="http://www.w3.org/2001/XMLSchema" xmlns:xsi="http://www.w3.org/2001/XMLSchema-instance">
    <Name>002_ID</Name>
    <Description>Font: (Default) Open Sans, 14 pt, Bold, Font color: Custom Color(RGB(212;161;103))
    Line spacing:  single, Space
    After:  3 pt, No widow/orphan control, Priority: 100
    Based on: Normal</Description>
  </OriginalStyleDescription>
  <OriginalStyleDescription xmlns:xsd="http://www.w3.org/2001/XMLSchema" xmlns:xsi="http://www.w3.org/2001/XMLSchema-instance">
    <Name>002_ID_Big</Name>
    <Description>Font: (Default) Open Sans, 24 pt, Font color: Custom Color(RGB(212;161;103))
    Line spacing:  single, Space
    After:  0 pt, No widow/orphan control, Priority: 100
    Based on: Normal</Description>
  </OriginalStyleDescription>
  <OriginalStyleDescription xmlns:xsd="http://www.w3.org/2001/XMLSchema" xmlns:xsi="http://www.w3.org/2001/XMLSchema-instance">
    <Name>003_Date</Name>
    <Description>Font: (Default) Open Sans, 9,5 pt, Bold, Font color: White
    Line spacing:  single, Space
    Before:  2,7 pt
    After:  3 pt, No widow/orphan control, Priority: 100
    Based on: Normal</Description>
  </OriginalStyleDescription>
  <OriginalStyleDescription xmlns:xsd="http://www.w3.org/2001/XMLSchema" xmlns:xsi="http://www.w3.org/2001/XMLSchema-instance">
    <Name>004_Objet</Name>
    <Description>Font: (Default) Open Sans
    Line spacing:  Multiple 1,2 li, Space
    Before:  24 pt
    After:  12 pt, No widow/orphan control, Priority: 100
    Based on: Normal</Description>
  </OriginalStyleDescription>
  <OriginalStyleDescription xmlns:xsd="http://www.w3.org/2001/XMLSchema" xmlns:xsi="http://www.w3.org/2001/XMLSchema-instance">
    <Name>005_Titre</Name>
    <Description>Font: (Default) Open Sans, 13 pt, Bold, Font color: Custom Color(RGB(35;31;32))
    Line spacing:  Multiple 1,1 li, Space
    After:  12 pt, No widow/orphan control, Priority: 100
    Based on: Normal</Description>
  </OriginalStyleDescription>
  <OriginalStyleDescription xmlns:xsd="http://www.w3.org/2001/XMLSchema" xmlns:xsi="http://www.w3.org/2001/XMLSchema-instance">
    <Name>006_SousTitre</Name>
    <Description>Font: (Default) Open Sans, Italic, Font color: Custom Color(RGB(35;31;32))
    Line spacing:  Multiple 1,1 li, Space
    After:  12 pt, No widow/orphan control, Priority: 100
    Based on: Normal</Description>
  </OriginalStyleDescription>
  <OriginalStyleDescription xmlns:xsd="http://www.w3.org/2001/XMLSchema" xmlns:xsi="http://www.w3.org/2001/XMLSchema-instance">
    <Name>007_NomDesParties</Name>
    <Description>Font: (Default) Open Sans
    Line spacing:  single, Space
    After:  0 pt, No widow/orphan control, Priority: 100
    Based on: Normal</Description>
  </OriginalStyleDescription>
  <OriginalStyleDescription xmlns:xsd="http://www.w3.org/2001/XMLSchema" xmlns:xsi="http://www.w3.org/2001/XMLSchema-instance">
    <Name>008_CorpsDuTexte</Name>
    <Description>Font: (Default) Open Sans, 9 pt, Font color: Custom Color(RGB(35;31;32))
    Line spacing:  Multiple 1,14 li, Space
    Before:  8,6 pt
    After:  0 pt, No widow/orphan control, Priority: 100
    Based on: Normal</Description>
  </OriginalStyleDescription>
  <OriginalStyleDescription xmlns:xsd="http://www.w3.org/2001/XMLSchema" xmlns:xsi="http://www.w3.org/2001/XMLSchema-instance">
    <Name>009_Boite</Name>
    <Description>Font: (Default) Open Sans, 9 pt, Font color: Custom Color(RGB(35;31;32))
    Line spacing:  single, Space
    Before:  5 pt
    After:  0 pt, No widow/orphan control, Priority: 100
    Based on: Normal</Description>
  </OriginalStyleDescription>
  <OriginalStyleDescription xmlns:xsd="http://www.w3.org/2001/XMLSchema" xmlns:xsi="http://www.w3.org/2001/XMLSchema-instance">
    <Name>011_Footer</Name>
    <Description>Font: (Default) Open Sans, 9 pt, Font color: Custom Color(RGB(65;64;66))
    Line spacing:  Multiple 0,92 li, Space
    After:  0 pt, No widow/orphan control, Priority: 100
    Based on: Normal</Description>
  </OriginalStyleDescription>
  <OriginalStyleDescription xmlns:xsd="http://www.w3.org/2001/XMLSchema" xmlns:xsi="http://www.w3.org/2001/XMLSchema-instance">
    <Name>012_StayConnected</Name>
    <Description>Font: (Default) Open Sans SemiBold, 9 pt
    Line spacing:  Multiple 1,14 li, Space
    Before:  6 pt
    After:  6 pt, No widow/orphan control, Border:
    Top: (Single solid line, Custom Color(RGB(200;174;112)),  1 pt Line width, From text:  4 pt Border spacing: )
    Bottom: (Single solid line, Custom Color(RGB(200;174;112)),  1 pt Line width, From text:  4 pt Border spacing: )
    Left: (Single solid line, Custom Color(RGB(200;174;112)),  1 pt Line width)
    Right: (Single solid line, Custom Color(RGB(200;174;112)),  1 pt Line width), Priority: 100
    Based on: Normal</Description>
  </OriginalStyleDescription>
  <OriginalStyleDescription xmlns:xsd="http://www.w3.org/2001/XMLSchema" xmlns:xsi="http://www.w3.org/2001/XMLSchema-instance">
    <Name>02_BoldCharacterStyle</Name>
    <Description>Font: Bold, Priority: 100
    Based on: Default Paragraph Font</Description>
  </OriginalStyleDescription>
  <OriginalStyleDescription xmlns:xsd="http://www.w3.org/2001/XMLSchema" xmlns:xsi="http://www.w3.org/2001/XMLSchema-instance">
    <Name>102_ID</Name>
    <Description>Font: (Default) Open Sans, 14 pt, Font color: Custom Color(RGB(133;26;21))
    Line spacing:  single, Space
    After:  0 pt, No widow/orphan control, Priority: 100
    Based on: Normal</Description>
  </OriginalStyleDescription>
  <OriginalStyleDescription xmlns:xsd="http://www.w3.org/2001/XMLSchema" xmlns:xsi="http://www.w3.org/2001/XMLSchema-instance">
    <Name>102_ID_C</Name>
    <Description>Font: (Default) Open Sans, 14 pt, Font color: Custom Color(RGB(133;26;21))
    Line spacing:  single, Space
    After:  0 pt, No widow/orphan control, Priority: 100
    Based on: Normal</Description>
  </OriginalStyleDescription>
  <OriginalStyleDescription xmlns:xsd="http://www.w3.org/2001/XMLSchema" xmlns:xsi="http://www.w3.org/2001/XMLSchema-instance">
    <Name>102_ID_I</Name>
    <Description>Font: (Default) Open Sans, 14 pt, Font color: Custom Color(RGB(114;89;34))
    Line spacing:  single, Space
    After:  0 pt, No widow/orphan control, Priority: 100
    Based on: Normal</Description>
  </OriginalStyleDescription>
  <OriginalStyleDescription xmlns:xsd="http://www.w3.org/2001/XMLSchema" xmlns:xsi="http://www.w3.org/2001/XMLSchema-instance">
    <Name>102_ID_T</Name>
    <Description>Font: (Default) Open Sans, 14 pt, Font color: Custom Color(RGB(62;81;110))
    Line spacing:  single, Space
    After:  0 pt, No widow/orphan control, Priority: 100
    Based on: Normal</Description>
  </OriginalStyleDescription>
  <OriginalStyleDescription xmlns:xsd="http://www.w3.org/2001/XMLSchema" xmlns:xsi="http://www.w3.org/2001/XMLSchema-instance">
    <Name>103_Date_C</Name>
    <Description>Font: (Default) Open Sans, 9 pt, Font color: Custom Color(RGB(133;26;21)), Indent:
    Left:  0,08 cm
    Line spacing:  single, Space
    Before:  6 pt
    After:  5 pt, No widow/orphan control, Priority: 100
    Based on: Normal</Description>
  </OriginalStyleDescription>
  <OriginalStyleDescription xmlns:xsd="http://www.w3.org/2001/XMLSchema" xmlns:xsi="http://www.w3.org/2001/XMLSchema-instance">
    <Name>103_Date_I</Name>
    <Description>Font: (Default) Open Sans, 9 pt, Font color: Custom Color(RGB(114;89;34)), Indent:
    Left:  0,08 cm
    Line spacing:  single, Space
    Before:  6 pt
    After:  5 pt, No widow/orphan control, Priority: 100
    Based on: Normal</Description>
  </OriginalStyleDescription>
  <OriginalStyleDescription xmlns:xsd="http://www.w3.org/2001/XMLSchema" xmlns:xsi="http://www.w3.org/2001/XMLSchema-instance">
    <Name>103_Date_T</Name>
    <Description>Font: (Default) Open Sans, 9 pt, Font color: Custom Color(RGB(62;81;110)), Indent:
    Left:  0,08 cm
    Line spacing:  single, Space
    Before:  6 pt
    After:  5 pt, No widow/orphan control, Priority: 100
    Based on: Normal</Description>
  </OriginalStyleDescription>
  <OriginalStyleDescription xmlns:xsd="http://www.w3.org/2001/XMLSchema" xmlns:xsi="http://www.w3.org/2001/XMLSchema-instance">
    <Name>103_Date_Titre_C</Name>
    <Description>Font: (Default) Open Sans, 11 pt, Font color: Custom Color(RGB(133;26;21)), Indent:
    Left:  0,08 cm
    Line spacing:  single, Space
    Before:  2,7 pt
    After:  0 pt, No widow/orphan control, Priority: 100
    Based on: Normal</Description>
  </OriginalStyleDescription>
  <OriginalStyleDescription xmlns:xsd="http://www.w3.org/2001/XMLSchema" xmlns:xsi="http://www.w3.org/2001/XMLSchema-instance">
    <Name>103_Date_Titre_I</Name>
    <Description>Font: (Default) Open Sans, 11 pt, Font color: Custom Color(RGB(114;89;34)), Indent:
    Left:  0,08 cm
    Line spacing:  single, Space
    Before:  2,7 pt
    After:  0 pt, No widow/orphan control, Priority: 100
    Based on: Normal</Description>
  </OriginalStyleDescription>
  <OriginalStyleDescription xmlns:xsd="http://www.w3.org/2001/XMLSchema" xmlns:xsi="http://www.w3.org/2001/XMLSchema-instance">
    <Name>103_Date_Titre_T</Name>
    <Description>Font: (Default) Open Sans, 11 pt, Font color: Custom Color(RGB(62;81;110)), Indent:
    Left:  0,08 cm
    Line spacing:  single, Space
    Before:  2,7 pt
    After:  0 pt, No widow/orphan control, Priority: 100
    Based on: Normal</Description>
  </OriginalStyleDescription>
  <OriginalStyleDescription xmlns:xsd="http://www.w3.org/2001/XMLSchema" xmlns:xsi="http://www.w3.org/2001/XMLSchema-instance">
    <Name>110_Rappel</Name>
    <Description>Font: (Default) Open Sans, 9 pt, Font color: Custom Color(RGB(35;31;32))
    Line spacing:  Multiple 1,29 li, Space
    Before:  12 pt
    After:  12 pt, No widow/orphan control, Border:
    Top: (Single solid line, Custom Color(RGB(209;211;212)),  1 pt Line width, From text:  4 pt Border spacing: )
    Bottom: (Single solid line, Custom Color(RGB(209;211;212)),  1 pt Line width, From text:  4 pt Border spacing: )
    Left: (Single solid line, Custom Color(RGB(209;211;212)),  1 pt Line width)
    Right: (Single solid line, Custom Color(RGB(209;211;212)),  1 pt Line width), Priority: 100
    Based on: Normal</Description>
  </OriginalStyleDescription>
  <OriginalStyleDescription xmlns:xsd="http://www.w3.org/2001/XMLSchema" xmlns:xsi="http://www.w3.org/2001/XMLSchema-instance">
    <Name>50_Footnote_Nom_Fictif</Name>
    <Description>Font: 7,5 pt, Font color: Auto, Indent:
    Left:  0 cm
    Hanging:  0,25 cm, Justified
    Line spacing:  single, Space
    After:  15 pt, Priority: 100
    Based on: Footnote Text</Description>
  </OriginalStyleDescription>
  <OriginalStyleDescription xmlns:xsd="http://www.w3.org/2001/XMLSchema" xmlns:xsi="http://www.w3.org/2001/XMLSchema-instance">
    <Name>Footer</Name>
    <Description>Font: 12,5 pt
    Line spacing:  single, Space
    After:  0 pt
    Tab stops:  7,62 cm, Centered +  15,24 cm, Right, Priority: 100
    Based on: Normal</Description>
  </OriginalStyleDescription>
  <OriginalStyleDescription xmlns:xsd="http://www.w3.org/2001/XMLSchema" xmlns:xsi="http://www.w3.org/2001/XMLSchema-instance">
    <Name>Footnote Reference</Name>
    <Description>Font: Not Bold, Not Italic, Font color: Auto, Superscript, Priority: 100
    Based on: Default Paragraph Font</Description>
  </OriginalStyleDescription>
  <OriginalStyleDescription xmlns:xsd="http://www.w3.org/2001/XMLSchema" xmlns:xsi="http://www.w3.org/2001/XMLSchema-instance">
    <Name>Footnote Text</Name>
    <Description>Font: (Default) Open Sans, 7 pt, Font color: Custom Color(RGB(35;31;32))
    Line spacing:  Multiple 1,2 li, Space
    After:  3 pt, No widow/orphan control, Priority: 100
    Based on: Normal</Description>
  </OriginalStyleDescription>
  <OriginalStyleDescription xmlns:xsd="http://www.w3.org/2001/XMLSchema" xmlns:xsi="http://www.w3.org/2001/XMLSchema-instance">
    <Name>Header</Name>
    <Description>Font: (Default) Open Sans, 11 pt
    Line spacing:  single, Space
    After:  6 pt, No widow/orphan control, Priority: 100
    Based on: Normal</Description>
  </OriginalStyleDescription>
  <OriginalStyleDescription xmlns:xsd="http://www.w3.org/2001/XMLSchema" xmlns:xsi="http://www.w3.org/2001/XMLSchema-instance">
    <Name>Hyperlink</Name>
    <Description>Font: Not Bold, Not Italic, Underline, Underline color: Custom Color(RGB(32;94;158)), Font color: Custom Color(RGB(32;94;158)), Priority: 100
    Based on: Default Paragraph Font</Description>
  </OriginalStyleDescription>
  <OriginalStyleDescription xmlns:xsd="http://www.w3.org/2001/XMLSchema" xmlns:xsi="http://www.w3.org/2001/XMLSchema-instance">
    <Name>TableNoBorder</Name>
    <Description>Top: Auto + Bottom: Auto + Left: Auto + Right: Auto, Box: (No border), Priority: 100
    Based on: Table Normal</Description>
  </OriginalStyleDescription>
  <OriginalStyleDescription xmlns:xsd="http://www.w3.org/2001/XMLSchema" xmlns:xsi="http://www.w3.org/2001/XMLSchema-instance">
    <Name>WingdingsChar</Name>
    <Description>Font: (Default) Wingdings, 9 pt, Not Bold, Not Italic, Font color: Auto, Priority: 100
    Based on: Default Paragraph Font</Description>
  </OriginalStyleDescription>
</OriginalStyleDescriptions>
</file>

<file path=customXml/item4.xml><?xml version="1.0" encoding="utf-8"?>
<GendocCanevasStyleMapping>
  <Style>
    <StyleId>1</StyleId>
    <GendocStyle>01PointSomAltN</GendocStyle>
    <CanevasStyle>01PointAltN</CanevasStyle>
    <Organization>C</Organization>
    <IsBold>false</IsBold>
    <IsItalic>false</IsItalic>
    <IsSuperscript>false</IsSuperscript>
    <TemplateKey/>
  </Style>
</GendocCanevasStyleMapping>
</file>

<file path=customXml/item5.xml><?xml version="1.0" encoding="utf-8"?>
<thesaurus lang="fr">
  <blockcontents>
    <blockcontent id="COM_PRESS_Footer">Direction de la Communication###SOFT_RETURN###Unité Presse et information</blockcontent>
    <blockcontent id="COM_PRESS_Objet_ARRET_Bold">{b}Arrêt{/b}</blockcontent>
    <blockcontent id="COM_PRESS_Objet_ORD_Bold">{b}Ordonnance{/b} du Président</blockcontent>
    <blockcontent id="COM_PRESS_Objet_ORD-R_Bold">{b}Ordonnance{/b} du vice-Président</blockcontent>
    <blockcontent id="COM_PRESS_Objet_AVIS_Bold">{b}Avis{/b}</blockcontent>
    <blockcontent id="COM_PRESS_Objet_Juridiction_C"> de la Cour</blockcontent>
    <blockcontent id="COM_PRESS_Objet_Juridiction_T"> du Tribunal</blockcontent>
    <blockcontent id="COM_PRESS_Objet_CONCL_M_C_Bold">{b}Conclusions{/b} de l’avocat général à la Cour</blockcontent>
    <blockcontent id="COM_PRESS_Objet_CONCL_F_C_Bold">{b}Conclusions{/b} de l’avocate générale à la Cour</blockcontent>
    <blockcontent id="COM_PRESS_Objet_CONCL_M_T_Bold">{b}Conclusions{/b} de l’avocat général au Tribunal</blockcontent>
    <blockcontent id="COM_PRESS_Objet_CONCL_F_T_Bold">{b}Conclusions{/b} de l’avocate générale au Tribunal</blockcontent>
    <blockcontent id="COM_PRESS_Objet_INFOS_1">Visite à la Cour de justice de l'Union européenne</blockcontent>
    <blockcontent id="COM_PRESS_Objet_AUDSOL_1">Audience solennelle de la Cour de justice</blockcontent>
    <blockcontent id="COM_PRESS_Objet_Dans_Affaire">dans l’affaire </blockcontent>
    <blockcontent id="NOTE_NOM_FICTIF">Le nom de la présente affaire est un nom fictif. Il ne correspond au nom réel d’aucune partie à la procédure.</blockcontent>
    <blockcontent id="COM_PRESS_Objet_Dans_Affaires_Jointes">dans les affaires jointes </blockcontent>
    <blockcontent id="COM_PRESS_Objet_INFOS_2">du président de la République XXX, M. XXX</blockcontent>
    <blockcontent id="COM_PRESS_Date_Titre">Communiqué de presse n° XXX/</blockcontent>
    <blockcontent id="COM_PRESS_DATE">Luxembourg, le </blockcontent>
    <blockcontent id="COM_PRESS_TITRE_LIB">TITRE </blockcontent>
    <blockcontent id="COM_PRESS_TEXTE_LIB">(Texte)</blockcontent>
    <blockcontent id="COM_PRESS_NonOfficiel_C">Document non officiel à l’usage des médias, qui n’engage pas la Cour de justice. La présentation des faits et du cadre juridique se réfère à l’époque pertinente et se fonde sur le dossier de l’affaire.</blockcontent>
    <blockcontent id="COM_PRESS_NonOfficiel_T_2">Document non officiel à l’usage des médias, qui n’engage pas le Tribunal. La présentation des faits et du cadre juridique se réfère à l’époque pertinente et se fonde sur le dossier de l’affaire.</blockcontent>
    <blockcontent id="COM_PRESS_NonOfficiel_C_JOINT">Document non officiel à l’usage des médias, qui n’engage pas la Cour de justice. La présentation des faits et du cadre juridique se réfère à l’époque pertinente et se fonde sur les dossiers des affaires.</blockcontent>
    <blockcontent id="COM_PRESS_NonOfficiel_T_2_JOINT">Document non officiel à l’usage des médias, qui n’engage pas le Tribunal. La présentation des faits et du cadre juridique se réfère à l’époque pertinente et se fonde sur les dossiers des affaires.</blockcontent>
    <blockcontent id="COM_PRESS_NonOfficiel_C_2">Document non officiel à l’usage des médias, qui n’engage pas la Cour de justice.</blockcontent>
    <blockcontent id="COM_PRESS_NonOfficiel_T">Document non officiel à l’usage des médias, qui n’engage pas le Tribunal.</blockcontent>
    <blockcontent id="COM_PRESS_Texte_Integral_1">Le </blockcontent>
    <blockcontent id="COM_PRESS_Texte_Integral_ARRET_2"> de l’arrêt sont publiés sur le site CURIA le jour du prononcé.</blockcontent>
    <blockcontent id="COM_PRESS_Texte_Integral_ORD_2"> de l’ordonnance sont publiés sur le site CURIA.</blockcontent>
    <blockcontent id="COM_PRESS_Texte_Integral_AVIS"> de l'avis sont publiés sur le site CURIA le jour du prononcé.</blockcontent>
    <blockcontent id="COM_PRESS_Texte_Integral_CONCL"> des conclusions est publié sur le site CURIA le jour de la lecture. </blockcontent>
    <blockcontent id="COM_PRESS_ContactPresseLabel">Contact presse###NON_BREAKING_SPACE###: </blockcontent>
    <blockcontent id="COM_PRESS_ContactPresseName">Iliana Paliova </blockcontent>
    <blockcontent id="COM_PRESS_ContactPressePhone">###NON_BREAKING_SPACE###(+352)###NON_BREAKING_SPACE###4303###NON_BREAKING_SPACE###4293.</blockcontent>
    <blockcontent id="COM_PRESS_EBS_AUDSOL">Des images de l'audience solennelle sont disponibles sur «###NON_BREAKING_SPACE###</blockcontent>
    <blockcontent id="COM_PRESS_EBS_CONCL">Des images de la lecture des conclusions sont disponibles sur «###NON_BREAKING_SPACE###</blockcontent>
    <blockcontent id="COM_PRESS_EBS_ARRET">Des images du prononcé de l'arrêt sont disponibles sur «###NON_BREAKING_SPACE###</blockcontent>
    <blockcontent id="COM_PRESS_EBS_ARRET_MULTI">Des images du prononcé de l'arrêt sont disponibles sur «###NON_BREAKING_SPACE###</blockcontent>
    <blockcontent id="COM_PRESS_EBS_AVIS">Des images du prononcé de l'avis sont disponibles sur «###NON_BREAKING_SPACE###</blockcontent>
    <blockcontent id="COM_PRESS_EBS_SPACE_QUOTE">###NON_BREAKING_SPACE###»</blockcontent>
    <blockcontent id="COM_PRESS_EBS_AINSI"> ainsi que sur «###NON_BREAKING_SPACE###</blockcontent>
    <blockcontent id="COM_PRESS_EBS_2">###NON_BREAKING_SPACE###» </blockcontent>
    <blockcontent id="COM_PRESS_EBS_Phone">###NON_BREAKING_SPACE###(+32)###NON_BREAKING_SPACE###2###NON_BREAKING_SPACE###2964106.</blockcontent>
    <blockcontent id="COM_PRESS_EBS_PLUS_ARRET">Pour aller plus loin, une vidéo présentant cet arrêt est également disponible sur «###NON_BREAKING_SPACE###</blockcontent>
    <blockcontent id="COM_PRESS_EBS_PLUS_ARRET_MULTI">Pour aller plus loin, une vidéo présentant cet arrêt est également disponible sur «###NON_BREAKING_SPACE###</blockcontent>
    <blockcontent id="COM_PRESS_EBS_PLUS_AVIS">Pour aller plus loin, une vidéo présentant cet avis est également disponible sur «###NON_BREAKING_SPACE###</blockcontent>
    <blockcontent id="COM_PRESS_EBS_PLUS_CONCL">Pour aller plus loin, une vidéo présentant ces conclusions est également disponible sur «###NON_BREAKING_SPACE###</blockcontent>
  </blockcontents>
</thesaurus>
</file>

<file path=customXml/item6.xml><?xml version="1.0" encoding="utf-8"?>
<TOCProperties>
  <IsVademecum>0</IsVademecum>
</TOCProperties>
</file>

<file path=customXml/item7.xml><?xml version="1.0" encoding="utf-8"?>
<template-info>
  <custom-properties type="Gendoc.Model.Application.LegalGenerationContext">
    <User>svc_wsgendoc</User>
    <GenerationDate>04-09-26 13:51:24</GenerationDate>
    <GendocTemplateType>COM_PRESS</GendocTemplateType>
    <GendocTemplateSubType/>
    <GendocTemplateOptions/>
    <Lang>cs-CZ</Lang>
    <LangCode>cs</LangCode>
    <OriginalLang>čeština</OriginalLang>
    <OriginLangCode/>
    <Juridiction>C</Juridiction>
    <CaseNumber>163</CaseNumber>
    <CaseYear>24</CaseYear>
    <CaseNature>RP</CaseNature>
    <CaseNumberSuite>1</CaseNumberSuite>
    <ProcedureType>P</ProcedureType>
    <ProcedureNumber>1</ProcedureNumber>
    <EditionType>Final</EditionType>
    <ComPressId>CP20260717095103</ComPressId>
    <OrdonnanceMotivee/>
    <OrdonnanceType>0</OrdonnanceType>
    <TypeCase>ARRET</TypeCase>
    <TypeTrad>COM_PRE</TypeTrad>
    <Institution>TFUE</Institution>
    <Article>267</Article>
    <NumeroDossier>0</NumeroDossier>
    <NumeroSuivi2>0</NumeroSuivi2>
    <DateDepotPiece/>
    <DatePublication/>
    <IsOrdPresidentChambre>False</IsOrdPresidentChambre>
    <IsGeneratedByService>True</IsGeneratedByService>
    <HasSpaceBeforeIndice>False</HasSpaceBeforeIndice>
    <HasSpaceBeforeNote>False</HasSpaceBeforeNote>
    <BoldIndice>False</BoldIndice>
    <DecNatParameters/>
    <IdPublication>0</IdPublication>
    <MiniDocDataIndex>0</MiniDocDataIndex>
    <AEMParameters/>
    <Environment>p</Environment>
    <Status/>
    <TemplateVersionId/>
    <TemporaryStyles>False</TemporaryStyles>
    <StyleStatusId/>
    <NumDocForResume/>
    <GenricDatasourceConfiguation/>
    <ManualJoins/>
    <ManualLinkedCases/>
    <PublicationVersion>Confidential</PublicationVersion>
    <Content/>
  </custom-properties>
  <document-classification>
    <AvailableLanguages>
      <lang>bg-BG</lang>
      <lang>sv-SE</lang>
      <lang>da-DK</lang>
      <lang>de-DE</lang>
      <lang>el-GR</lang>
      <lang>en-GB</lang>
      <lang>es-ES</lang>
      <lang>et-EE</lang>
      <lang>fi-FI</lang>
      <lang>fr-FR</lang>
      <lang>ga-IE</lang>
      <lang>hr-HR</lang>
      <lang>hu-HU</lang>
      <lang>it-IT</lang>
      <lang>lt-LT</lang>
      <lang>lv-LV</lang>
      <lang>mt-MT</lang>
      <lang>nl-NL</lang>
      <lang>pl-PL</lang>
      <lang>pt-PT</lang>
      <lang>ro-RO</lang>
      <lang>sk-SK</lang>
      <lang>sl-SI</lang>
      <lang>cs-CZ</lang>
    </AvailableLanguages>
    <DocumentType>COM_PRESS</DocumentType>
    <CustomEditionTypeConfigs>
      <EditionTypeConfig>
        <RelatedEditionType>Final</RelatedEditionType>
        <SpaceAfterMult>1</SpaceAfterMult>
        <SpaceBeforeMult>1</SpaceBeforeMult>
        <SpaceBetweenMult>1</SpaceBetweenMult>
        <SectionMarginsOverride>
          <Top>
            <Size>1440</Size>
            <Unit>Dxa</Unit>
          </Top>
          <Bottom>
            <Size>1440</Size>
            <Unit>Dxa</Unit>
          </Bottom>
          <Left>
            <Size>1080</Size>
            <Unit>Dxa</Unit>
          </Left>
          <Right>
            <Size>1080</Size>
            <Unit>Dxa</Unit>
          </Right>
          <Gutter>
            <Size>0</Size>
            <Unit>Points</Unit>
          </Gutter>
          <HeaderStart>
            <Size>720</Size>
            <Unit>Dxa</Unit>
          </HeaderStart>
          <FooterStart>
            <Size>720</Size>
            <Unit>Dxa</Unit>
          </FooterStart>
        </SectionMarginsOverride>
      </EditionTypeConfig>
    </CustomEditionTypeConfigs>
    <Organization>
      <EditionTypeConfigs>
        <EditionTypeConfig>
          <RelatedEditionType>Final</RelatedEditionType>
          <SpaceAfterMult>1</SpaceAfterMult>
          <SpaceBeforeMult>1</SpaceBeforeMult>
          <SpaceBetweenMult>1</SpaceBetweenMult>
          <SectionMarginsOverride>
            <Top>
              <Size>1701</Size>
              <Unit>Dxa</Unit>
            </Top>
            <Bottom>
              <Size>1644</Size>
              <Unit>Dxa</Unit>
            </Bottom>
            <Left>
              <Size>1871</Size>
              <Unit>Dxa</Unit>
            </Left>
            <Right>
              <Size>1758</Size>
              <Unit>Dxa</Unit>
            </Right>
            <Gutter>
              <Size>0</Size>
              <Unit>Points</Unit>
            </Gutter>
            <HeaderStart>
              <Size>35.4</Size>
              <Unit>Points</Unit>
            </HeaderStart>
            <FooterStart>
              <Size>35.4</Size>
              <Unit>Points</Unit>
            </FooterStart>
          </SectionMarginsOverride>
        </EditionTypeConfig>
        <EditionTypeConfig>
          <RelatedEditionType>Provisory</RelatedEditionType>
          <SpaceAfterMult>1</SpaceAfterMult>
          <SpaceBeforeMult>1</SpaceBeforeMult>
          <SpaceBetweenMult>1.5</SpaceBetweenMult>
          <SectionMarginsOverride>
            <Top>
              <Size>3402</Size>
              <Unit>Dxa</Unit>
            </Top>
            <Bottom>
              <Size>2155</Size>
              <Unit>Dxa</Unit>
            </Bottom>
            <Left>
              <Size>1815</Size>
              <Unit>Dxa</Unit>
            </Left>
            <Right>
              <Size>2835</Size>
              <Unit>Dxa</Unit>
            </Right>
            <Gutter>
              <Size>0</Size>
              <Unit>Points</Unit>
            </Gutter>
            <HeaderStart>
              <Size>2551</Size>
              <Unit>Dxa</Unit>
            </HeaderStart>
            <FooterStart>
              <Size>680</Size>
              <Unit>Dxa</Unit>
            </FooterStart>
          </SectionMarginsOverride>
        </EditionTypeConfig>
        <EditionTypeConfig>
          <RelatedEditionType>ProvisoryWithoutMargins</RelatedEditionType>
          <SpaceAfterMult>1</SpaceAfterMult>
          <SpaceBeforeMult>1</SpaceBeforeMult>
          <SpaceBetweenMult>1</SpaceBetweenMult>
          <SectionMarginsOverride>
            <Top>
              <Size>3402</Size>
              <Unit>Dxa</Unit>
            </Top>
            <Bottom>
              <Size>1644</Size>
              <Unit>Dxa</Unit>
            </Bottom>
            <Left>
              <Size>1871</Size>
              <Unit>Dxa</Unit>
            </Left>
            <Right>
              <Size>1758</Size>
              <Unit>Dxa</Unit>
            </Right>
            <Gutter>
              <Size>0</Size>
              <Unit>Points</Unit>
            </Gutter>
            <HeaderStart>
              <Size>2551</Size>
              <Unit>Dxa</Unit>
            </HeaderStart>
            <FooterStart>
              <Size>680</Size>
              <Unit>Dxa</Unit>
            </FooterStart>
          </SectionMarginsOverride>
        </EditionTypeConfig>
      </EditionTypeConfigs>
      <Code>C</Code>
    </Organization>
  </document-classification>
</template-info>
</file>

<file path=customXml/item8.xml><?xml version="1.0" encoding="utf-8"?>
<BackupStylesWithEffects>
  <w:styles xmlns:w="http://schemas.openxmlformats.org/wordprocessingml/2006/main">
    <w:docDefaults>
      <w:rPrDefault>
        <w:rPr>
          <w:lang w:val="cs-CZ" w:eastAsia="cs-CZ" w:bidi="cs-CZ"/>
        </w:rPr>
      </w:rPrDefault>
    </w:docDefaults>
    <w:style w:type="character" w:styleId="FootnoteReference" w:default="false">
      <w:name w:val="Footnote Reference"/>
      <w:next w:val="Footnote Reference"/>
      <w:uiPriority w:val="99"/>
      <w:basedOn w:val="DefaultParagraphFont"/>
    </w:style>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GendocOriginalFooter" w:default="false">
      <w:name w:val="Gendoc_Original_Footer"/>
      <w:next w:val="Footer"/>
      <w:uiPriority w:val="99"/>
      <w:basedOn w:val="Normal"/>
      <w:link w:val="Normal"/>
      <w:semiHidden/>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000Intitule" w:default="false">
      <w:name w:val="000_Intitule"/>
      <w:next w:val="000_Intitule"/>
      <w:uiPriority w:val="99"/>
      <w:basedOn w:val="Normal"/>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GendocOriginal000Intitule" w:default="false">
      <w:name w:val="Gendoc_Original_000_Intitule"/>
      <w:next w:val="Gendoc_Original_000_Intitule"/>
      <w:uiPriority w:val="99"/>
      <w:basedOn w:val="Normal"/>
      <w:semiHidden/>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ind w:start="0" w:end="0"/>
        <w:jc w:val="left"/>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001Auteur" w:default="false">
      <w:name w:val="001_Auteur"/>
      <w:next w:val="001_Auteur"/>
      <w:uiPriority w:val="99"/>
      <w:basedOn w:val="Normal"/>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GendocOriginal001Auteur" w:default="false">
      <w:name w:val="Gendoc_Original_001_Auteur"/>
      <w:next w:val="Gendoc_Original_001_Auteur"/>
      <w:uiPriority w:val="99"/>
      <w:basedOn w:val="Normal"/>
      <w:semiHidden/>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002ID" w:default="false">
      <w:name w:val="002_ID"/>
      <w:next w:val="002_ID"/>
      <w:uiPriority w:val="99"/>
      <w:basedOn w:val="Normal"/>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ind w:start="0" w:end="0"/>
        <w:jc w:val="left"/>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GendocOriginal002ID" w:default="false">
      <w:name w:val="Gendoc_Original_002_ID"/>
      <w:next w:val="Gendoc_Original_002_ID"/>
      <w:uiPriority w:val="99"/>
      <w:basedOn w:val="Normal"/>
      <w:semiHidden/>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ind w:start="0" w:end="0"/>
        <w:jc w:val="left"/>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003Date" w:default="false">
      <w:name w:val="003_Date"/>
      <w:next w:val="003_Date"/>
      <w:uiPriority w:val="99"/>
      <w:basedOn w:val="Normal"/>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ind w:start="0" w:end="0"/>
        <w:jc w:val="left"/>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GendocOriginal003Date" w:default="false">
      <w:name w:val="Gendoc_Original_003_Date"/>
      <w:next w:val="Gendoc_Original_003_Date"/>
      <w:uiPriority w:val="99"/>
      <w:basedOn w:val="Normal"/>
      <w:semiHidden/>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ind w:start="0" w:end="0"/>
        <w:jc w:val="left"/>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004Objet" w:default="false">
      <w:name w:val="004_Objet"/>
      <w:next w:val="004_Objet"/>
      <w:uiPriority w:val="99"/>
      <w:basedOn w:val="Normal"/>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ind w:start="0" w:end="0"/>
        <w:jc w:val="left"/>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GendocOriginal004Objet" w:default="false">
      <w:name w:val="Gendoc_Original_004_Objet"/>
      <w:next w:val="Gendoc_Original_004_Objet"/>
      <w:uiPriority w:val="99"/>
      <w:basedOn w:val="Normal"/>
      <w:semiHidden/>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ind w:start="0" w:end="0"/>
        <w:jc w:val="left"/>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005Titre" w:default="false">
      <w:name w:val="005_Titre"/>
      <w:next w:val="005_Titre"/>
      <w:uiPriority w:val="99"/>
      <w:basedOn w:val="Normal"/>
    </w:style>
    <w:style w:type="paragraph" w:styleId="005Titre" w:default="false">
      <w:name w:val="005_Titre"/>
      <w:next w:val="005_Titre"/>
      <w:uiPriority w:val="99"/>
      <w:basedOn w:val="Normal"/>
      <w:rPr>
        <w:rFonts w:ascii="Open Sans" w:hAnsi="Open Sans" w:cs="Open Sans"/>
        <w:color w:val="#231F20"/>
        <w:sz w:val="26"/>
        <w:szCs w:val="25"/>
        <w:b w:val="true"/>
        <w:bCs w:val="true"/>
        <w:i w:val="false"/>
        <w:iCs w:val="false"/>
      </w:rPr>
    </w:style>
    <w:style w:type="paragraph" w:styleId="005Titre" w:default="false">
      <w:name w:val="005_Titre"/>
      <w:next w:val="005_Titre"/>
      <w:uiPriority w:val="99"/>
      <w:basedOn w:val="Normal"/>
      <w:rPr>
        <w:rFonts w:ascii="Open Sans" w:hAnsi="Open Sans" w:cs="Open Sans"/>
        <w:color w:val="#231F20"/>
        <w:sz w:val="26"/>
        <w:szCs w:val="25"/>
        <w:b w:val="true"/>
        <w:bCs w:val="true"/>
        <w:i w:val="false"/>
        <w:iCs w:val="false"/>
      </w:rPr>
      <w:pPr>
        <w:spacing w:before="0" w:after="240"/>
        <w:ind w:start="0" w:end="0"/>
        <w:jc w:val="left"/>
      </w:pPr>
    </w:style>
    <w:style w:type="paragraph" w:styleId="005Titre" w:default="false">
      <w:name w:val="005_Titre"/>
      <w:next w:val="005_Titre"/>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GendocOriginal005Titre" w:default="false">
      <w:name w:val="Gendoc_Original_005_Titre"/>
      <w:next w:val="Gendoc_Original_005_Titre"/>
      <w:uiPriority w:val="99"/>
      <w:basedOn w:val="Normal"/>
      <w:semiHidden/>
    </w:style>
    <w:style w:type="paragraph" w:styleId="GendocOriginal005Titre" w:default="false">
      <w:name w:val="Gendoc_Original_005_Titre"/>
      <w:next w:val="Gendoc_Original_005_Titre"/>
      <w:uiPriority w:val="99"/>
      <w:basedOn w:val="Normal"/>
      <w:semiHidden/>
      <w:rPr>
        <w:rFonts w:ascii="Open Sans" w:hAnsi="Open Sans" w:cs="Open Sans"/>
        <w:color w:val="#231F20"/>
        <w:sz w:val="26"/>
        <w:szCs w:val="25"/>
        <w:b w:val="true"/>
        <w:bCs w:val="true"/>
        <w:i w:val="false"/>
        <w:iCs w:val="false"/>
      </w:rPr>
    </w:style>
    <w:style w:type="paragraph" w:styleId="GendocOriginal005Titre" w:default="false">
      <w:name w:val="Gendoc_Original_005_Titre"/>
      <w:next w:val="Gendoc_Original_005_Titre"/>
      <w:uiPriority w:val="99"/>
      <w:basedOn w:val="Normal"/>
      <w:semiHidden/>
      <w:rPr>
        <w:rFonts w:ascii="Open Sans" w:hAnsi="Open Sans" w:cs="Open Sans"/>
        <w:color w:val="#231F20"/>
        <w:sz w:val="26"/>
        <w:szCs w:val="25"/>
        <w:b w:val="true"/>
        <w:bCs w:val="true"/>
        <w:i w:val="false"/>
        <w:iCs w:val="false"/>
      </w:rPr>
      <w:pPr>
        <w:spacing w:before="0" w:after="240"/>
        <w:ind w:start="0" w:end="0"/>
        <w:jc w:val="left"/>
      </w:pPr>
    </w:style>
    <w:style w:type="paragraph" w:styleId="GendocOriginal005Titre" w:default="false">
      <w:name w:val="Gendoc_Original_005_Titre"/>
      <w:next w:val="Gendoc_Original_005_Titre"/>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006SousTitre" w:default="false">
      <w:name w:val="006_SousTitre"/>
      <w:next w:val="006_SousTitre"/>
      <w:uiPriority w:val="99"/>
      <w:basedOn w:val="Normal"/>
    </w:style>
    <w:style w:type="paragraph" w:styleId="006SousTitre" w:default="false">
      <w:name w:val="006_SousTitre"/>
      <w:next w:val="006_SousTitre"/>
      <w:uiPriority w:val="99"/>
      <w:basedOn w:val="Normal"/>
      <w:rPr>
        <w:rFonts w:ascii="Open Sans" w:hAnsi="Open Sans" w:cs="Open Sans"/>
        <w:color w:val="#231F20"/>
        <w:sz w:val="20"/>
        <w:szCs w:val="19"/>
        <w:b w:val="false"/>
        <w:bCs w:val="false"/>
        <w:i w:val="true"/>
        <w:iCs w:val="true"/>
      </w:rPr>
    </w:style>
    <w:style w:type="paragraph" w:styleId="006SousTitre" w:default="false">
      <w:name w:val="006_SousTitre"/>
      <w:next w:val="006_SousTitre"/>
      <w:uiPriority w:val="99"/>
      <w:basedOn w:val="Normal"/>
      <w:rPr>
        <w:rFonts w:ascii="Open Sans" w:hAnsi="Open Sans" w:cs="Open Sans"/>
        <w:color w:val="#231F20"/>
        <w:sz w:val="20"/>
        <w:szCs w:val="19"/>
        <w:b w:val="false"/>
        <w:bCs w:val="false"/>
        <w:i w:val="true"/>
        <w:iCs w:val="true"/>
      </w:rPr>
      <w:pPr>
        <w:spacing w:before="0" w:after="240"/>
        <w:ind w:start="0" w:end="0"/>
        <w:jc w:val="left"/>
      </w:pPr>
    </w:style>
    <w:style w:type="paragraph" w:styleId="006SousTitre" w:default="false">
      <w:name w:val="006_SousTitre"/>
      <w:next w:val="006_SousTitre"/>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GendocOriginal006SousTitre" w:default="false">
      <w:name w:val="Gendoc_Original_006_SousTitre"/>
      <w:next w:val="Gendoc_Original_006_SousTitre"/>
      <w:uiPriority w:val="99"/>
      <w:basedOn w:val="Normal"/>
      <w:semiHidden/>
    </w:style>
    <w:style w:type="paragraph" w:styleId="GendocOriginal006SousTitre" w:default="false">
      <w:name w:val="Gendoc_Original_006_SousTitre"/>
      <w:next w:val="Gendoc_Original_006_SousTitre"/>
      <w:uiPriority w:val="99"/>
      <w:basedOn w:val="Normal"/>
      <w:semiHidden/>
      <w:rPr>
        <w:rFonts w:ascii="Open Sans" w:hAnsi="Open Sans" w:cs="Open Sans"/>
        <w:color w:val="#231F20"/>
        <w:sz w:val="20"/>
        <w:szCs w:val="19"/>
        <w:b w:val="false"/>
        <w:bCs w:val="false"/>
        <w:i w:val="true"/>
        <w:iCs w:val="true"/>
      </w:rPr>
    </w:style>
    <w:style w:type="paragraph" w:styleId="GendocOriginal006SousTitre" w:default="false">
      <w:name w:val="Gendoc_Original_006_SousTitre"/>
      <w:next w:val="Gendoc_Original_006_SousTitre"/>
      <w:uiPriority w:val="99"/>
      <w:basedOn w:val="Normal"/>
      <w:semiHidden/>
      <w:rPr>
        <w:rFonts w:ascii="Open Sans" w:hAnsi="Open Sans" w:cs="Open Sans"/>
        <w:color w:val="#231F20"/>
        <w:sz w:val="20"/>
        <w:szCs w:val="19"/>
        <w:b w:val="false"/>
        <w:bCs w:val="false"/>
        <w:i w:val="true"/>
        <w:iCs w:val="true"/>
      </w:rPr>
      <w:pPr>
        <w:spacing w:before="0" w:after="240"/>
        <w:ind w:start="0" w:end="0"/>
        <w:jc w:val="left"/>
      </w:pPr>
    </w:style>
    <w:style w:type="paragraph" w:styleId="GendocOriginal006SousTitre" w:default="false">
      <w:name w:val="Gendoc_Original_006_SousTitre"/>
      <w:next w:val="Gendoc_Original_006_SousTitre"/>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007NomDesParties" w:default="false">
      <w:name w:val="007_NomDesParties"/>
      <w:next w:val="007_NomDesParties"/>
      <w:uiPriority w:val="99"/>
      <w:basedOn w:val="Normal"/>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ind w:start="0" w:end="0"/>
        <w:jc w:val="left"/>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GendocOriginal007NomDesParties" w:default="false">
      <w:name w:val="Gendoc_Original_007_NomDesParties"/>
      <w:next w:val="Gendoc_Original_007_NomDesParties"/>
      <w:uiPriority w:val="99"/>
      <w:basedOn w:val="Normal"/>
      <w:semiHidden/>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ind w:start="0" w:end="0"/>
        <w:jc w:val="left"/>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008CorpsDuTexte" w:default="false">
      <w:name w:val="008_CorpsDuTexte"/>
      <w:next w:val="008_CorpsDuTexte"/>
      <w:uiPriority w:val="99"/>
      <w:basedOn w:val="Normal"/>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ind w:start="0" w:end="0"/>
        <w:jc w:val="left"/>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GendocOriginal008CorpsDuTexte" w:default="false">
      <w:name w:val="Gendoc_Original_008_CorpsDuTexte"/>
      <w:next w:val="Gendoc_Original_008_CorpsDuTexte"/>
      <w:uiPriority w:val="99"/>
      <w:basedOn w:val="Normal"/>
      <w:semiHidden/>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ind w:start="0" w:end="0"/>
        <w:jc w:val="left"/>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009Boite" w:default="false">
      <w:name w:val="009_Boite"/>
      <w:next w:val="009_Boite"/>
      <w:uiPriority w:val="99"/>
      <w:basedOn w:val="Normal"/>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ind w:start="0" w:end="0"/>
        <w:jc w:val="left"/>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GendocOriginal009Boite" w:default="false">
      <w:name w:val="Gendoc_Original_009_Boite"/>
      <w:next w:val="Gendoc_Original_009_Boite"/>
      <w:uiPriority w:val="99"/>
      <w:basedOn w:val="Normal"/>
      <w:semiHidden/>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ind w:start="0" w:end="0"/>
        <w:jc w:val="left"/>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110Rappel" w:default="false">
      <w:name w:val="110_Rappel"/>
      <w:next w:val="110_Rappel"/>
      <w:uiPriority w:val="99"/>
      <w:basedOn w:val="Normal"/>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GendocOriginal110Rappel" w:default="false">
      <w:name w:val="Gendoc_Original_110_Rappel"/>
      <w:next w:val="Gendoc_Original_110_Rappel"/>
      <w:uiPriority w:val="99"/>
      <w:basedOn w:val="Normal"/>
      <w:semiHidden/>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Header" w:default="false">
      <w:name w:val="Header"/>
      <w:next w:val="Header"/>
      <w:uiPriority w:val="99"/>
      <w:basedOn w:val="Normal"/>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ind w:start="0" w:end="0"/>
        <w:jc w:val="left"/>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GendocOriginalHeader" w:default="false">
      <w:name w:val="Gendoc_Original_Header"/>
      <w:next w:val="Gendoc_Original_Header"/>
      <w:uiPriority w:val="99"/>
      <w:basedOn w:val="Normal"/>
      <w:semiHidden/>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ind w:start="0" w:end="0"/>
        <w:jc w:val="left"/>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002IDBig" w:default="false">
      <w:name w:val="002_ID_Big"/>
      <w:next w:val="002_ID_Big"/>
      <w:uiPriority w:val="99"/>
      <w:basedOn w:val="Normal"/>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ind w:start="0" w:end="0"/>
        <w:jc w:val="left"/>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GendocOriginal002IDBig" w:default="false">
      <w:name w:val="Gendoc_Original_002_ID_Big"/>
      <w:next w:val="Gendoc_Original_002_ID_Big"/>
      <w:uiPriority w:val="99"/>
      <w:basedOn w:val="Normal"/>
      <w:semiHidden/>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ind w:start="0" w:end="0"/>
        <w:jc w:val="left"/>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Bodytext" w:default="false">
      <w:name w:val="Body text"/>
      <w:next w:val="Body text"/>
      <w:uiPriority w:val="99"/>
      <w:basedOn w:val="Normal"/>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ind w:start="0" w:end="0"/>
        <w:jc w:val="left"/>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GendocOriginalBodytext" w:default="false">
      <w:name w:val="Gendoc_Original_Body text"/>
      <w:next w:val="Gendoc_Original_Body text"/>
      <w:uiPriority w:val="99"/>
      <w:basedOn w:val="Normal"/>
      <w:semiHidden/>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ind w:start="0" w:end="0"/>
        <w:jc w:val="left"/>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012StayConnected" w:default="false">
      <w:name w:val="012_StayConnected"/>
      <w:next w:val="012_StayConnected"/>
      <w:uiPriority w:val="99"/>
      <w:basedOn w:val="Normal"/>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GendocOriginal012StayConnected" w:default="false">
      <w:name w:val="Gendoc_Original_012_StayConnected"/>
      <w:next w:val="Gendoc_Original_012_StayConnected"/>
      <w:uiPriority w:val="99"/>
      <w:basedOn w:val="Normal"/>
      <w:semiHidden/>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50FootnoteNomFictif" w:default="false">
      <w:name w:val="50_Footnote_Nom_Fictif"/>
      <w:next w:val="50FootnoteNomFictif"/>
      <w:uiPriority w:val="99"/>
      <w:basedOn w:val="FootnoteText"/>
      <w:link w:val="Normal"/>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ind w:start="142" w:end="0"/>
        <w:jc w:val="both"/>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GendocOriginal50FootnoteNomFictif" w:default="false">
      <w:name w:val="Gendoc_Original_50_Footnote_Nom_Fictif"/>
      <w:next w:val="50FootnoteNomFictif"/>
      <w:uiPriority w:val="99"/>
      <w:basedOn w:val="FootnoteText"/>
      <w:link w:val="Normal"/>
      <w:semiHidden/>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ind w:start="142" w:end="0"/>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FootnoteText" w:default="false">
      <w:name w:val="Footnote Text"/>
      <w:next w:val="Footnote Text"/>
      <w:uiPriority w:val="99"/>
      <w:basedOn w:val="Normal"/>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ind w:start="0" w:end="0"/>
        <w:jc w:val="left"/>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GendocOriginalFootnoteText" w:default="false">
      <w:name w:val="Gendoc_Original_Footnote Text"/>
      <w:next w:val="Gendoc_Original_Footnote Text"/>
      <w:uiPriority w:val="99"/>
      <w:basedOn w:val="Normal"/>
      <w:semiHidden/>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ind w:start="0" w:end="0"/>
        <w:jc w:val="left"/>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011Footer" w:default="false">
      <w:name w:val="011_Footer"/>
      <w:next w:val="011_Footer"/>
      <w:uiPriority w:val="99"/>
      <w:basedOn w:val="Normal"/>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ind w:start="0" w:end="0"/>
        <w:jc w:val="left"/>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GendocOriginal011Footer" w:default="false">
      <w:name w:val="Gendoc_Original_011_Footer"/>
      <w:next w:val="Gendoc_Original_011_Footer"/>
      <w:uiPriority w:val="99"/>
      <w:basedOn w:val="Normal"/>
      <w:semiHidden/>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ind w:start="0" w:end="0"/>
        <w:jc w:val="left"/>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102ID" w:default="false">
      <w:name w:val="102_ID"/>
      <w:next w:val="102_ID"/>
      <w:uiPriority w:val="99"/>
      <w:basedOn w:val="Normal"/>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 w:default="false">
      <w:name w:val="Gendoc_Original_102_ID"/>
      <w:next w:val="Gendoc_Original_102_ID"/>
      <w:uiPriority w:val="99"/>
      <w:basedOn w:val="Normal"/>
      <w:semiHidden/>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2IDC" w:default="false">
      <w:name w:val="102_ID_C"/>
      <w:next w:val="102_ID_C"/>
      <w:uiPriority w:val="99"/>
      <w:basedOn w:val="Normal"/>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C" w:default="false">
      <w:name w:val="Gendoc_Original_102_ID_C"/>
      <w:next w:val="Gendoc_Original_102_ID_C"/>
      <w:uiPriority w:val="99"/>
      <w:basedOn w:val="Normal"/>
      <w:semiHidden/>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3DateC" w:default="false">
      <w:name w:val="103_Date_C"/>
      <w:next w:val="103_Date_C"/>
      <w:uiPriority w:val="99"/>
      <w:basedOn w:val="Normal"/>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ind w:start="45" w:end="0"/>
        <w:jc w:val="left"/>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GendocOriginal103DateC" w:default="false">
      <w:name w:val="Gendoc_Original_103_Date_C"/>
      <w:next w:val="Gendoc_Original_103_Date_C"/>
      <w:uiPriority w:val="99"/>
      <w:basedOn w:val="Normal"/>
      <w:semiHidden/>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ind w:start="45" w:end="0"/>
        <w:jc w:val="left"/>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103DateTitreC" w:default="false">
      <w:name w:val="103_Date_Titre_C"/>
      <w:next w:val="103_Date_Titre_C"/>
      <w:uiPriority w:val="99"/>
      <w:basedOn w:val="Normal"/>
    </w:style>
    <w:style w:type="paragraph" w:styleId="103DateTitreC" w:default="false">
      <w:name w:val="103_Date_Titre_C"/>
      <w:next w:val="103_Date_Titre_C"/>
      <w:uiPriority w:val="99"/>
      <w:basedOn w:val="Normal"/>
      <w:rPr>
        <w:rFonts w:ascii="Open Sans" w:hAnsi="Open Sans" w:cs="Open Sans"/>
        <w:color w:val="#851A15"/>
        <w:sz w:val="22"/>
        <w:szCs w:val="21"/>
        <w:b w:val="false"/>
        <w:bCs w:val="false"/>
        <w:i w:val="false"/>
        <w:iCs w:val="false"/>
      </w:rPr>
    </w:style>
    <w:style w:type="paragraph" w:styleId="103DateTitreC" w:default="false">
      <w:name w:val="103_Date_Titre_C"/>
      <w:next w:val="103_Date_Titre_C"/>
      <w:uiPriority w:val="99"/>
      <w:basedOn w:val="Normal"/>
      <w:rPr>
        <w:rFonts w:ascii="Open Sans" w:hAnsi="Open Sans" w:cs="Open Sans"/>
        <w:color w:val="#851A15"/>
        <w:sz w:val="22"/>
        <w:szCs w:val="21"/>
        <w:b w:val="false"/>
        <w:bCs w:val="false"/>
        <w:i w:val="false"/>
        <w:iCs w:val="false"/>
      </w:rPr>
      <w:pPr>
        <w:spacing w:before="54" w:after="0"/>
        <w:ind w:start="45" w:end="0"/>
        <w:jc w:val="left"/>
      </w:pPr>
    </w:style>
    <w:style w:type="paragraph" w:styleId="103DateTitreC" w:default="false">
      <w:name w:val="103_Date_Titre_C"/>
      <w:next w:val="103_Date_Titre_C"/>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GendocOriginal103DateTitreC" w:default="false">
      <w:name w:val="Gendoc_Original_103_Date_Titre_C"/>
      <w:next w:val="Gendoc_Original_103_Date_Titre_C"/>
      <w:uiPriority w:val="99"/>
      <w:basedOn w:val="Normal"/>
      <w:semiHidden/>
    </w:style>
    <w:style w:type="paragraph" w:styleId="GendocOriginal103DateTitreC" w:default="false">
      <w:name w:val="Gendoc_Original_103_Date_Titre_C"/>
      <w:next w:val="Gendoc_Original_103_Date_Titre_C"/>
      <w:uiPriority w:val="99"/>
      <w:basedOn w:val="Normal"/>
      <w:semiHidden/>
      <w:rPr>
        <w:rFonts w:ascii="Open Sans" w:hAnsi="Open Sans" w:cs="Open Sans"/>
        <w:color w:val="#851A15"/>
        <w:sz w:val="22"/>
        <w:szCs w:val="21"/>
        <w:b w:val="false"/>
        <w:bCs w:val="false"/>
        <w:i w:val="false"/>
        <w:iCs w:val="false"/>
      </w:rPr>
    </w:style>
    <w:style w:type="paragraph" w:styleId="GendocOriginal103DateTitreC" w:default="false">
      <w:name w:val="Gendoc_Original_103_Date_Titre_C"/>
      <w:next w:val="Gendoc_Original_103_Date_Titre_C"/>
      <w:uiPriority w:val="99"/>
      <w:basedOn w:val="Normal"/>
      <w:semiHidden/>
      <w:rPr>
        <w:rFonts w:ascii="Open Sans" w:hAnsi="Open Sans" w:cs="Open Sans"/>
        <w:color w:val="#851A15"/>
        <w:sz w:val="22"/>
        <w:szCs w:val="21"/>
        <w:b w:val="false"/>
        <w:bCs w:val="false"/>
        <w:i w:val="false"/>
        <w:iCs w:val="false"/>
      </w:rPr>
      <w:pPr>
        <w:spacing w:before="54" w:after="0"/>
        <w:ind w:start="45" w:end="0"/>
        <w:jc w:val="left"/>
      </w:pPr>
    </w:style>
    <w:style w:type="paragraph" w:styleId="GendocOriginal103DateTitreC" w:default="false">
      <w:name w:val="Gendoc_Original_103_Date_Titre_C"/>
      <w:next w:val="Gendoc_Original_103_Date_Titre_C"/>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102IDT" w:default="false">
      <w:name w:val="102_ID_T"/>
      <w:next w:val="102_ID_T"/>
      <w:uiPriority w:val="99"/>
      <w:basedOn w:val="Normal"/>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ind w:start="0" w:end="0"/>
        <w:jc w:val="left"/>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GendocOriginal102IDT" w:default="false">
      <w:name w:val="Gendoc_Original_102_ID_T"/>
      <w:next w:val="Gendoc_Original_102_ID_T"/>
      <w:uiPriority w:val="99"/>
      <w:basedOn w:val="Normal"/>
      <w:semiHidden/>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ind w:start="0" w:end="0"/>
        <w:jc w:val="left"/>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103DateT" w:default="false">
      <w:name w:val="103_Date_T"/>
      <w:next w:val="103_Date_T"/>
      <w:uiPriority w:val="99"/>
      <w:basedOn w:val="Normal"/>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ind w:start="45" w:end="0"/>
        <w:jc w:val="left"/>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GendocOriginal103DateT" w:default="false">
      <w:name w:val="Gendoc_Original_103_Date_T"/>
      <w:next w:val="Gendoc_Original_103_Date_T"/>
      <w:uiPriority w:val="99"/>
      <w:basedOn w:val="Normal"/>
      <w:semiHidden/>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ind w:start="45" w:end="0"/>
        <w:jc w:val="left"/>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103DateTitreT" w:default="false">
      <w:name w:val="103_Date_Titre_T"/>
      <w:next w:val="103_Date_Titre_T"/>
      <w:uiPriority w:val="99"/>
      <w:basedOn w:val="Normal"/>
    </w:style>
    <w:style w:type="paragraph" w:styleId="103DateTitreT" w:default="false">
      <w:name w:val="103_Date_Titre_T"/>
      <w:next w:val="103_Date_Titre_T"/>
      <w:uiPriority w:val="99"/>
      <w:basedOn w:val="Normal"/>
      <w:rPr>
        <w:rFonts w:ascii="Open Sans" w:hAnsi="Open Sans" w:cs="Open Sans"/>
        <w:color w:val="#3E516E"/>
        <w:sz w:val="22"/>
        <w:szCs w:val="21"/>
        <w:b w:val="false"/>
        <w:bCs w:val="false"/>
        <w:i w:val="false"/>
        <w:iCs w:val="false"/>
      </w:rPr>
    </w:style>
    <w:style w:type="paragraph" w:styleId="103DateTitreT" w:default="false">
      <w:name w:val="103_Date_Titre_T"/>
      <w:next w:val="103_Date_Titre_T"/>
      <w:uiPriority w:val="99"/>
      <w:basedOn w:val="Normal"/>
      <w:rPr>
        <w:rFonts w:ascii="Open Sans" w:hAnsi="Open Sans" w:cs="Open Sans"/>
        <w:color w:val="#3E516E"/>
        <w:sz w:val="22"/>
        <w:szCs w:val="21"/>
        <w:b w:val="false"/>
        <w:bCs w:val="false"/>
        <w:i w:val="false"/>
        <w:iCs w:val="false"/>
      </w:rPr>
      <w:pPr>
        <w:spacing w:before="54" w:after="0"/>
        <w:ind w:start="45" w:end="0"/>
        <w:jc w:val="left"/>
      </w:pPr>
    </w:style>
    <w:style w:type="paragraph" w:styleId="103DateTitreT" w:default="false">
      <w:name w:val="103_Date_Titre_T"/>
      <w:next w:val="103_Date_Titre_T"/>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GendocOriginal103DateTitreT" w:default="false">
      <w:name w:val="Gendoc_Original_103_Date_Titre_T"/>
      <w:next w:val="Gendoc_Original_103_Date_Titre_T"/>
      <w:uiPriority w:val="99"/>
      <w:basedOn w:val="Normal"/>
      <w:semiHidden/>
    </w:style>
    <w:style w:type="paragraph" w:styleId="GendocOriginal103DateTitreT" w:default="false">
      <w:name w:val="Gendoc_Original_103_Date_Titre_T"/>
      <w:next w:val="Gendoc_Original_103_Date_Titre_T"/>
      <w:uiPriority w:val="99"/>
      <w:basedOn w:val="Normal"/>
      <w:semiHidden/>
      <w:rPr>
        <w:rFonts w:ascii="Open Sans" w:hAnsi="Open Sans" w:cs="Open Sans"/>
        <w:color w:val="#3E516E"/>
        <w:sz w:val="22"/>
        <w:szCs w:val="21"/>
        <w:b w:val="false"/>
        <w:bCs w:val="false"/>
        <w:i w:val="false"/>
        <w:iCs w:val="false"/>
      </w:rPr>
    </w:style>
    <w:style w:type="paragraph" w:styleId="GendocOriginal103DateTitreT" w:default="false">
      <w:name w:val="Gendoc_Original_103_Date_Titre_T"/>
      <w:next w:val="Gendoc_Original_103_Date_Titre_T"/>
      <w:uiPriority w:val="99"/>
      <w:basedOn w:val="Normal"/>
      <w:semiHidden/>
      <w:rPr>
        <w:rFonts w:ascii="Open Sans" w:hAnsi="Open Sans" w:cs="Open Sans"/>
        <w:color w:val="#3E516E"/>
        <w:sz w:val="22"/>
        <w:szCs w:val="21"/>
        <w:b w:val="false"/>
        <w:bCs w:val="false"/>
        <w:i w:val="false"/>
        <w:iCs w:val="false"/>
      </w:rPr>
      <w:pPr>
        <w:spacing w:before="54" w:after="0"/>
        <w:ind w:start="45" w:end="0"/>
        <w:jc w:val="left"/>
      </w:pPr>
    </w:style>
    <w:style w:type="paragraph" w:styleId="GendocOriginal103DateTitreT" w:default="false">
      <w:name w:val="Gendoc_Original_103_Date_Titre_T"/>
      <w:next w:val="Gendoc_Original_103_Date_Titre_T"/>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102IDI" w:default="false">
      <w:name w:val="102_ID_I"/>
      <w:next w:val="102_ID_I"/>
      <w:uiPriority w:val="99"/>
      <w:basedOn w:val="Normal"/>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ind w:start="0" w:end="0"/>
        <w:jc w:val="left"/>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GendocOriginal102IDI" w:default="false">
      <w:name w:val="Gendoc_Original_102_ID_I"/>
      <w:next w:val="Gendoc_Original_102_ID_I"/>
      <w:uiPriority w:val="99"/>
      <w:basedOn w:val="Normal"/>
      <w:semiHidden/>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ind w:start="0" w:end="0"/>
        <w:jc w:val="left"/>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103DateI" w:default="false">
      <w:name w:val="103_Date_I"/>
      <w:next w:val="103_Date_I"/>
      <w:uiPriority w:val="99"/>
      <w:basedOn w:val="Normal"/>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ind w:start="45" w:end="0"/>
        <w:jc w:val="left"/>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GendocOriginal103DateI" w:default="false">
      <w:name w:val="Gendoc_Original_103_Date_I"/>
      <w:next w:val="Gendoc_Original_103_Date_I"/>
      <w:uiPriority w:val="99"/>
      <w:basedOn w:val="Normal"/>
      <w:semiHidden/>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ind w:start="45" w:end="0"/>
        <w:jc w:val="left"/>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103DateTitreI" w:default="false">
      <w:name w:val="103_Date_Titre_I"/>
      <w:next w:val="103_Date_Titre_I"/>
      <w:uiPriority w:val="99"/>
      <w:basedOn w:val="Normal"/>
    </w:style>
    <w:style w:type="paragraph" w:styleId="103DateTitreI" w:default="false">
      <w:name w:val="103_Date_Titre_I"/>
      <w:next w:val="103_Date_Titre_I"/>
      <w:uiPriority w:val="99"/>
      <w:basedOn w:val="Normal"/>
      <w:rPr>
        <w:rFonts w:ascii="Open Sans" w:hAnsi="Open Sans" w:cs="Open Sans"/>
        <w:color w:val="#725922"/>
        <w:sz w:val="22"/>
        <w:szCs w:val="21"/>
        <w:b w:val="false"/>
        <w:bCs w:val="false"/>
        <w:i w:val="false"/>
        <w:iCs w:val="false"/>
      </w:rPr>
    </w:style>
    <w:style w:type="paragraph" w:styleId="103DateTitreI" w:default="false">
      <w:name w:val="103_Date_Titre_I"/>
      <w:next w:val="103_Date_Titre_I"/>
      <w:uiPriority w:val="99"/>
      <w:basedOn w:val="Normal"/>
      <w:rPr>
        <w:rFonts w:ascii="Open Sans" w:hAnsi="Open Sans" w:cs="Open Sans"/>
        <w:color w:val="#725922"/>
        <w:sz w:val="22"/>
        <w:szCs w:val="21"/>
        <w:b w:val="false"/>
        <w:bCs w:val="false"/>
        <w:i w:val="false"/>
        <w:iCs w:val="false"/>
      </w:rPr>
      <w:pPr>
        <w:spacing w:before="54" w:after="0"/>
        <w:ind w:start="45" w:end="0"/>
        <w:jc w:val="left"/>
      </w:pPr>
    </w:style>
    <w:style w:type="paragraph" w:styleId="103DateTitreI" w:default="false">
      <w:name w:val="103_Date_Titre_I"/>
      <w:next w:val="103_Date_Titre_I"/>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pPr>
    </w:style>
    <w:style w:type="paragraph" w:styleId="GendocOriginal103DateTitreI" w:default="false">
      <w:name w:val="Gendoc_Original_103_Date_Titre_I"/>
      <w:next w:val="Gendoc_Original_103_Date_Titre_I"/>
      <w:uiPriority w:val="99"/>
      <w:basedOn w:val="Normal"/>
      <w:semiHidden/>
    </w:style>
    <w:style w:type="paragraph" w:styleId="GendocOriginal103DateTitreI" w:default="false">
      <w:name w:val="Gendoc_Original_103_Date_Titre_I"/>
      <w:next w:val="Gendoc_Original_103_Date_Titre_I"/>
      <w:uiPriority w:val="99"/>
      <w:basedOn w:val="Normal"/>
      <w:semiHidden/>
      <w:rPr>
        <w:rFonts w:ascii="Open Sans" w:hAnsi="Open Sans" w:cs="Open Sans"/>
        <w:color w:val="#725922"/>
        <w:sz w:val="22"/>
        <w:szCs w:val="21"/>
        <w:b w:val="false"/>
        <w:bCs w:val="false"/>
        <w:i w:val="false"/>
        <w:iCs w:val="false"/>
      </w:rPr>
    </w:style>
    <w:style w:type="paragraph" w:styleId="GendocOriginal103DateTitreI" w:default="false">
      <w:name w:val="Gendoc_Original_103_Date_Titre_I"/>
      <w:next w:val="Gendoc_Original_103_Date_Titre_I"/>
      <w:uiPriority w:val="99"/>
      <w:basedOn w:val="Normal"/>
      <w:semiHidden/>
      <w:rPr>
        <w:rFonts w:ascii="Open Sans" w:hAnsi="Open Sans" w:cs="Open Sans"/>
        <w:color w:val="#725922"/>
        <w:sz w:val="22"/>
        <w:szCs w:val="21"/>
        <w:b w:val="false"/>
        <w:bCs w:val="false"/>
        <w:i w:val="false"/>
        <w:iCs w:val="false"/>
      </w:rPr>
      <w:pPr>
        <w:spacing w:before="54" w:after="0"/>
        <w:ind w:start="45" w:end="0"/>
        <w:jc w:val="left"/>
      </w:pPr>
    </w:style>
    <w:style w:type="paragraph" w:styleId="GendocOriginal103DateTitreI" w:default="false">
      <w:name w:val="Gendoc_Original_103_Date_Titre_I"/>
      <w:next w:val="Gendoc_Original_103_Date_Titre_I"/>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pPr>
    </w:style>
    <w:style w:type="table" w:styleId="TableNoBorder" w:default="false">
      <w:name w:val="TableNoBorder"/>
      <w:next w:val="TableNoBorder"/>
      <w:uiPriority w:val="99"/>
      <w:basedOn w:val="TableNormal"/>
    </w:style>
    <w:style w:type="table" w:styleId="GendocOriginalTableNoBorder" w:default="false">
      <w:name w:val="Gendoc_Original_TableNoBorder"/>
      <w:next w:val="Gendoc_Original_TableNoBorder"/>
      <w:uiPriority w:val="99"/>
      <w:basedOn w:val="TableNormal"/>
      <w:semiHidden/>
    </w:style>
  </w:styles>
</BackupStylesWithEffects>
</file>

<file path=customXml/item9.xml><?xml version="1.0" encoding="utf-8"?>
<OriginalStyles>
  <OriginalStyle Tag="ccTag24" StyleId="Normal" AuthorizedChange="true">Normal</OriginalStyle>
  <OriginalStyle Tag="ccTag22" StyleId="011Footer" AuthorizedChange="false">011_Footer</OriginalStyle>
  <OriginalStyle Tag="ccTag23" StyleId="011Footer" AuthorizedChange="false">011_Footer</OriginalStyle>
</OriginalStyles>
</file>

<file path=customXml/itemProps1.xml><?xml version="1.0" encoding="utf-8"?>
<ds:datastoreItem xmlns:ds="http://schemas.openxmlformats.org/officeDocument/2006/customXml" ds:itemID="{EF9E0061-131F-4DAB-AE9E-4EEBEC026D5B}">
  <ds:schemaRefs/>
</ds:datastoreItem>
</file>

<file path=customXml/itemProps10.xml><?xml version="1.0" encoding="utf-8"?>
<ds:datastoreItem xmlns:ds="http://schemas.openxmlformats.org/officeDocument/2006/customXml" ds:itemID="{B68C8780-F3EA-4AE3-9FD9-A8C82D548F3F}">
  <ds:schemaRefs/>
</ds:datastoreItem>
</file>

<file path=customXml/itemProps11.xml><?xml version="1.0" encoding="utf-8"?>
<ds:datastoreItem xmlns:ds="http://schemas.openxmlformats.org/officeDocument/2006/customXml" ds:itemID="{330EBD51-0937-4EBD-AF63-86645C0A625F}">
  <ds:schemaRefs/>
</ds:datastoreItem>
</file>

<file path=customXml/itemProps12.xml><?xml version="1.0" encoding="utf-8"?>
<ds:datastoreItem xmlns:ds="http://schemas.openxmlformats.org/officeDocument/2006/customXml" ds:itemID="{23214A9F-CB89-40FC-B85E-76D9ACCEFDDC}">
  <ds:schemaRefs>
    <ds:schemaRef ds:uri="http://schemas.openxmlformats.org/markup-compatibility/2006"/>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microsoft.com/office/word/2018/wordml/cex"/>
    <ds:schemaRef ds:uri="http://schemas.microsoft.com/office/word/2016/wordml/cid"/>
    <ds:schemaRef ds:uri="http://schemas.microsoft.com/office/word/2018/wordml"/>
    <ds:schemaRef ds:uri="http://schemas.microsoft.com/office/word/2020/wordml/sdtdatahash"/>
    <ds:schemaRef ds:uri="http://schemas.microsoft.com/office/word/2015/wordml/symex"/>
  </ds:schemaRefs>
</ds:datastoreItem>
</file>

<file path=customXml/itemProps2.xml><?xml version="1.0" encoding="utf-8"?>
<ds:datastoreItem xmlns:ds="http://schemas.openxmlformats.org/officeDocument/2006/customXml" ds:itemID="{1CFBBB2F-24FE-4071-B6D9-D45C0BAD3850}">
  <ds:schemaRefs/>
</ds:datastoreItem>
</file>

<file path=customXml/itemProps3.xml><?xml version="1.0" encoding="utf-8"?>
<ds:datastoreItem xmlns:ds="http://schemas.openxmlformats.org/officeDocument/2006/customXml" ds:itemID="{8E8F649F-56AB-4E9D-9CA0-8401C31BA309}">
  <ds:schemaRefs>
    <ds:schemaRef ds:uri="http://www.w3.org/2001/XMLSchema"/>
  </ds:schemaRefs>
</ds:datastoreItem>
</file>

<file path=customXml/itemProps4.xml><?xml version="1.0" encoding="utf-8"?>
<ds:datastoreItem xmlns:ds="http://schemas.openxmlformats.org/officeDocument/2006/customXml" ds:itemID="{258B0BF6-3596-4FF9-8ABB-484A8ACF00EF}">
  <ds:schemaRefs/>
</ds:datastoreItem>
</file>

<file path=customXml/itemProps5.xml><?xml version="1.0" encoding="utf-8"?>
<ds:datastoreItem xmlns:ds="http://schemas.openxmlformats.org/officeDocument/2006/customXml" ds:itemID="{1FA3B08B-AEF7-409C-A632-A677C75EBB86}">
  <ds:schemaRefs/>
</ds:datastoreItem>
</file>

<file path=customXml/itemProps6.xml><?xml version="1.0" encoding="utf-8"?>
<ds:datastoreItem xmlns:ds="http://schemas.openxmlformats.org/officeDocument/2006/customXml" ds:itemID="{8681269A-7E26-48DB-9715-F3C9E2A23C81}">
  <ds:schemaRefs/>
</ds:datastoreItem>
</file>

<file path=customXml/itemProps7.xml><?xml version="1.0" encoding="utf-8"?>
<ds:datastoreItem xmlns:ds="http://schemas.openxmlformats.org/officeDocument/2006/customXml" ds:itemID="{4339CCF3-83AC-493A-AAFF-C583F4738B80}">
  <ds:schemaRefs/>
</ds:datastoreItem>
</file>

<file path=customXml/itemProps8.xml><?xml version="1.0" encoding="utf-8"?>
<ds:datastoreItem xmlns:ds="http://schemas.openxmlformats.org/officeDocument/2006/customXml" ds:itemID="{5CE4F1DA-8425-4AAB-ADBB-39510FA35460}">
  <ds:schemaRefs>
    <ds:schemaRef ds:uri="http://schemas.openxmlformats.org/wordprocessingml/2006/main"/>
  </ds:schemaRefs>
</ds:datastoreItem>
</file>

<file path=customXml/itemProps9.xml><?xml version="1.0" encoding="utf-8"?>
<ds:datastoreItem xmlns:ds="http://schemas.openxmlformats.org/officeDocument/2006/customXml" ds:itemID="{6A03D451-61CD-4F0E-AEC2-4219666D704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1465</Words>
  <Characters>8061</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svc_wsgendoc</dc:creator>
  <cp:lastModifiedBy>Marcu Adrian</cp:lastModifiedBy>
  <cp:revision>5</cp:revision>
  <dcterms:created xsi:type="dcterms:W3CDTF">2026-09-07T08:19:00Z</dcterms:created>
  <dcterms:modified xsi:type="dcterms:W3CDTF">2026-09-08T07:31:00Z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doc_User">
    <vt:lpwstr>svc_wsgendoc</vt:lpwstr>
  </property>
  <property fmtid="{D5CDD505-2E9C-101B-9397-08002B2CF9AE}" pid="3" name="Gendoc_GenerationDate">
    <vt:filetime>2026-09-04T13:51:24Z</vt:filetime>
  </property>
  <property fmtid="{D5CDD505-2E9C-101B-9397-08002B2CF9AE}" pid="4" name="Created">
    <vt:lpwstr>GenDoc04-09-26 13:51:24</vt:lpwstr>
  </property>
  <property fmtid="{D5CDD505-2E9C-101B-9397-08002B2CF9AE}" pid="5" name="Gendoc_GendocTemplateType">
    <vt:lpwstr>COM_PRESS</vt:lpwstr>
  </property>
  <property fmtid="{D5CDD505-2E9C-101B-9397-08002B2CF9AE}" pid="6" name="Gendoc_Juridiction">
    <vt:lpwstr>C</vt:lpwstr>
  </property>
  <property fmtid="{D5CDD505-2E9C-101B-9397-08002B2CF9AE}" pid="7" name="Juridiction">
    <vt:lpwstr>C</vt:lpwstr>
  </property>
  <property fmtid="{D5CDD505-2E9C-101B-9397-08002B2CF9AE}" pid="8" name="Gendoc_CaseNumber">
    <vt:lpwstr>0163</vt:lpwstr>
  </property>
  <property fmtid="{D5CDD505-2E9C-101B-9397-08002B2CF9AE}" pid="9" name="NumeroOrdre">
    <vt:lpwstr>0163</vt:lpwstr>
  </property>
  <property fmtid="{D5CDD505-2E9C-101B-9397-08002B2CF9AE}" pid="10" name="Gendoc_CaseYear">
    <vt:i4>2024</vt:i4>
  </property>
  <property fmtid="{D5CDD505-2E9C-101B-9397-08002B2CF9AE}" pid="11" name="Annee">
    <vt:lpwstr>2024</vt:lpwstr>
  </property>
  <property fmtid="{D5CDD505-2E9C-101B-9397-08002B2CF9AE}" pid="12" name="Gendoc_CaseNature">
    <vt:lpwstr>RP</vt:lpwstr>
  </property>
  <property fmtid="{D5CDD505-2E9C-101B-9397-08002B2CF9AE}" pid="13" name="NatureAff">
    <vt:lpwstr>RP</vt:lpwstr>
  </property>
  <property fmtid="{D5CDD505-2E9C-101B-9397-08002B2CF9AE}" pid="14" name="Gendoc_NumberSuite">
    <vt:lpwstr>0001</vt:lpwstr>
  </property>
  <property fmtid="{D5CDD505-2E9C-101B-9397-08002B2CF9AE}" pid="15" name="NumSuite">
    <vt:lpwstr>0001</vt:lpwstr>
  </property>
  <property fmtid="{D5CDD505-2E9C-101B-9397-08002B2CF9AE}" pid="16" name="Gendoc_ProcedureType">
    <vt:lpwstr>P</vt:lpwstr>
  </property>
  <property fmtid="{D5CDD505-2E9C-101B-9397-08002B2CF9AE}" pid="17" name="TypeProc">
    <vt:lpwstr>P</vt:lpwstr>
  </property>
  <property fmtid="{D5CDD505-2E9C-101B-9397-08002B2CF9AE}" pid="18" name="Gendoc_ProcedureNumber">
    <vt:i4>1</vt:i4>
  </property>
  <property fmtid="{D5CDD505-2E9C-101B-9397-08002B2CF9AE}" pid="19" name="NumProc">
    <vt:lpwstr>1</vt:lpwstr>
  </property>
  <property fmtid="{D5CDD505-2E9C-101B-9397-08002B2CF9AE}" pid="20" name="Gendoc_EditionType">
    <vt:lpwstr>Final</vt:lpwstr>
  </property>
  <property fmtid="{D5CDD505-2E9C-101B-9397-08002B2CF9AE}" pid="21" name="Gendoc_LastVerificationDate">
    <vt:lpwstr/>
  </property>
  <property fmtid="{D5CDD505-2E9C-101B-9397-08002B2CF9AE}" pid="22" name="Gendoc_LastVerificationStatus">
    <vt:lpwstr/>
  </property>
  <property fmtid="{D5CDD505-2E9C-101B-9397-08002B2CF9AE}" pid="23" name="Canevas3_Vademecum">
    <vt:i4>0</vt:i4>
  </property>
  <property fmtid="{D5CDD505-2E9C-101B-9397-08002B2CF9AE}" pid="24" name="ReadyToPublish">
    <vt:lpwstr/>
  </property>
  <property fmtid="{D5CDD505-2E9C-101B-9397-08002B2CF9AE}" pid="25" name="GenDoc_version">
    <vt:lpwstr>2025_1</vt:lpwstr>
  </property>
  <property fmtid="{D5CDD505-2E9C-101B-9397-08002B2CF9AE}" pid="26" name="EP_Version">
    <vt:i4>0</vt:i4>
  </property>
  <property fmtid="{D5CDD505-2E9C-101B-9397-08002B2CF9AE}" pid="27" name="EP_Mode">
    <vt:i4>1</vt:i4>
  </property>
  <property fmtid="{D5CDD505-2E9C-101B-9397-08002B2CF9AE}" pid="28" name="DocumentIdentifier">
    <vt:lpwstr>3bc637074f894370a9765a29ddd0d6de</vt:lpwstr>
  </property>
  <property fmtid="{D5CDD505-2E9C-101B-9397-08002B2CF9AE}" pid="29" name="TypeDoc">
    <vt:lpwstr>ARR_C</vt:lpwstr>
  </property>
  <property fmtid="{D5CDD505-2E9C-101B-9397-08002B2CF9AE}" pid="30" name="IsFlattened">
    <vt:bool>true</vt:bool>
  </property>
  <property fmtid="{D5CDD505-2E9C-101B-9397-08002B2CF9AE}" pid="31" name="Generation_In_Progress">
    <vt:lpwstr>false</vt:lpwstr>
  </property>
  <property fmtid="{D5CDD505-2E9C-101B-9397-08002B2CF9AE}" pid="32" name="CreateCustomParts">
    <vt:bool>false</vt:bool>
  </property>
  <property fmtid="{D5CDD505-2E9C-101B-9397-08002B2CF9AE}" pid="33" name="SdlIdentifier">
    <vt:lpwstr>ImportedWithoutSource</vt:lpwstr>
  </property>
  <property fmtid="{D5CDD505-2E9C-101B-9397-08002B2CF9AE}" pid="34" name="Gendoc_DGTGenerated">
    <vt:bool>true</vt:bool>
  </property>
  <property fmtid="{D5CDD505-2E9C-101B-9397-08002B2CF9AE}" pid="35" name="Gendoc_DGTGeneratedDate">
    <vt:filetime>2026-09-04T13:51:25Z</vt:filetime>
  </property>
  <property fmtid="{D5CDD505-2E9C-101B-9397-08002B2CF9AE}" pid="36" name="Gendoc_DGTGeneratedUser">
    <vt:lpwstr/>
  </property>
  <property fmtid="{D5CDD505-2E9C-101B-9397-08002B2CF9AE}" pid="37" name="Gendoc_Lang">
    <vt:lpwstr>cs-CZ</vt:lpwstr>
  </property>
  <property fmtid="{D5CDD505-2E9C-101B-9397-08002B2CF9AE}" pid="38" name="Gendoc_LangCode">
    <vt:lpwstr>cs</vt:lpwstr>
  </property>
  <property fmtid="{D5CDD505-2E9C-101B-9397-08002B2CF9AE}" pid="39" name="Langue">
    <vt:lpwstr>CS</vt:lpwstr>
  </property>
  <property fmtid="{D5CDD505-2E9C-101B-9397-08002B2CF9AE}" pid="40" name="Gendoc_Vademecum">
    <vt:i4>2016</vt:i4>
  </property>
  <property fmtid="{D5CDD505-2E9C-101B-9397-08002B2CF9AE}" pid="41" name="WithoutAuthorBlock">
    <vt:lpwstr>TRUE</vt:lpwstr>
  </property>
  <property fmtid="{D5CDD505-2E9C-101B-9397-08002B2CF9AE}" pid="42" name="WithoutAuthorBlockFlatP">
    <vt:lpwstr>TRUE</vt:lpwstr>
  </property>
</Properties>
</file>