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D633F" w14:textId="77777777" w:rsidR="00800D1A" w:rsidRDefault="00800D1A">
      <w:pPr>
        <w:pStyle w:val="BodyText"/>
      </w:pPr>
    </w:p>
    <w:p w14:paraId="42D5531C" w14:textId="0E8D3B6F" w:rsidR="00800D1A" w:rsidRDefault="00CC1343">
      <w:pPr>
        <w:pStyle w:val="102IDC"/>
      </w:pPr>
      <w:r>
        <w:rPr>
          <w:b/>
        </w:rPr>
        <w:t>Domme</w:t>
      </w:r>
      <w:r>
        <w:t xml:space="preserve"> ved Domstolen</w:t>
      </w:r>
    </w:p>
    <w:p w14:paraId="0CE23051" w14:textId="7A648143" w:rsidR="00800D1A" w:rsidRPr="00E044E7" w:rsidRDefault="008332C9">
      <w:pPr>
        <w:pStyle w:val="102IDC"/>
      </w:pPr>
      <w:r>
        <w:t>i sag C</w:t>
      </w:r>
      <w:r w:rsidR="00255F08" w:rsidRPr="00255F08">
        <w:t>-</w:t>
      </w:r>
      <w:r>
        <w:t xml:space="preserve">163/24 | Statul Român – Ministerul Finanţelor Publice </w:t>
      </w:r>
      <w:r w:rsidR="004C03D0">
        <w:t>og</w:t>
      </w:r>
      <w:r>
        <w:t xml:space="preserve"> Curtea de Apel Bucureşti</w:t>
      </w:r>
      <w:r w:rsidR="006A7573">
        <w:t xml:space="preserve"> og </w:t>
      </w:r>
      <w:r w:rsidR="00F87F22">
        <w:t xml:space="preserve">i </w:t>
      </w:r>
      <w:r w:rsidR="006A7573">
        <w:t>sag C-293/24</w:t>
      </w:r>
      <w:r w:rsidR="00E044E7">
        <w:t xml:space="preserve"> | Ferreira </w:t>
      </w:r>
      <w:r w:rsidR="005D796C">
        <w:t xml:space="preserve">da </w:t>
      </w:r>
      <w:r w:rsidR="00E044E7">
        <w:t>Silva e Brito m.fl.</w:t>
      </w:r>
    </w:p>
    <w:p w14:paraId="5C64506A" w14:textId="77777777" w:rsidR="00800D1A" w:rsidRDefault="00800D1A">
      <w:pPr>
        <w:pStyle w:val="102ID"/>
      </w:pPr>
    </w:p>
    <w:sdt>
      <w:sdtPr>
        <w:alias w:val=""/>
        <w:tag w:val="DateTC_YBoCXDSiREG6sOy6ucHC+g=="/>
        <w:id w:val="3"/>
      </w:sdtPr>
      <w:sdtEndPr/>
      <w:sdtContent>
        <w:p w14:paraId="0F6DED2B" w14:textId="3F32ECD2" w:rsidR="00800D1A" w:rsidRDefault="008332C9">
          <w:pPr>
            <w:pStyle w:val="103DateTitreC"/>
          </w:pPr>
          <w:r>
            <w:t xml:space="preserve">Pressemeddelelse </w:t>
          </w:r>
          <w:r w:rsidR="00255F08" w:rsidRPr="00255F08">
            <w:t>nr. </w:t>
          </w:r>
          <w:r w:rsidR="00CC1343">
            <w:t>XXX</w:t>
          </w:r>
          <w:r>
            <w:t>/26</w:t>
          </w:r>
        </w:p>
      </w:sdtContent>
    </w:sdt>
    <w:sdt>
      <w:sdtPr>
        <w:alias w:val="Date clôture"/>
        <w:tag w:val="DateTC_3sCkQBSRy0+QM76sNrBIkQ=="/>
        <w:id w:val="4"/>
      </w:sdtPr>
      <w:sdtEndPr/>
      <w:sdtContent>
        <w:p w14:paraId="07304B5D" w14:textId="1F3E1A58" w:rsidR="00800D1A" w:rsidRDefault="008332C9">
          <w:pPr>
            <w:pStyle w:val="103DateC"/>
          </w:pPr>
          <w:r>
            <w:t>Luxembourg den 8. september 2026</w:t>
          </w:r>
        </w:p>
      </w:sdtContent>
    </w:sdt>
    <w:p w14:paraId="62C7DFDD" w14:textId="77777777" w:rsidR="00800D1A" w:rsidRDefault="00800D1A">
      <w:pPr>
        <w:pStyle w:val="Footer"/>
      </w:pPr>
    </w:p>
    <w:p w14:paraId="28E3FA27" w14:textId="72EAFA1A" w:rsidR="00800D1A" w:rsidRDefault="0091126B">
      <w:pPr>
        <w:pStyle w:val="005Titre"/>
      </w:pPr>
      <w:r>
        <w:t>A</w:t>
      </w:r>
      <w:r w:rsidR="00AF16FE">
        <w:t>nsvar for tilsidesættelse af EU-retten: Domstolen præciserer betingelserne for, at en borger kan opnå erstatning som følge af en retsafgørelse, der er i strid med EU-retten</w:t>
      </w:r>
    </w:p>
    <w:p w14:paraId="66669B03" w14:textId="77777777" w:rsidR="00AF16FE" w:rsidRDefault="00AF16FE" w:rsidP="00AF16FE">
      <w:pPr>
        <w:pStyle w:val="006SousTitre"/>
      </w:pPr>
      <w:r>
        <w:t>Den bekræfter bl.a., at den tilsidesatte bestemmelse skal tillægge borgerne rettigheder, og at den nationale domstols fejlagtige undladelse af at anmode Domstolen om en fortolkning af denne bestemmelse kan bidrage til at fastslå ansvaret</w:t>
      </w:r>
    </w:p>
    <w:p w14:paraId="0955AF6A" w14:textId="4BD02009" w:rsidR="00AF16FE" w:rsidRPr="00992211" w:rsidRDefault="00AF16FE" w:rsidP="00AF16FE">
      <w:pPr>
        <w:pStyle w:val="008CorpsDuTexte"/>
        <w:pBdr>
          <w:top w:val="single" w:sz="4" w:space="1" w:color="auto"/>
          <w:left w:val="single" w:sz="4" w:space="4" w:color="auto"/>
          <w:bottom w:val="single" w:sz="4" w:space="1" w:color="auto"/>
          <w:right w:val="single" w:sz="4" w:space="4" w:color="auto"/>
        </w:pBdr>
      </w:pPr>
      <w:r>
        <w:t xml:space="preserve">I to domme afsagt i dag uddyber Domstolen sin retspraksis vedrørende medlemsstaternes ansvar for tilsidesættelser af EU-retten begået af en national domstol i sidste instans ved at præcisere rollen for tilsidesættelsen af pligten til præjudiciel forelæggelse. I en rumænsk sag gør Domstolen det således klart, at et sådant ansvar kun kan pålægges, hvis tilsidesættelsen af forelæggelsespligten er ledsaget af en tilsidesættelse af en anden EU-retlig bestemmelse, der har </w:t>
      </w:r>
      <w:bookmarkStart w:id="0" w:name="_Hlk238801361"/>
      <w:r>
        <w:t>til formål at tillægge borgerne rettigheder</w:t>
      </w:r>
      <w:bookmarkEnd w:id="0"/>
      <w:r>
        <w:t xml:space="preserve">. Dette </w:t>
      </w:r>
      <w:r w:rsidR="002F2A52">
        <w:t>e</w:t>
      </w:r>
      <w:r>
        <w:t>r imidlertid ikke tilfældet i den foreliggende sag, idet de omhandlede regler vedrørende den nøjagtige identificering af landbrugsarealer forfølger</w:t>
      </w:r>
      <w:r w:rsidR="002F2A52">
        <w:t xml:space="preserve"> </w:t>
      </w:r>
      <w:r>
        <w:t>mål</w:t>
      </w:r>
      <w:r w:rsidR="002F2A52">
        <w:t>et</w:t>
      </w:r>
      <w:r>
        <w:t xml:space="preserve"> af almen interesse</w:t>
      </w:r>
      <w:r w:rsidR="002F2A52">
        <w:t xml:space="preserve"> om</w:t>
      </w:r>
      <w:r>
        <w:t xml:space="preserve"> at beskytte Unionens finansielle interesser. I en portugisisk sag havde de omhandlede regler, som blev anvendt forkert i en dom fra 2009 fra den øverste nationale domstol, faktisk et sådant formål, idet de beskytter arbejdstagerne i forbindelse med overførsel af en bedrift. Domstolen bemærker, at det påhviler den forelæggende ret at undersøge, om denne dom udgør en tilstrækkelig kvalificeret tilsidesættelse af EU-retten, hvilket er en af betingelserne for, at en medlemsstat ifalder ansvar for en tilsidesættelse af nævnte ret begået af en af dens retsinstanser, der træffer afgørelse i sidste instans. Den fremhæver imidlertid visse elementer, som den betegner som afgørende for denne vurdering, hvilket tyder på, at denne betingelse faktisk er opfyldt i hovedsagen.</w:t>
      </w:r>
    </w:p>
    <w:p w14:paraId="37372982" w14:textId="6977763A" w:rsidR="00AF16FE" w:rsidRDefault="00AF16FE" w:rsidP="00AF16FE">
      <w:pPr>
        <w:pStyle w:val="008CorpsDuTexte"/>
      </w:pPr>
      <w:r>
        <w:rPr>
          <w:b/>
          <w:bCs/>
        </w:rPr>
        <w:t>I sag C-163/24</w:t>
      </w:r>
      <w:r>
        <w:t xml:space="preserve"> ansøgte en rumænsk landbruger i 2007 om landbrugsstøtte for et areal på 264,71 ha. Efter en kontrol vurderede den kompetente rumænske myndighed, at det reelle støtteberettigede areal kun var på 180,62 ha</w:t>
      </w:r>
      <w:r w:rsidR="005F69DF">
        <w:t>,</w:t>
      </w:r>
      <w:r>
        <w:t xml:space="preserve"> og afslog landbrugerens ansøgning. De forskellige søgsmål til prøvelse af denne afgørelse blev forkastet, idet appeldomstolen i Bukarest i 2012 havde afslået at anmode Domstolen om en fortolkning af forordningen om</w:t>
      </w:r>
      <w:bookmarkStart w:id="1" w:name="_Hlk238813532"/>
      <w:r w:rsidR="002F2A52">
        <w:t xml:space="preserve"> </w:t>
      </w:r>
      <w:r>
        <w:t>det integrerede system for forvaltning og kontrol af landbrugsstøtte</w:t>
      </w:r>
      <w:bookmarkEnd w:id="1"/>
      <w:r w:rsidR="00255F08" w:rsidRPr="00255F08">
        <w:t> </w:t>
      </w:r>
      <w:r w:rsidR="00255F08" w:rsidRPr="00255F08">
        <w:rPr>
          <w:rStyle w:val="EndnoteReference"/>
          <w:bCs/>
          <w:iCs/>
        </w:rPr>
        <w:endnoteReference w:id="1"/>
      </w:r>
      <w:r>
        <w:t xml:space="preserve">. Landbrugeren anlagde herefter en erstatningssag mod den </w:t>
      </w:r>
      <w:r w:rsidR="0005675B">
        <w:t>rumænske stat</w:t>
      </w:r>
      <w:r>
        <w:t xml:space="preserve"> vedrørende tilsidesættelse af EU-retten. I forbindelse med en appel forelagde den samme appeldomstol i Bukarest endelig Domstolen et spørgsmål navnlig om, hvorvidt det oprindelige afslag på præjudiciel forelæggelse var af en sådan karakter, at </w:t>
      </w:r>
      <w:r w:rsidR="000827E0">
        <w:t xml:space="preserve">det </w:t>
      </w:r>
      <w:r>
        <w:t>kunne medføre, at den rumænske stat ifaldt ansvar.</w:t>
      </w:r>
    </w:p>
    <w:p w14:paraId="5A403C50" w14:textId="19C89846" w:rsidR="00AF16FE" w:rsidRDefault="00AF16FE" w:rsidP="00AF16FE">
      <w:pPr>
        <w:pStyle w:val="008CorpsDuTexte"/>
      </w:pPr>
      <w:r>
        <w:rPr>
          <w:b/>
          <w:bCs/>
        </w:rPr>
        <w:t>I sag C-293/24</w:t>
      </w:r>
      <w:r>
        <w:t xml:space="preserve"> gjorde ansatte i det portugisiske flyselskab Air Atlantis, der blev afskediget i forbindelse med selskabets likvidation i 1993, gældende, at Transportes Aéreos Portugueses i forbindelse med en »overførsel af en bedrift« </w:t>
      </w:r>
      <w:r>
        <w:rPr>
          <w:rStyle w:val="EndnoteReference"/>
        </w:rPr>
        <w:endnoteReference w:customMarkFollows="1" w:id="2"/>
        <w:t>2</w:t>
      </w:r>
      <w:r w:rsidR="002F2A52">
        <w:rPr>
          <w:rStyle w:val="EndnoteReference"/>
        </w:rPr>
        <w:t xml:space="preserve"> </w:t>
      </w:r>
      <w:r>
        <w:t xml:space="preserve">som omhandlet i direktivet om overførsel af virksomheder havde overtaget en del af selskabets aktiviteter. De anmodede derfor om at blive integreret i sidstnævnte selskab. I 2009 afslog øverste domstol, Portugal, at forelægge Domstolen et præjudicielt spørgsmål vedrørende begrebet »overførsel af en bedrift«, hvorefter den stadfæstede de lavere portugisiske retsinstansers forkastelse af de ansattes søgsmål. De ansatte anlagde derefter </w:t>
      </w:r>
      <w:r w:rsidR="002F2A52">
        <w:lastRenderedPageBreak/>
        <w:t xml:space="preserve">ved retten i første instans i Lissabon et erstatningssøgsmål mod den portugisiske stat </w:t>
      </w:r>
      <w:r>
        <w:t>for en tilsidesættelse af EU-retten, som kan</w:t>
      </w:r>
      <w:r w:rsidR="002F2A52">
        <w:t xml:space="preserve"> </w:t>
      </w:r>
      <w:r>
        <w:t xml:space="preserve">tilregnes øverste domstol. Idet denne ret i første instans havde forelagt Domstolen en anmodning om præjudiciel afgørelse, fastslog sidstnævnte i </w:t>
      </w:r>
      <w:r w:rsidRPr="002F2A52">
        <w:rPr>
          <w:rStyle w:val="Emphasis"/>
          <w:i w:val="0"/>
          <w:iCs w:val="0"/>
        </w:rPr>
        <w:t>2015</w:t>
      </w:r>
      <w:r w:rsidRPr="002F2A52">
        <w:rPr>
          <w:i/>
          <w:iCs/>
        </w:rPr>
        <w:t xml:space="preserve"> </w:t>
      </w:r>
      <w:r w:rsidRPr="002F2A52">
        <w:t>d</w:t>
      </w:r>
      <w:r>
        <w:t xml:space="preserve">els, at en overførsel af en bedrift faktisk havde fundet sted i det foreliggende tilfælde, dels at øverste domstol burde have </w:t>
      </w:r>
      <w:r w:rsidR="00B55B5D">
        <w:t xml:space="preserve">foretaget </w:t>
      </w:r>
      <w:r>
        <w:t xml:space="preserve">en præjudiciel </w:t>
      </w:r>
      <w:r w:rsidR="00B55B5D">
        <w:t xml:space="preserve">forelæggelse </w:t>
      </w:r>
      <w:r>
        <w:rPr>
          <w:rStyle w:val="EndnoteReference"/>
        </w:rPr>
        <w:endnoteReference w:customMarkFollows="1" w:id="3"/>
        <w:t>3</w:t>
      </w:r>
      <w:r>
        <w:t xml:space="preserve">. På trods af denne dom </w:t>
      </w:r>
      <w:r w:rsidR="0005675B">
        <w:t xml:space="preserve">forkastede </w:t>
      </w:r>
      <w:r>
        <w:t xml:space="preserve">de portugisiske domstole, der realitetsbehandlede sagerne, de ansattes søgsmål, bl.a. med den begrundelse, at Domstolen i sin dom støttede sig på en retspraksis vedrørende begrebet »overførsel af en bedrift« efter dommen fra 2009 fra øverste domstol, Portugal. Efter at have modtaget en ekstraordinær revisionsappel anmodede øverste domstol </w:t>
      </w:r>
      <w:r w:rsidR="002F2A52">
        <w:t xml:space="preserve">endelig </w:t>
      </w:r>
      <w:r>
        <w:t xml:space="preserve">også Domstolen om at </w:t>
      </w:r>
      <w:r w:rsidR="002F2A52">
        <w:t>tage stilling til,</w:t>
      </w:r>
      <w:r>
        <w:t xml:space="preserve"> </w:t>
      </w:r>
      <w:r w:rsidR="002F2A52">
        <w:t>hvorvidt</w:t>
      </w:r>
      <w:r>
        <w:t xml:space="preserve"> den holdning, </w:t>
      </w:r>
      <w:r w:rsidR="002F2A52">
        <w:t>som øverste domstol</w:t>
      </w:r>
      <w:r>
        <w:t xml:space="preserve"> havde indtaget i 2009, udgjorde en tilstrækkelig kvalificeret tilsidesættelse af EU-retten, der kunne medføre, at den portugisiske stat ifaldt ansvar.</w:t>
      </w:r>
    </w:p>
    <w:p w14:paraId="6D56ABF7" w14:textId="161C7CAD" w:rsidR="00AF16FE" w:rsidRDefault="00AF16FE" w:rsidP="00AF16FE">
      <w:pPr>
        <w:pStyle w:val="008CorpsDuTexte"/>
      </w:pPr>
      <w:r>
        <w:t>Hvad angår betingelserne for, at en medlemsstat ifalder ansvar for tilsidesættelse af EU-retten, bemærker Domstolen, at borgere, der er af den opfattelse, at de har lidt skade, har ret til erstatning, når tre kumulative betingelser er opfyldt: Den EU-retlige bestemmelse, der er tilsidesat, har til formål at tillægge dem rettigheder, tilsidesættelsen af denne bestemmelse er tilstrækkeligt kvalificeret, og der er en direkte årsagsforbindelse mellem denne tilsidesættelse og den lidte skade. Dette princip finder ligeledes anvendelse, når tilsidesættelsen skyldes en afgørelse truffet af en ret, hvis afgørelser i henhold til de nationale retsregler ikke kan appelleres.</w:t>
      </w:r>
    </w:p>
    <w:p w14:paraId="311019F1" w14:textId="023CF959" w:rsidR="00AF16FE" w:rsidRDefault="00AF16FE" w:rsidP="00AF16FE">
      <w:pPr>
        <w:pStyle w:val="008CorpsDuTexte"/>
      </w:pPr>
      <w:r>
        <w:t xml:space="preserve">I sag C-163/24 bemærker Domstolen derfor, at når der er tale om tilsidesættelsen af forpligtelsen til at forelægge præjudicielle spørgsmål, kan en medlemsstat kun ifalde ansvar, </w:t>
      </w:r>
      <w:r>
        <w:rPr>
          <w:b/>
          <w:bCs/>
        </w:rPr>
        <w:t>hvis denne tilsidesættelse ledsages af en tilsidesættelse af en anden EU-retlig regel, som har til formål at tillægge borgerne rettigheder.</w:t>
      </w:r>
      <w:r>
        <w:rPr>
          <w:b/>
        </w:rPr>
        <w:t xml:space="preserve"> En tilsidesættelse af denne pligt til forelæggelse er nemlig ikke i sig selv tilstrækkelig til, at en medlemsstat ifalder ansvar. </w:t>
      </w:r>
      <w:r>
        <w:t>I den foreliggende sag giver den pågældende bestemmelse i forordningen om det integrerede system for forvaltning og kontrol af landbrugsstøtte således for det første ikke en landbruger, der ansøger om støtte, nogen ret, idet denne bestemmelse udelukkende har til formål at beskytte Unionens finansielle interesser. For det andet tillod de betingelser, hvorunder den pågældende rumænske landbruger havde handlet, ham ikke at påberåbe sig en EU-retlig bestemmelse, der er indeholdt i en anden forordning, som omfatter tilfældet en undskyldelig fejl.</w:t>
      </w:r>
    </w:p>
    <w:p w14:paraId="2487F86C" w14:textId="7836895F" w:rsidR="00800D1A" w:rsidRDefault="00AF16FE">
      <w:pPr>
        <w:pStyle w:val="008CorpsDuTexte"/>
      </w:pPr>
      <w:r>
        <w:t xml:space="preserve">I sag C-293/24 fastslår Domstolen, at de pågældende bestemmelser i direktivet om overførsel af bedrifter faktisk har til formål at tillægge borgerne rettigheder, således at den første betingelse for, at den portugisiske stat ifalder ansvar som følge af øverste domstols afgørelse fra 2009, er opfyldt. Hvad angår den anden betingelse om en tilstrækkeligt kvalificeret tilsidesættelse af EU-retten, der er begået af den pågældende retsinstans, henviser Domstolen til tre omstændigheder, som den anser for at være afgørende. For det første konstaterer Domstolen, at den løsning, som den havde valgt i sin dom fra 2015, </w:t>
      </w:r>
      <w:r w:rsidRPr="006F3D00">
        <w:rPr>
          <w:rStyle w:val="Emphasis"/>
          <w:i w:val="0"/>
          <w:iCs w:val="0"/>
        </w:rPr>
        <w:t>allerede fremgik af retspraksis forud for afgørelsen om afslag fra 2009 fra øverste domstol, Portugal</w:t>
      </w:r>
      <w:r w:rsidRPr="006F3D00">
        <w:rPr>
          <w:i/>
          <w:iCs/>
        </w:rPr>
        <w:t>,</w:t>
      </w:r>
      <w:r>
        <w:t xml:space="preserve"> idet denne var behæftet med en kombination af fejlfortolkninger af EU-retten. For det andet udgør det i den foreliggende sag ligeledes et indicium for en tilstrækkeligt kvalificeret tilsidesættelse af EU-retten, at øverste domstol, Portugal, afveg fra de anvisninger, der fulgte af retspraksis forud for denne afgørelse fra 2009, uden at indgive en anmodning om præjudiciel afgørelse til Domstolen, trods sin forpligtelse i denne henseende til at gøre dette. For det tredje kunne denne øverste domstol ikke være uvidende om, at overensstemmelsen med EU-retten af den metodologiske fremgangsmåde, som den anvendte i denne afgørelse, specifikt var kernen i </w:t>
      </w:r>
      <w:r w:rsidR="006F3D00">
        <w:t>d</w:t>
      </w:r>
      <w:r>
        <w:t>en anmodning om præjudiciel afgørelse, der på det tidspunkt verserede for Domstolen, hvilket godtgør, at den pågældende nationale retsinstans</w:t>
      </w:r>
      <w:r w:rsidR="006F3D00">
        <w:t>’</w:t>
      </w:r>
      <w:r>
        <w:t xml:space="preserve"> tilsidesættelse af EU-retten var uundskyldelig. På baggrund af disse forskellige forhold</w:t>
      </w:r>
      <w:r>
        <w:rPr>
          <w:b/>
          <w:bCs/>
        </w:rPr>
        <w:t xml:space="preserve"> forekommer dommen fra 2009 således at være behæftet med en tilstrækkeligt kvalificeret tilsidesættelse af EU-retten, hvilket det imidlertid tilkommer den forelæggende ret at efterprøve</w:t>
      </w:r>
      <w:r>
        <w:t xml:space="preserve">, </w:t>
      </w:r>
      <w:r w:rsidR="006F3D00">
        <w:t>hvilket ligeledes gælder</w:t>
      </w:r>
      <w:r>
        <w:t xml:space="preserve"> </w:t>
      </w:r>
      <w:r>
        <w:rPr>
          <w:b/>
          <w:bCs/>
        </w:rPr>
        <w:t>årsagsforbindelsen mellem denne tilsidesættelse og den skade, der kræves erstattet af de tidligere ansatte hos Air Atlantis i hovedsagen</w:t>
      </w:r>
      <w:r>
        <w:t>.</w:t>
      </w:r>
    </w:p>
    <w:p w14:paraId="0F521098" w14:textId="77777777" w:rsidR="00800D1A" w:rsidRDefault="008332C9">
      <w:pPr>
        <w:pStyle w:val="110Rappel"/>
      </w:pPr>
      <w:r>
        <w:rPr>
          <w:b/>
        </w:rPr>
        <w:t>BEMÆRKNING:</w:t>
      </w:r>
      <w:r>
        <w:t xml:space="preserve"> Gennem en præjudiciel forelæggelse kan retterne i medlemsstaterne i forbindelse med retssager, der verserer for dem, forelægge EU-Domstolen spørgsmål vedrørende fortolkningen af EU-retten eller gyldigheden </w:t>
      </w:r>
      <w:r>
        <w:lastRenderedPageBreak/>
        <w:t>af en EU-retsakt.</w:t>
      </w:r>
    </w:p>
    <w:p w14:paraId="5A534406" w14:textId="4C0AD14B" w:rsidR="00800D1A" w:rsidRDefault="008332C9">
      <w:pPr>
        <w:pStyle w:val="110Rappel"/>
      </w:pPr>
      <w:r>
        <w:t>Retten har kompetence til at behandle anmodninger om præjudiciel afgørelse, der udelukkende vedrører 1)</w:t>
      </w:r>
      <w:r w:rsidR="00255F08" w:rsidRPr="00255F08">
        <w:t xml:space="preserve"> </w:t>
      </w:r>
      <w:r>
        <w:t>det fælles merværdiafgiftssystem (moms), 2)</w:t>
      </w:r>
      <w:r w:rsidR="00255F08" w:rsidRPr="00255F08">
        <w:t xml:space="preserve"> </w:t>
      </w:r>
      <w:r>
        <w:t>punktafgifter, 3)</w:t>
      </w:r>
      <w:r w:rsidR="00255F08" w:rsidRPr="00255F08">
        <w:t xml:space="preserve"> </w:t>
      </w:r>
      <w:r>
        <w:t>toldkodeksen, 4)</w:t>
      </w:r>
      <w:r w:rsidR="00255F08" w:rsidRPr="00255F08">
        <w:t xml:space="preserve"> </w:t>
      </w:r>
      <w:r>
        <w:t>tariferingen af varer i den kombinerede nomenklatur, 5)</w:t>
      </w:r>
      <w:r w:rsidR="00255F08" w:rsidRPr="00255F08">
        <w:t xml:space="preserve"> </w:t>
      </w:r>
      <w:r>
        <w:t>kompensation og bistand til luftpassagerer ved boardingafvisning eller ved forsinkelse eller aflysning af transportydelser eller 6)</w:t>
      </w:r>
      <w:r w:rsidR="00255F08" w:rsidRPr="00255F08">
        <w:t xml:space="preserve"> </w:t>
      </w:r>
      <w:r>
        <w:t>systemet for handel med kvoter for drivhusgasemissioner. Domstolen har kompetence til at behandle alle andre anmodninger om præjudiciel afgørelse.</w:t>
      </w:r>
    </w:p>
    <w:p w14:paraId="47658BD9" w14:textId="77777777" w:rsidR="00800D1A" w:rsidRDefault="008332C9">
      <w:pPr>
        <w:pStyle w:val="110Rappel"/>
      </w:pPr>
      <w:r>
        <w:t>Hverken Domstolen eller Retten træffer afgørelse i den nationale tvist. Det tilkommer den nationale ret at afgøre sagen i overensstemmelse med Domstolens eller Rettens afgørelse, der på tilsvarende måde er bindende for andre nationale retter i sager vedrørende en tilsvarende problemstilling.</w:t>
      </w:r>
    </w:p>
    <w:p w14:paraId="1DB2CC5D" w14:textId="77777777" w:rsidR="00800D1A" w:rsidRDefault="008332C9">
      <w:pPr>
        <w:pStyle w:val="009Boite"/>
      </w:pPr>
      <w:r>
        <w:t>Dette er et ikke-officielt dokument til mediernes brug og forpligter ikke Domstolen. Fremstillingen af de faktiske omstændigheder og retsforskrifterne vedrører den relevante periode og er baseret på sagens akter.</w:t>
      </w:r>
    </w:p>
    <w:p w14:paraId="6F56DF07" w14:textId="664FE532" w:rsidR="00800D1A" w:rsidRDefault="00F87F22">
      <w:pPr>
        <w:pStyle w:val="009Boite"/>
      </w:pPr>
      <w:bookmarkStart w:id="2" w:name="_Hlk239343999"/>
      <w:r>
        <w:t xml:space="preserve">Dommene og eventuelt et resumé heraf (sag </w:t>
      </w:r>
      <w:hyperlink r:id="rId20" w:history="1">
        <w:r>
          <w:rPr>
            <w:rStyle w:val="Hyperlink"/>
          </w:rPr>
          <w:t>C-163/24</w:t>
        </w:r>
      </w:hyperlink>
      <w:r>
        <w:t xml:space="preserve"> og sag </w:t>
      </w:r>
      <w:hyperlink r:id="rId21" w:history="1">
        <w:r>
          <w:rPr>
            <w:rStyle w:val="Hyperlink"/>
          </w:rPr>
          <w:t>C-293/24</w:t>
        </w:r>
      </w:hyperlink>
      <w:r>
        <w:t xml:space="preserve">) </w:t>
      </w:r>
      <w:r w:rsidR="008332C9">
        <w:t>offentliggøres på webstedet CURIA på dagen for afsigelsen.</w:t>
      </w:r>
    </w:p>
    <w:bookmarkEnd w:id="2"/>
    <w:p w14:paraId="72B7082D" w14:textId="29C75D32" w:rsidR="00800D1A" w:rsidRDefault="008332C9">
      <w:pPr>
        <w:pStyle w:val="009Boite"/>
      </w:pPr>
      <w:r>
        <w:t>Kontakt i Kontoret for Presse og Information: Jarosław Zasada ✆</w:t>
      </w:r>
      <w:r w:rsidR="00255F08" w:rsidRPr="00255F08">
        <w:t xml:space="preserve"> </w:t>
      </w:r>
      <w:r>
        <w:t>(+352)</w:t>
      </w:r>
      <w:r w:rsidR="00255F08" w:rsidRPr="00255F08">
        <w:t xml:space="preserve"> 4303 27</w:t>
      </w:r>
      <w:r>
        <w:t>93.</w:t>
      </w:r>
    </w:p>
    <w:p w14:paraId="72C19144" w14:textId="32658C4D" w:rsidR="00800D1A" w:rsidRDefault="008332C9">
      <w:pPr>
        <w:pStyle w:val="009Boite"/>
      </w:pPr>
      <w:r>
        <w:t>Billeder fra domsafsigelsen er tilgængelige via »</w:t>
      </w:r>
      <w:hyperlink r:id="rId22" w:history="1">
        <w:r>
          <w:rPr>
            <w:rStyle w:val="Hyperlink"/>
          </w:rPr>
          <w:t>Curia Web TV</w:t>
        </w:r>
      </w:hyperlink>
      <w:r>
        <w:t>« og via »</w:t>
      </w:r>
      <w:hyperlink r:id="rId23" w:history="1">
        <w:r w:rsidR="003F7100">
          <w:rPr>
            <w:rStyle w:val="Hyperlink"/>
          </w:rPr>
          <w:t>European Broadcasting Service</w:t>
        </w:r>
      </w:hyperlink>
      <w:r>
        <w:t>« ✆ (+32) 2 2964106</w:t>
      </w:r>
      <w:r w:rsidR="009F535F">
        <w:t>.</w:t>
      </w:r>
    </w:p>
    <w:p w14:paraId="15EED195" w14:textId="68DE07C8" w:rsidR="00800D1A" w:rsidRDefault="008332C9">
      <w:pPr>
        <w:pStyle w:val="012StayConnected"/>
      </w:pPr>
      <w:r>
        <w:t>Følg Domstolen online!</w:t>
      </w:r>
      <w:r>
        <w:rPr>
          <w:noProof/>
          <w:lang w:val="fr-BE" w:eastAsia="fr-BE" w:bidi="ar-SA"/>
        </w:rPr>
        <w:drawing>
          <wp:anchor distT="0" distB="0" distL="114300" distR="114300" simplePos="0" relativeHeight="251657216" behindDoc="0" locked="0" layoutInCell="1" allowOverlap="1" wp14:anchorId="05EAF489" wp14:editId="21B3D01D">
            <wp:simplePos x="0" y="0"/>
            <wp:positionH relativeFrom="column">
              <wp:posOffset>6010910</wp:posOffset>
            </wp:positionH>
            <wp:positionV relativeFrom="paragraph">
              <wp:posOffset>144145</wp:posOffset>
            </wp:positionV>
            <wp:extent cx="179705" cy="179705"/>
            <wp:effectExtent l="0" t="0" r="0" b="0"/>
            <wp:wrapNone/>
            <wp:docPr id="230" name="CP_Pic_YouTube" descr="Youtub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CP_Pic_YouTube" descr="Youtube"/>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Pr>
          <w:noProof/>
          <w:lang w:val="fr-BE" w:eastAsia="fr-BE" w:bidi="ar-SA"/>
        </w:rPr>
        <w:drawing>
          <wp:anchor distT="0" distB="0" distL="114300" distR="114300" simplePos="0" relativeHeight="251580416" behindDoc="0" locked="0" layoutInCell="1" allowOverlap="1" wp14:anchorId="0A439FB0" wp14:editId="5F51CA6C">
            <wp:simplePos x="0" y="0"/>
            <wp:positionH relativeFrom="column">
              <wp:posOffset>4102100</wp:posOffset>
            </wp:positionH>
            <wp:positionV relativeFrom="paragraph">
              <wp:posOffset>144145</wp:posOffset>
            </wp:positionV>
            <wp:extent cx="179705" cy="179705"/>
            <wp:effectExtent l="0" t="0" r="0" b="0"/>
            <wp:wrapNone/>
            <wp:docPr id="231" name="CP_Pic_LinkedIn" descr="Linkedin">
              <a:hlinkClick xmlns:a="http://schemas.openxmlformats.org/drawingml/2006/main" r:id="rId26"/>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CP_Pic_LinkedIn" descr="Linkedin"/>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Pr>
          <w:noProof/>
          <w:lang w:val="fr-BE" w:eastAsia="fr-BE" w:bidi="ar-SA"/>
        </w:rPr>
        <w:drawing>
          <wp:anchor distT="0" distB="0" distL="114300" distR="114300" simplePos="0" relativeHeight="251682816" behindDoc="0" locked="0" layoutInCell="1" allowOverlap="1" wp14:anchorId="5FCF86DF" wp14:editId="3775F998">
            <wp:simplePos x="0" y="0"/>
            <wp:positionH relativeFrom="column">
              <wp:posOffset>4374515</wp:posOffset>
            </wp:positionH>
            <wp:positionV relativeFrom="paragraph">
              <wp:posOffset>143510</wp:posOffset>
            </wp:positionV>
            <wp:extent cx="179705" cy="179705"/>
            <wp:effectExtent l="0" t="0" r="0" b="0"/>
            <wp:wrapNone/>
            <wp:docPr id="232" name="CP_Pic_BlueSky" descr="BlueSky">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CP_Pic_BlueSky" descr="BlueSky"/>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Pr>
          <w:noProof/>
          <w:lang w:val="fr-BE" w:eastAsia="fr-BE" w:bidi="ar-SA"/>
        </w:rPr>
        <w:drawing>
          <wp:anchor distT="0" distB="0" distL="114300" distR="114300" simplePos="0" relativeHeight="251708416" behindDoc="0" locked="0" layoutInCell="1" allowOverlap="1" wp14:anchorId="43F51B3A" wp14:editId="2D226633">
            <wp:simplePos x="0" y="0"/>
            <wp:positionH relativeFrom="column">
              <wp:posOffset>4646930</wp:posOffset>
            </wp:positionH>
            <wp:positionV relativeFrom="paragraph">
              <wp:posOffset>143510</wp:posOffset>
            </wp:positionV>
            <wp:extent cx="179705" cy="179705"/>
            <wp:effectExtent l="0" t="0" r="0" b="0"/>
            <wp:wrapNone/>
            <wp:docPr id="233" name="CP_Pic_Instagram" descr="Instagram">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CP_Pic_Instagram" descr="Instagram"/>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Pr>
          <w:noProof/>
          <w:lang w:val="fr-BE" w:eastAsia="fr-BE" w:bidi="ar-SA"/>
        </w:rPr>
        <w:drawing>
          <wp:anchor distT="0" distB="0" distL="114300" distR="114300" simplePos="0" relativeHeight="251734016" behindDoc="0" locked="0" layoutInCell="1" allowOverlap="1" wp14:anchorId="1BB77C1C" wp14:editId="6920FFE2">
            <wp:simplePos x="0" y="0"/>
            <wp:positionH relativeFrom="column">
              <wp:posOffset>4919345</wp:posOffset>
            </wp:positionH>
            <wp:positionV relativeFrom="paragraph">
              <wp:posOffset>143510</wp:posOffset>
            </wp:positionV>
            <wp:extent cx="179705" cy="179705"/>
            <wp:effectExtent l="0" t="0" r="0" b="0"/>
            <wp:wrapNone/>
            <wp:docPr id="234" name="CP_Pic_Threads" descr="Threads">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CP_Pic_Threads" descr="Threads"/>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Pr>
          <w:noProof/>
          <w:lang w:val="fr-BE" w:eastAsia="fr-BE" w:bidi="ar-SA"/>
        </w:rPr>
        <w:drawing>
          <wp:anchor distT="0" distB="0" distL="114300" distR="114300" simplePos="0" relativeHeight="251631616" behindDoc="0" locked="0" layoutInCell="1" allowOverlap="1" wp14:anchorId="32056668" wp14:editId="14366D70">
            <wp:simplePos x="0" y="0"/>
            <wp:positionH relativeFrom="column">
              <wp:posOffset>5189855</wp:posOffset>
            </wp:positionH>
            <wp:positionV relativeFrom="paragraph">
              <wp:posOffset>143510</wp:posOffset>
            </wp:positionV>
            <wp:extent cx="179705" cy="179705"/>
            <wp:effectExtent l="0" t="0" r="0" b="0"/>
            <wp:wrapNone/>
            <wp:docPr id="235" name="CP_Pic_Mastodon" descr="Mastodon">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CP_Pic_Mastodon" descr="Mastodon"/>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Pr>
          <w:noProof/>
          <w:lang w:val="fr-BE" w:eastAsia="fr-BE" w:bidi="ar-SA"/>
        </w:rPr>
        <w:drawing>
          <wp:anchor distT="0" distB="0" distL="114300" distR="114300" simplePos="0" relativeHeight="251606016" behindDoc="0" locked="0" layoutInCell="1" allowOverlap="1" wp14:anchorId="07112A5F" wp14:editId="38933955">
            <wp:simplePos x="0" y="0"/>
            <wp:positionH relativeFrom="column">
              <wp:posOffset>5464175</wp:posOffset>
            </wp:positionH>
            <wp:positionV relativeFrom="paragraph">
              <wp:posOffset>143510</wp:posOffset>
            </wp:positionV>
            <wp:extent cx="179705" cy="179705"/>
            <wp:effectExtent l="0" t="0" r="0" b="0"/>
            <wp:wrapNone/>
            <wp:docPr id="236" name="CP_Pic_Twitter" descr="X (Twitter)">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CP_Pic_Twitter" descr="X (Twitte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Pr>
          <w:noProof/>
          <w:lang w:val="fr-BE" w:eastAsia="fr-BE" w:bidi="ar-SA"/>
        </w:rPr>
        <w:drawing>
          <wp:anchor distT="0" distB="0" distL="114300" distR="114300" simplePos="0" relativeHeight="251759616" behindDoc="0" locked="0" layoutInCell="1" allowOverlap="1" wp14:anchorId="030B3BE9" wp14:editId="61061ECD">
            <wp:simplePos x="0" y="0"/>
            <wp:positionH relativeFrom="column">
              <wp:posOffset>5736367</wp:posOffset>
            </wp:positionH>
            <wp:positionV relativeFrom="paragraph">
              <wp:posOffset>142875</wp:posOffset>
            </wp:positionV>
            <wp:extent cx="179705" cy="179705"/>
            <wp:effectExtent l="0" t="0" r="0" b="0"/>
            <wp:wrapNone/>
            <wp:docPr id="237" name="CP_Pic_Whatsapp" descr="Whatsapp">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CP_Pic_Whatsapp" descr="Whatsapp"/>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p>
    <w:sectPr w:rsidR="00800D1A">
      <w:footerReference w:type="default" r:id="rId40"/>
      <w:headerReference w:type="first" r:id="rId41"/>
      <w:footerReference w:type="first" r:id="rId42"/>
      <w:endnotePr>
        <w:numFmt w:val="decimal"/>
      </w:endnotePr>
      <w:pgSz w:w="11906" w:h="16838"/>
      <w:pgMar w:top="1440" w:right="1080" w:bottom="144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16884" w14:textId="77777777" w:rsidR="00CD58FF" w:rsidRDefault="00CD58FF">
      <w:pPr>
        <w:pStyle w:val="Footer"/>
      </w:pPr>
    </w:p>
  </w:endnote>
  <w:endnote w:type="continuationSeparator" w:id="0">
    <w:p w14:paraId="2D7FD18E" w14:textId="77777777" w:rsidR="00CD58FF" w:rsidRDefault="00CD58FF">
      <w:pPr>
        <w:pStyle w:val="Footer"/>
      </w:pPr>
    </w:p>
  </w:endnote>
  <w:endnote w:id="1">
    <w:p w14:paraId="7BFBAD9B" w14:textId="4ED6194B" w:rsidR="00255F08" w:rsidRPr="00560888" w:rsidRDefault="00255F08" w:rsidP="003F7100">
      <w:pPr>
        <w:pStyle w:val="FootnoteText"/>
      </w:pPr>
      <w:r w:rsidRPr="00251988">
        <w:rPr>
          <w:rStyle w:val="EndnoteReference"/>
        </w:rPr>
        <w:endnoteRef/>
      </w:r>
      <w:r w:rsidRPr="00AD757A">
        <w:t xml:space="preserve"> </w:t>
      </w:r>
      <w:hyperlink r:id="rId1" w:history="1">
        <w:r w:rsidR="00337911" w:rsidRPr="00337911">
          <w:rPr>
            <w:rStyle w:val="Hyperlink"/>
          </w:rPr>
          <w:t>Kommissionens forordning (EF) nr. 796/2004</w:t>
        </w:r>
      </w:hyperlink>
      <w:r w:rsidR="00337911">
        <w:t xml:space="preserve"> </w:t>
      </w:r>
      <w:r w:rsidR="00337911" w:rsidRPr="00337911">
        <w:t>af 21.4.2004 om</w:t>
      </w:r>
      <w:r w:rsidR="00337911">
        <w:t xml:space="preserve"> </w:t>
      </w:r>
      <w:r>
        <w:t xml:space="preserve">gennemførelsesbestemmelser vedrørende krydsoverensstemmelse, graduering og det integrerede forvaltnings- og kontrolsystem som omhandlet i Rådets forordning (EF) </w:t>
      </w:r>
      <w:r w:rsidRPr="00255F08">
        <w:t>nr. </w:t>
      </w:r>
      <w:r>
        <w:t>1782/2003 om fastlæggelse af fælles regler for den fælles landbrugspolitiks ordninger for direkte støtte og om fastlæggelse af visse støtteordninger for landbrugere.</w:t>
      </w:r>
    </w:p>
  </w:endnote>
  <w:endnote w:id="2">
    <w:p w14:paraId="484673D4" w14:textId="77777777" w:rsidR="00AF16FE" w:rsidRPr="00560888" w:rsidRDefault="00AF16FE" w:rsidP="003F7100">
      <w:pPr>
        <w:pStyle w:val="FootnoteText"/>
      </w:pPr>
      <w:r>
        <w:rPr>
          <w:rStyle w:val="EndnoteReference"/>
        </w:rPr>
        <w:t>2</w:t>
      </w:r>
      <w:r>
        <w:t xml:space="preserve"> </w:t>
      </w:r>
      <w:hyperlink r:id="rId2" w:history="1">
        <w:r>
          <w:rPr>
            <w:rStyle w:val="Hyperlink"/>
          </w:rPr>
          <w:t>Rådets direktiv 77/187/EØF</w:t>
        </w:r>
      </w:hyperlink>
      <w:r>
        <w:t xml:space="preserve"> af 14.2.1977 om tilnærmelse af medlemsstaternes lovgivning om bevarelse af arbejdstagernes rettigheder i tilfælde af overførsel af virksomheder, driftssteder eller dele af driftssteder.</w:t>
      </w:r>
    </w:p>
  </w:endnote>
  <w:endnote w:id="3">
    <w:p w14:paraId="51D658BE" w14:textId="29BA0214" w:rsidR="00AF16FE" w:rsidRPr="00163497" w:rsidRDefault="00AF16FE" w:rsidP="003F7100">
      <w:pPr>
        <w:pStyle w:val="FootnoteText"/>
      </w:pPr>
      <w:r>
        <w:rPr>
          <w:rStyle w:val="EndnoteReference"/>
        </w:rPr>
        <w:t>3</w:t>
      </w:r>
      <w:r>
        <w:t xml:space="preserve"> Domstolens dom af 9.9.2015 i sagen Ferreira da Silva e Brito m.fl.,</w:t>
      </w:r>
      <w:r w:rsidR="00BB69A3">
        <w:t xml:space="preserve"> sag</w:t>
      </w:r>
      <w:r>
        <w:t xml:space="preserve"> </w:t>
      </w:r>
      <w:hyperlink r:id="rId3" w:history="1">
        <w:r>
          <w:rPr>
            <w:rStyle w:val="Hyperlink"/>
          </w:rPr>
          <w:t>C-160/14</w:t>
        </w:r>
      </w:hyperlink>
      <w:r>
        <w:t xml:space="preserve"> (jf. ligeledes pressemeddelelse </w:t>
      </w:r>
      <w:r w:rsidR="00255F08" w:rsidRPr="00255F08">
        <w:t>nr. </w:t>
      </w:r>
      <w:hyperlink r:id="rId4" w:history="1">
        <w:r>
          <w:rPr>
            <w:rStyle w:val="Hyperlink"/>
          </w:rPr>
          <w:t>96/15</w:t>
        </w:r>
      </w:hyperlink>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
      <w:tag w:val="ccTag16"/>
      <w:id w:val="16"/>
    </w:sdtPr>
    <w:sdtEndPr/>
    <w:sdtContent>
      <w:p w14:paraId="22FF24FA" w14:textId="77777777" w:rsidR="00800D1A" w:rsidRDefault="008332C9">
        <w:pPr>
          <w:pStyle w:val="011Footer"/>
        </w:pPr>
        <w:r>
          <w:t>Direktoratet for Kommunikation</w:t>
        </w:r>
        <w:r>
          <w:br/>
          <w:t>Kontoret for Presse og Information</w:t>
        </w:r>
        <w:r>
          <w:ptab w:relativeTo="margin" w:alignment="right" w:leader="none"/>
        </w:r>
        <w:r>
          <w:t>curia.europa.eu</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
      <w:tag w:val="ccTag17"/>
      <w:id w:val="17"/>
    </w:sdtPr>
    <w:sdtEndPr/>
    <w:sdtContent>
      <w:p w14:paraId="3368BA09" w14:textId="77777777" w:rsidR="00800D1A" w:rsidRDefault="008332C9">
        <w:pPr>
          <w:pStyle w:val="011Footer"/>
        </w:pPr>
        <w:r>
          <w:t>Direktoratet for Kommunikation</w:t>
        </w:r>
        <w:r>
          <w:br/>
          <w:t>Kontoret for Presse og Information</w:t>
        </w:r>
        <w:r>
          <w:ptab w:relativeTo="margin" w:alignment="right" w:leader="none"/>
        </w:r>
        <w:r>
          <w:t>curia.europa.eu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DB972" w14:textId="77777777" w:rsidR="00CD58FF" w:rsidRDefault="00CD58FF">
      <w:pPr>
        <w:pStyle w:val="Footer"/>
      </w:pPr>
      <w:r>
        <w:separator/>
      </w:r>
    </w:p>
  </w:footnote>
  <w:footnote w:type="continuationSeparator" w:id="0">
    <w:sdt>
      <w:sdtPr>
        <w:alias w:val=""/>
        <w:tag w:val="ccTag24"/>
        <w:id w:val="23"/>
        <w:showingPlcHdr/>
      </w:sdtPr>
      <w:sdtEndPr/>
      <w:sdtContent>
        <w:p w14:paraId="31701526" w14:textId="77777777" w:rsidR="00CD58FF" w:rsidRDefault="00CD58FF">
          <w:pPr>
            <w:pStyle w:val="Footer"/>
          </w:pPr>
          <w:r>
            <w:t xml:space="preserve">     </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
      <w:tag w:val="ccTag18"/>
      <w:id w:val="18"/>
    </w:sdtPr>
    <w:sdtEndPr/>
    <w:sdtContent>
      <w:p w14:paraId="257FB83C" w14:textId="77777777" w:rsidR="00800D1A" w:rsidRDefault="008332C9">
        <w:pPr>
          <w:pStyle w:val="Header"/>
        </w:pPr>
        <w:r>
          <w:rPr>
            <w:noProof/>
            <w:lang w:val="fr-BE" w:eastAsia="fr-BE" w:bidi="ar-SA"/>
          </w:rPr>
          <mc:AlternateContent>
            <mc:Choice Requires="wps">
              <w:drawing>
                <wp:anchor distT="0" distB="0" distL="114300" distR="114300" simplePos="0" relativeHeight="251657728" behindDoc="1" locked="0" layoutInCell="1" allowOverlap="1" wp14:anchorId="05944787" wp14:editId="2488CBCE">
                  <wp:simplePos x="0" y="0"/>
                  <wp:positionH relativeFrom="column">
                    <wp:posOffset>-688975</wp:posOffset>
                  </wp:positionH>
                  <wp:positionV relativeFrom="paragraph">
                    <wp:posOffset>-449580</wp:posOffset>
                  </wp:positionV>
                  <wp:extent cx="7560310" cy="107950"/>
                  <wp:effectExtent l="0" t="0" r="0" b="0"/>
                  <wp:wrapNone/>
                  <wp:docPr id="151635405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560310" cy="107950"/>
                          </a:xfrm>
                          <a:prstGeom prst="rect">
                            <a:avLst/>
                          </a:prstGeom>
                          <a:solidFill>
                            <a:srgbClr val="851A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61335" id="docshape19" o:spid="_x0000_s1026" style="position:absolute;margin-left:-54.25pt;margin-top:-35.4pt;width:595.3pt;height:8.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" fillcolor="#851a15" stroked="f"/>
              </w:pict>
            </mc:Fallback>
          </mc:AlternateContent>
        </w:r>
        <w:r>
          <w:rPr>
            <w:noProof/>
            <w:lang w:val="fr-BE" w:eastAsia="fr-BE" w:bidi="ar-SA"/>
          </w:rPr>
          <w:drawing>
            <wp:inline distT="0" distB="0" distL="0" distR="0" wp14:anchorId="2EFF556F" wp14:editId="147D54A0">
              <wp:extent cx="2538095" cy="467995"/>
              <wp:effectExtent l="0" t="0" r="0" b="0"/>
              <wp:docPr id="2" name="DA_logo_Beige_re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_logo_Beige_regular.png"/>
                      <pic:cNvPicPr/>
                    </pic:nvPicPr>
                    <pic:blipFill>
                      <a:blip r:embed="rId1" cstate="print"/>
                      <a:stretch>
                        <a:fillRect/>
                      </a:stretch>
                    </pic:blipFill>
                    <pic:spPr>
                      <a:xfrm>
                        <a:off x="0" y="0"/>
                        <a:ext cx="2538095" cy="467995"/>
                      </a:xfrm>
                      <a:prstGeom prst="rect">
                        <a:avLst/>
                      </a:prstGeom>
                    </pic:spPr>
                  </pic:pic>
                </a:graphicData>
              </a:graphic>
            </wp:inline>
          </w:drawing>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4"/>
    <w:compatSetting w:name="useWord2013TrackBottomHyphenation" w:uri="http://schemas.microsoft.com/office/word" w:val="1"/>
  </w:compat>
  <w:rsids>
    <w:rsidRoot w:val="00800D1A"/>
    <w:rsid w:val="0005345A"/>
    <w:rsid w:val="00055E17"/>
    <w:rsid w:val="0005675B"/>
    <w:rsid w:val="000827E0"/>
    <w:rsid w:val="00092642"/>
    <w:rsid w:val="000D39E0"/>
    <w:rsid w:val="001A5A32"/>
    <w:rsid w:val="001F6793"/>
    <w:rsid w:val="00251988"/>
    <w:rsid w:val="00255F08"/>
    <w:rsid w:val="00270466"/>
    <w:rsid w:val="00281A7D"/>
    <w:rsid w:val="00291B68"/>
    <w:rsid w:val="002F2A52"/>
    <w:rsid w:val="00322E11"/>
    <w:rsid w:val="00337911"/>
    <w:rsid w:val="0035328B"/>
    <w:rsid w:val="003B64AC"/>
    <w:rsid w:val="003D1227"/>
    <w:rsid w:val="003F7100"/>
    <w:rsid w:val="004254A4"/>
    <w:rsid w:val="004C03D0"/>
    <w:rsid w:val="004E0BB0"/>
    <w:rsid w:val="00506082"/>
    <w:rsid w:val="00554433"/>
    <w:rsid w:val="005634C9"/>
    <w:rsid w:val="005D796C"/>
    <w:rsid w:val="005F69DF"/>
    <w:rsid w:val="006309CD"/>
    <w:rsid w:val="00690EF0"/>
    <w:rsid w:val="006A493B"/>
    <w:rsid w:val="006A7573"/>
    <w:rsid w:val="006C2022"/>
    <w:rsid w:val="006E6197"/>
    <w:rsid w:val="006F3D00"/>
    <w:rsid w:val="00800D1A"/>
    <w:rsid w:val="008332C9"/>
    <w:rsid w:val="008C4EDA"/>
    <w:rsid w:val="008D029B"/>
    <w:rsid w:val="008D437B"/>
    <w:rsid w:val="008E368F"/>
    <w:rsid w:val="008F293E"/>
    <w:rsid w:val="0091126B"/>
    <w:rsid w:val="00913ED1"/>
    <w:rsid w:val="00925052"/>
    <w:rsid w:val="00935F22"/>
    <w:rsid w:val="009602E5"/>
    <w:rsid w:val="00995049"/>
    <w:rsid w:val="009F535F"/>
    <w:rsid w:val="00AC100B"/>
    <w:rsid w:val="00AD757A"/>
    <w:rsid w:val="00AF16FE"/>
    <w:rsid w:val="00B55B5D"/>
    <w:rsid w:val="00BB69A3"/>
    <w:rsid w:val="00C35A74"/>
    <w:rsid w:val="00C8211A"/>
    <w:rsid w:val="00CA3824"/>
    <w:rsid w:val="00CC1343"/>
    <w:rsid w:val="00CD58FF"/>
    <w:rsid w:val="00D21189"/>
    <w:rsid w:val="00D25C5D"/>
    <w:rsid w:val="00D6370A"/>
    <w:rsid w:val="00D95FDC"/>
    <w:rsid w:val="00E044E7"/>
    <w:rsid w:val="00E62D9A"/>
    <w:rsid w:val="00E96150"/>
    <w:rsid w:val="00F611D5"/>
    <w:rsid w:val="00F631D4"/>
    <w:rsid w:val="00F87F22"/>
    <w:rsid w:val="00FD20FD"/>
    <w:rsid w:val="00FE4F40"/>
  </w:rsids>
  <m:mathPr>
    <m:mathFont m:val="Cambria Math"/>
    <m:brkBin m:val="before"/>
    <m:brkBinSub m:val="--"/>
    <m:smallFrac m:val="0"/>
    <m:dispDef/>
    <m:lMargin m:val="0"/>
    <m:rMargin m:val="0"/>
    <m:defJc m:val="centerGroup"/>
    <m:wrapIndent m:val="1440"/>
    <m:intLim m:val="subSup"/>
    <m:naryLim m:val="undOvr"/>
  </m:mathPr>
  <w:themeFontLang w:val="da-DK" w:eastAsia="da-DK" w:bidi="da-D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058D51"/>
  <w15:docId w15:val="{0EC0C906-2927-42AA-8254-7D96229DE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Pr>
      <w:b w:val="0"/>
      <w:bCs w:val="0"/>
      <w:i w:val="0"/>
      <w:iCs w:val="0"/>
      <w:color w:val="auto"/>
      <w:vertAlign w:val="superscript"/>
    </w:rPr>
  </w:style>
  <w:style w:type="character" w:customStyle="1" w:styleId="GendocOriginalFootnoteReference">
    <w:name w:val="Gendoc_Original_Footnote Reference"/>
    <w:uiPriority w:val="99"/>
    <w:semiHidden/>
    <w:rPr>
      <w:b w:val="0"/>
      <w:bCs w:val="0"/>
      <w:i w:val="0"/>
      <w:iCs w:val="0"/>
      <w:color w:val="auto"/>
      <w:vertAlign w:val="superscript"/>
    </w:rPr>
  </w:style>
  <w:style w:type="character" w:styleId="Hyperlink">
    <w:name w:val="Hyperlink"/>
    <w:uiPriority w:val="99"/>
    <w:rPr>
      <w:b w:val="0"/>
      <w:bCs w:val="0"/>
      <w:i w:val="0"/>
      <w:iCs w:val="0"/>
      <w:color w:val="205E9E"/>
      <w:u w:val="single" w:color="205E9E"/>
    </w:rPr>
  </w:style>
  <w:style w:type="character" w:customStyle="1" w:styleId="GendocOriginalHyperlink">
    <w:name w:val="Gendoc_Original_Hyperlink"/>
    <w:uiPriority w:val="99"/>
    <w:semiHidden/>
    <w:rPr>
      <w:b w:val="0"/>
      <w:bCs w:val="0"/>
      <w:i w:val="0"/>
      <w:iCs w:val="0"/>
      <w:color w:val="205E9E"/>
      <w:u w:val="single" w:color="205E9E"/>
    </w:rPr>
  </w:style>
  <w:style w:type="character" w:customStyle="1" w:styleId="WingdingsChar">
    <w:name w:val="WingdingsChar"/>
    <w:uiPriority w:val="99"/>
    <w:rPr>
      <w:rFonts w:ascii="Wingdings" w:hAnsi="Wingdings" w:cs="Wingdings"/>
      <w:b w:val="0"/>
      <w:bCs w:val="0"/>
      <w:i w:val="0"/>
      <w:iCs w:val="0"/>
      <w:color w:val="auto"/>
      <w:sz w:val="18"/>
      <w:szCs w:val="17"/>
    </w:rPr>
  </w:style>
  <w:style w:type="character" w:customStyle="1" w:styleId="GendocOriginalWingdingsChar">
    <w:name w:val="Gendoc_Original_WingdingsChar"/>
    <w:uiPriority w:val="99"/>
    <w:semiHidden/>
    <w:rPr>
      <w:rFonts w:ascii="Wingdings" w:hAnsi="Wingdings" w:cs="Wingdings"/>
      <w:b w:val="0"/>
      <w:bCs w:val="0"/>
      <w:i w:val="0"/>
      <w:iCs w:val="0"/>
      <w:color w:val="auto"/>
      <w:sz w:val="18"/>
      <w:szCs w:val="17"/>
    </w:rPr>
  </w:style>
  <w:style w:type="character" w:customStyle="1" w:styleId="02BoldCharacterStyle">
    <w:name w:val="02_BoldCharacterStyle"/>
    <w:uiPriority w:val="99"/>
    <w:rPr>
      <w:b/>
      <w:bCs/>
    </w:rPr>
  </w:style>
  <w:style w:type="character" w:customStyle="1" w:styleId="GendocOriginal02BoldCharacterStyle">
    <w:name w:val="Gendoc_Original_02_BoldCharacterStyle"/>
    <w:uiPriority w:val="99"/>
    <w:semiHidden/>
    <w:rPr>
      <w:b/>
      <w:bCs/>
    </w:rPr>
  </w:style>
  <w:style w:type="paragraph" w:styleId="Footer">
    <w:name w:val="footer"/>
    <w:uiPriority w:val="99"/>
    <w:pPr>
      <w:tabs>
        <w:tab w:val="right" w:pos="8640"/>
        <w:tab w:val="center" w:pos="4320"/>
      </w:tabs>
      <w:spacing w:after="0" w:line="240" w:lineRule="auto"/>
    </w:pPr>
    <w:rPr>
      <w:sz w:val="25"/>
      <w:szCs w:val="24"/>
    </w:rPr>
  </w:style>
  <w:style w:type="paragraph" w:customStyle="1" w:styleId="GendocOriginalFooter">
    <w:name w:val="Gendoc_Original_Footer"/>
    <w:next w:val="Footer"/>
    <w:uiPriority w:val="99"/>
    <w:semiHidden/>
    <w:pPr>
      <w:tabs>
        <w:tab w:val="right" w:pos="8640"/>
        <w:tab w:val="center" w:pos="4320"/>
      </w:tabs>
      <w:spacing w:after="0" w:line="240" w:lineRule="auto"/>
    </w:pPr>
    <w:rPr>
      <w:sz w:val="25"/>
      <w:szCs w:val="24"/>
    </w:rPr>
  </w:style>
  <w:style w:type="paragraph" w:customStyle="1" w:styleId="000Intitule">
    <w:name w:val="000_Intitule"/>
    <w:uiPriority w:val="99"/>
    <w:pPr>
      <w:widowControl w:val="0"/>
      <w:spacing w:after="60" w:line="240" w:lineRule="auto"/>
    </w:pPr>
    <w:rPr>
      <w:rFonts w:ascii="Open Sans" w:hAnsi="Open Sans" w:cs="Open Sans"/>
      <w:sz w:val="24"/>
      <w:szCs w:val="23"/>
    </w:rPr>
  </w:style>
  <w:style w:type="paragraph" w:customStyle="1" w:styleId="GendocOriginal000Intitule">
    <w:name w:val="Gendoc_Original_000_Intitule"/>
    <w:uiPriority w:val="99"/>
    <w:semiHidden/>
    <w:pPr>
      <w:widowControl w:val="0"/>
      <w:spacing w:after="60" w:line="240" w:lineRule="auto"/>
    </w:pPr>
    <w:rPr>
      <w:rFonts w:ascii="Open Sans" w:hAnsi="Open Sans" w:cs="Open Sans"/>
      <w:sz w:val="24"/>
      <w:szCs w:val="23"/>
    </w:rPr>
  </w:style>
  <w:style w:type="paragraph" w:customStyle="1" w:styleId="001Auteur">
    <w:name w:val="001_Auteur"/>
    <w:uiPriority w:val="99"/>
    <w:pPr>
      <w:widowControl w:val="0"/>
      <w:spacing w:before="60" w:after="0" w:line="310" w:lineRule="exact"/>
      <w:contextualSpacing/>
    </w:pPr>
    <w:rPr>
      <w:rFonts w:ascii="Open Sans" w:hAnsi="Open Sans" w:cs="Open Sans"/>
      <w:caps/>
      <w:color w:val="CDA878"/>
      <w:sz w:val="24"/>
      <w:szCs w:val="23"/>
    </w:rPr>
  </w:style>
  <w:style w:type="paragraph" w:customStyle="1" w:styleId="GendocOriginal001Auteur">
    <w:name w:val="Gendoc_Original_001_Auteur"/>
    <w:uiPriority w:val="99"/>
    <w:semiHidden/>
    <w:pPr>
      <w:widowControl w:val="0"/>
      <w:spacing w:before="60" w:after="0" w:line="310" w:lineRule="exact"/>
      <w:contextualSpacing/>
    </w:pPr>
    <w:rPr>
      <w:rFonts w:ascii="Open Sans" w:hAnsi="Open Sans" w:cs="Open Sans"/>
      <w:caps/>
      <w:color w:val="CDA878"/>
      <w:sz w:val="24"/>
      <w:szCs w:val="23"/>
    </w:rPr>
  </w:style>
  <w:style w:type="paragraph" w:customStyle="1" w:styleId="002ID">
    <w:name w:val="002_ID"/>
    <w:uiPriority w:val="99"/>
    <w:pPr>
      <w:widowControl w:val="0"/>
      <w:spacing w:after="60" w:line="240" w:lineRule="auto"/>
    </w:pPr>
    <w:rPr>
      <w:rFonts w:ascii="Open Sans" w:hAnsi="Open Sans" w:cs="Open Sans"/>
      <w:b/>
      <w:bCs/>
      <w:color w:val="D4A167"/>
      <w:sz w:val="28"/>
      <w:szCs w:val="27"/>
    </w:rPr>
  </w:style>
  <w:style w:type="paragraph" w:customStyle="1" w:styleId="GendocOriginal002ID">
    <w:name w:val="Gendoc_Original_002_ID"/>
    <w:uiPriority w:val="99"/>
    <w:semiHidden/>
    <w:pPr>
      <w:widowControl w:val="0"/>
      <w:spacing w:after="60" w:line="240" w:lineRule="auto"/>
    </w:pPr>
    <w:rPr>
      <w:rFonts w:ascii="Open Sans" w:hAnsi="Open Sans" w:cs="Open Sans"/>
      <w:b/>
      <w:bCs/>
      <w:color w:val="D4A167"/>
      <w:sz w:val="28"/>
      <w:szCs w:val="27"/>
    </w:rPr>
  </w:style>
  <w:style w:type="paragraph" w:customStyle="1" w:styleId="003Date">
    <w:name w:val="003_Date"/>
    <w:uiPriority w:val="99"/>
    <w:pPr>
      <w:widowControl w:val="0"/>
      <w:spacing w:before="54" w:after="60" w:line="240" w:lineRule="auto"/>
    </w:pPr>
    <w:rPr>
      <w:rFonts w:ascii="Open Sans" w:hAnsi="Open Sans" w:cs="Open Sans"/>
      <w:b/>
      <w:bCs/>
      <w:color w:val="FFFFFF"/>
      <w:sz w:val="19"/>
      <w:szCs w:val="18"/>
    </w:rPr>
  </w:style>
  <w:style w:type="paragraph" w:customStyle="1" w:styleId="GendocOriginal003Date">
    <w:name w:val="Gendoc_Original_003_Date"/>
    <w:uiPriority w:val="99"/>
    <w:semiHidden/>
    <w:pPr>
      <w:widowControl w:val="0"/>
      <w:spacing w:before="54" w:after="60" w:line="240" w:lineRule="auto"/>
    </w:pPr>
    <w:rPr>
      <w:rFonts w:ascii="Open Sans" w:hAnsi="Open Sans" w:cs="Open Sans"/>
      <w:b/>
      <w:bCs/>
      <w:color w:val="FFFFFF"/>
      <w:sz w:val="19"/>
      <w:szCs w:val="18"/>
    </w:rPr>
  </w:style>
  <w:style w:type="paragraph" w:customStyle="1" w:styleId="004Objet">
    <w:name w:val="004_Objet"/>
    <w:uiPriority w:val="99"/>
    <w:pPr>
      <w:widowControl w:val="0"/>
      <w:spacing w:before="480" w:after="240" w:line="288" w:lineRule="auto"/>
    </w:pPr>
    <w:rPr>
      <w:rFonts w:ascii="Open Sans" w:hAnsi="Open Sans" w:cs="Open Sans"/>
      <w:szCs w:val="19"/>
    </w:rPr>
  </w:style>
  <w:style w:type="paragraph" w:customStyle="1" w:styleId="GendocOriginal004Objet">
    <w:name w:val="Gendoc_Original_004_Objet"/>
    <w:uiPriority w:val="99"/>
    <w:semiHidden/>
    <w:pPr>
      <w:widowControl w:val="0"/>
      <w:spacing w:before="480" w:after="240" w:line="288" w:lineRule="auto"/>
    </w:pPr>
    <w:rPr>
      <w:rFonts w:ascii="Open Sans" w:hAnsi="Open Sans" w:cs="Open Sans"/>
      <w:szCs w:val="19"/>
    </w:rPr>
  </w:style>
  <w:style w:type="paragraph" w:customStyle="1" w:styleId="005Titre">
    <w:name w:val="005_Titre"/>
    <w:uiPriority w:val="99"/>
    <w:pPr>
      <w:widowControl w:val="0"/>
      <w:spacing w:after="240" w:line="264" w:lineRule="auto"/>
    </w:pPr>
    <w:rPr>
      <w:rFonts w:ascii="Open Sans" w:hAnsi="Open Sans" w:cs="Open Sans"/>
      <w:b/>
      <w:bCs/>
      <w:color w:val="231F20"/>
      <w:sz w:val="26"/>
      <w:szCs w:val="25"/>
    </w:rPr>
  </w:style>
  <w:style w:type="paragraph" w:customStyle="1" w:styleId="GendocOriginal005Titre">
    <w:name w:val="Gendoc_Original_005_Titre"/>
    <w:uiPriority w:val="99"/>
    <w:semiHidden/>
    <w:pPr>
      <w:widowControl w:val="0"/>
      <w:spacing w:after="240" w:line="264" w:lineRule="auto"/>
    </w:pPr>
    <w:rPr>
      <w:rFonts w:ascii="Open Sans" w:hAnsi="Open Sans" w:cs="Open Sans"/>
      <w:b/>
      <w:bCs/>
      <w:color w:val="231F20"/>
      <w:sz w:val="26"/>
      <w:szCs w:val="25"/>
    </w:rPr>
  </w:style>
  <w:style w:type="paragraph" w:customStyle="1" w:styleId="006SousTitre">
    <w:name w:val="006_SousTitre"/>
    <w:uiPriority w:val="99"/>
    <w:pPr>
      <w:widowControl w:val="0"/>
      <w:spacing w:after="240" w:line="264" w:lineRule="auto"/>
    </w:pPr>
    <w:rPr>
      <w:rFonts w:ascii="Open Sans" w:hAnsi="Open Sans" w:cs="Open Sans"/>
      <w:i/>
      <w:iCs/>
      <w:color w:val="231F20"/>
      <w:szCs w:val="19"/>
    </w:rPr>
  </w:style>
  <w:style w:type="paragraph" w:customStyle="1" w:styleId="GendocOriginal006SousTitre">
    <w:name w:val="Gendoc_Original_006_SousTitre"/>
    <w:uiPriority w:val="99"/>
    <w:semiHidden/>
    <w:pPr>
      <w:widowControl w:val="0"/>
      <w:spacing w:after="240" w:line="264" w:lineRule="auto"/>
    </w:pPr>
    <w:rPr>
      <w:rFonts w:ascii="Open Sans" w:hAnsi="Open Sans" w:cs="Open Sans"/>
      <w:i/>
      <w:iCs/>
      <w:color w:val="231F20"/>
      <w:szCs w:val="19"/>
    </w:rPr>
  </w:style>
  <w:style w:type="paragraph" w:customStyle="1" w:styleId="007NomDesParties">
    <w:name w:val="007_NomDesParties"/>
    <w:uiPriority w:val="99"/>
    <w:pPr>
      <w:widowControl w:val="0"/>
      <w:spacing w:after="0" w:line="240" w:lineRule="auto"/>
    </w:pPr>
    <w:rPr>
      <w:rFonts w:ascii="Open Sans" w:hAnsi="Open Sans" w:cs="Open Sans"/>
      <w:szCs w:val="19"/>
    </w:rPr>
  </w:style>
  <w:style w:type="paragraph" w:customStyle="1" w:styleId="GendocOriginal007NomDesParties">
    <w:name w:val="Gendoc_Original_007_NomDesParties"/>
    <w:uiPriority w:val="99"/>
    <w:semiHidden/>
    <w:pPr>
      <w:widowControl w:val="0"/>
      <w:spacing w:after="0" w:line="240" w:lineRule="auto"/>
    </w:pPr>
    <w:rPr>
      <w:rFonts w:ascii="Open Sans" w:hAnsi="Open Sans" w:cs="Open Sans"/>
      <w:szCs w:val="19"/>
    </w:rPr>
  </w:style>
  <w:style w:type="paragraph" w:customStyle="1" w:styleId="008CorpsDuTexte">
    <w:name w:val="008_CorpsDuTexte"/>
    <w:uiPriority w:val="99"/>
    <w:pPr>
      <w:widowControl w:val="0"/>
      <w:spacing w:before="172" w:after="0" w:line="274" w:lineRule="auto"/>
    </w:pPr>
    <w:rPr>
      <w:rFonts w:ascii="Open Sans" w:hAnsi="Open Sans" w:cs="Open Sans"/>
      <w:color w:val="231F20"/>
      <w:sz w:val="18"/>
      <w:szCs w:val="17"/>
    </w:rPr>
  </w:style>
  <w:style w:type="paragraph" w:customStyle="1" w:styleId="GendocOriginal008CorpsDuTexte">
    <w:name w:val="Gendoc_Original_008_CorpsDuTexte"/>
    <w:uiPriority w:val="99"/>
    <w:semiHidden/>
    <w:pPr>
      <w:widowControl w:val="0"/>
      <w:spacing w:before="172" w:after="0" w:line="274" w:lineRule="auto"/>
    </w:pPr>
    <w:rPr>
      <w:rFonts w:ascii="Open Sans" w:hAnsi="Open Sans" w:cs="Open Sans"/>
      <w:color w:val="231F20"/>
      <w:sz w:val="18"/>
      <w:szCs w:val="17"/>
    </w:rPr>
  </w:style>
  <w:style w:type="paragraph" w:customStyle="1" w:styleId="009Boite">
    <w:name w:val="009_Boite"/>
    <w:uiPriority w:val="99"/>
    <w:pPr>
      <w:widowControl w:val="0"/>
      <w:spacing w:before="100" w:after="0" w:line="240" w:lineRule="auto"/>
    </w:pPr>
    <w:rPr>
      <w:rFonts w:ascii="Open Sans" w:hAnsi="Open Sans" w:cs="Open Sans"/>
      <w:color w:val="231F20"/>
      <w:sz w:val="18"/>
      <w:szCs w:val="17"/>
    </w:rPr>
  </w:style>
  <w:style w:type="paragraph" w:customStyle="1" w:styleId="GendocOriginal009Boite">
    <w:name w:val="Gendoc_Original_009_Boite"/>
    <w:uiPriority w:val="99"/>
    <w:semiHidden/>
    <w:pPr>
      <w:widowControl w:val="0"/>
      <w:spacing w:before="100" w:after="0" w:line="240" w:lineRule="auto"/>
    </w:pPr>
    <w:rPr>
      <w:rFonts w:ascii="Open Sans" w:hAnsi="Open Sans" w:cs="Open Sans"/>
      <w:color w:val="231F20"/>
      <w:sz w:val="18"/>
      <w:szCs w:val="17"/>
    </w:rPr>
  </w:style>
  <w:style w:type="paragraph" w:customStyle="1" w:styleId="110Rappel">
    <w:name w:val="110_Rappel"/>
    <w:uiPriority w:val="99"/>
    <w:pPr>
      <w:widowControl w:val="0"/>
      <w:pBdr>
        <w:top w:val="single" w:sz="8" w:space="4" w:color="D1D3D4"/>
        <w:left w:val="single" w:sz="8" w:space="4" w:color="D1D3D4"/>
        <w:bottom w:val="single" w:sz="8" w:space="4" w:color="D1D3D4"/>
        <w:right w:val="single" w:sz="8" w:space="4" w:color="D1D3D4"/>
      </w:pBdr>
      <w:spacing w:before="240" w:after="240" w:line="310" w:lineRule="auto"/>
    </w:pPr>
    <w:rPr>
      <w:rFonts w:ascii="Open Sans" w:hAnsi="Open Sans" w:cs="Open Sans"/>
      <w:color w:val="231F20"/>
      <w:sz w:val="18"/>
      <w:szCs w:val="17"/>
    </w:rPr>
  </w:style>
  <w:style w:type="paragraph" w:customStyle="1" w:styleId="GendocOriginal110Rappel">
    <w:name w:val="Gendoc_Original_110_Rappel"/>
    <w:uiPriority w:val="99"/>
    <w:semiHidden/>
    <w:pPr>
      <w:widowControl w:val="0"/>
      <w:pBdr>
        <w:top w:val="single" w:sz="8" w:space="4" w:color="D1D3D4"/>
        <w:left w:val="single" w:sz="8" w:space="4" w:color="D1D3D4"/>
        <w:bottom w:val="single" w:sz="8" w:space="4" w:color="D1D3D4"/>
        <w:right w:val="single" w:sz="8" w:space="4" w:color="D1D3D4"/>
      </w:pBdr>
      <w:spacing w:before="240" w:after="240" w:line="310" w:lineRule="auto"/>
    </w:pPr>
    <w:rPr>
      <w:rFonts w:ascii="Open Sans" w:hAnsi="Open Sans" w:cs="Open Sans"/>
      <w:color w:val="231F20"/>
      <w:sz w:val="18"/>
      <w:szCs w:val="17"/>
    </w:rPr>
  </w:style>
  <w:style w:type="paragraph" w:styleId="Header">
    <w:name w:val="header"/>
    <w:uiPriority w:val="99"/>
    <w:pPr>
      <w:widowControl w:val="0"/>
      <w:spacing w:after="120" w:line="240" w:lineRule="auto"/>
    </w:pPr>
    <w:rPr>
      <w:rFonts w:ascii="Open Sans" w:hAnsi="Open Sans" w:cs="Open Sans"/>
      <w:sz w:val="22"/>
      <w:szCs w:val="21"/>
    </w:rPr>
  </w:style>
  <w:style w:type="paragraph" w:customStyle="1" w:styleId="GendocOriginalHeader">
    <w:name w:val="Gendoc_Original_Header"/>
    <w:uiPriority w:val="99"/>
    <w:semiHidden/>
    <w:pPr>
      <w:widowControl w:val="0"/>
      <w:spacing w:after="120" w:line="240" w:lineRule="auto"/>
    </w:pPr>
    <w:rPr>
      <w:rFonts w:ascii="Open Sans" w:hAnsi="Open Sans" w:cs="Open Sans"/>
      <w:sz w:val="22"/>
      <w:szCs w:val="21"/>
    </w:rPr>
  </w:style>
  <w:style w:type="paragraph" w:customStyle="1" w:styleId="002IDBig">
    <w:name w:val="002_ID_Big"/>
    <w:uiPriority w:val="99"/>
    <w:pPr>
      <w:widowControl w:val="0"/>
      <w:spacing w:after="0" w:line="240" w:lineRule="auto"/>
    </w:pPr>
    <w:rPr>
      <w:rFonts w:ascii="Open Sans" w:hAnsi="Open Sans" w:cs="Open Sans"/>
      <w:color w:val="D4A167"/>
      <w:sz w:val="48"/>
      <w:szCs w:val="47"/>
    </w:rPr>
  </w:style>
  <w:style w:type="paragraph" w:customStyle="1" w:styleId="GendocOriginal002IDBig">
    <w:name w:val="Gendoc_Original_002_ID_Big"/>
    <w:uiPriority w:val="99"/>
    <w:semiHidden/>
    <w:pPr>
      <w:widowControl w:val="0"/>
      <w:spacing w:after="0" w:line="240" w:lineRule="auto"/>
    </w:pPr>
    <w:rPr>
      <w:rFonts w:ascii="Open Sans" w:hAnsi="Open Sans" w:cs="Open Sans"/>
      <w:color w:val="D4A167"/>
      <w:sz w:val="48"/>
      <w:szCs w:val="47"/>
    </w:rPr>
  </w:style>
  <w:style w:type="paragraph" w:styleId="BodyText">
    <w:name w:val="Body Text"/>
    <w:uiPriority w:val="99"/>
    <w:pPr>
      <w:widowControl w:val="0"/>
      <w:spacing w:after="0" w:line="240" w:lineRule="auto"/>
    </w:pPr>
    <w:rPr>
      <w:rFonts w:ascii="Open Sans" w:hAnsi="Open Sans" w:cs="Open Sans"/>
      <w:sz w:val="18"/>
      <w:szCs w:val="17"/>
    </w:rPr>
  </w:style>
  <w:style w:type="paragraph" w:customStyle="1" w:styleId="GendocOriginalBodytext">
    <w:name w:val="Gendoc_Original_Body text"/>
    <w:uiPriority w:val="99"/>
    <w:semiHidden/>
    <w:pPr>
      <w:widowControl w:val="0"/>
      <w:spacing w:after="0" w:line="240" w:lineRule="auto"/>
    </w:pPr>
    <w:rPr>
      <w:rFonts w:ascii="Open Sans" w:hAnsi="Open Sans" w:cs="Open Sans"/>
      <w:sz w:val="18"/>
      <w:szCs w:val="17"/>
    </w:rPr>
  </w:style>
  <w:style w:type="paragraph" w:customStyle="1" w:styleId="012StayConnected">
    <w:name w:val="012_StayConnected"/>
    <w:uiPriority w:val="99"/>
    <w:pPr>
      <w:widowControl w:val="0"/>
      <w:pBdr>
        <w:top w:val="single" w:sz="8" w:space="4" w:color="C8AE70"/>
        <w:left w:val="single" w:sz="8" w:space="4" w:color="C8AE70"/>
        <w:bottom w:val="single" w:sz="8" w:space="4" w:color="C8AE70"/>
        <w:right w:val="single" w:sz="8" w:space="4" w:color="C8AE70"/>
      </w:pBdr>
      <w:spacing w:before="120" w:after="120" w:line="274" w:lineRule="auto"/>
    </w:pPr>
    <w:rPr>
      <w:rFonts w:ascii="Open Sans SemiBold" w:hAnsi="Open Sans SemiBold" w:cs="Open Sans SemiBold"/>
      <w:sz w:val="18"/>
      <w:szCs w:val="17"/>
    </w:rPr>
  </w:style>
  <w:style w:type="paragraph" w:customStyle="1" w:styleId="GendocOriginal012StayConnected">
    <w:name w:val="Gendoc_Original_012_StayConnected"/>
    <w:uiPriority w:val="99"/>
    <w:semiHidden/>
    <w:pPr>
      <w:widowControl w:val="0"/>
      <w:pBdr>
        <w:top w:val="single" w:sz="8" w:space="4" w:color="C8AE70"/>
        <w:left w:val="single" w:sz="8" w:space="4" w:color="C8AE70"/>
        <w:bottom w:val="single" w:sz="8" w:space="4" w:color="C8AE70"/>
        <w:right w:val="single" w:sz="8" w:space="4" w:color="C8AE70"/>
      </w:pBdr>
      <w:spacing w:before="120" w:after="120" w:line="274" w:lineRule="auto"/>
    </w:pPr>
    <w:rPr>
      <w:rFonts w:ascii="Open Sans SemiBold" w:hAnsi="Open Sans SemiBold" w:cs="Open Sans SemiBold"/>
      <w:sz w:val="18"/>
      <w:szCs w:val="17"/>
    </w:rPr>
  </w:style>
  <w:style w:type="paragraph" w:customStyle="1" w:styleId="50FootnoteNomFictif">
    <w:name w:val="50_Footnote_Nom_Fictif"/>
    <w:basedOn w:val="FootnoteText"/>
    <w:uiPriority w:val="99"/>
    <w:pPr>
      <w:spacing w:after="300" w:line="240" w:lineRule="auto"/>
      <w:ind w:left="142" w:hanging="142"/>
      <w:jc w:val="both"/>
    </w:pPr>
    <w:rPr>
      <w:color w:val="auto"/>
      <w:sz w:val="15"/>
      <w:szCs w:val="14"/>
    </w:rPr>
  </w:style>
  <w:style w:type="paragraph" w:customStyle="1" w:styleId="GendocOriginal50FootnoteNomFictif">
    <w:name w:val="Gendoc_Original_50_Footnote_Nom_Fictif"/>
    <w:basedOn w:val="FootnoteText"/>
    <w:next w:val="50FootnoteNomFictif"/>
    <w:uiPriority w:val="99"/>
    <w:semiHidden/>
    <w:pPr>
      <w:spacing w:after="300" w:line="240" w:lineRule="auto"/>
      <w:ind w:left="142" w:hanging="142"/>
      <w:jc w:val="both"/>
    </w:pPr>
    <w:rPr>
      <w:color w:val="auto"/>
      <w:sz w:val="15"/>
      <w:szCs w:val="14"/>
    </w:rPr>
  </w:style>
  <w:style w:type="paragraph" w:styleId="FootnoteText">
    <w:name w:val="footnote text"/>
    <w:uiPriority w:val="99"/>
    <w:pPr>
      <w:widowControl w:val="0"/>
      <w:spacing w:after="60" w:line="288" w:lineRule="auto"/>
    </w:pPr>
    <w:rPr>
      <w:rFonts w:ascii="Open Sans" w:hAnsi="Open Sans" w:cs="Open Sans"/>
      <w:color w:val="231F20"/>
      <w:sz w:val="14"/>
      <w:szCs w:val="13"/>
    </w:rPr>
  </w:style>
  <w:style w:type="paragraph" w:customStyle="1" w:styleId="GendocOriginalFootnoteText">
    <w:name w:val="Gendoc_Original_Footnote Text"/>
    <w:uiPriority w:val="99"/>
    <w:semiHidden/>
    <w:pPr>
      <w:widowControl w:val="0"/>
      <w:spacing w:after="60" w:line="288" w:lineRule="auto"/>
    </w:pPr>
    <w:rPr>
      <w:rFonts w:ascii="Open Sans" w:hAnsi="Open Sans" w:cs="Open Sans"/>
      <w:color w:val="231F20"/>
      <w:sz w:val="14"/>
      <w:szCs w:val="13"/>
    </w:rPr>
  </w:style>
  <w:style w:type="paragraph" w:customStyle="1" w:styleId="011Footer">
    <w:name w:val="011_Footer"/>
    <w:uiPriority w:val="99"/>
    <w:pPr>
      <w:widowControl w:val="0"/>
      <w:spacing w:after="0" w:line="221" w:lineRule="auto"/>
    </w:pPr>
    <w:rPr>
      <w:rFonts w:ascii="Open Sans" w:hAnsi="Open Sans" w:cs="Open Sans"/>
      <w:color w:val="414042"/>
      <w:sz w:val="18"/>
      <w:szCs w:val="17"/>
    </w:rPr>
  </w:style>
  <w:style w:type="paragraph" w:customStyle="1" w:styleId="GendocOriginal011Footer">
    <w:name w:val="Gendoc_Original_011_Footer"/>
    <w:uiPriority w:val="99"/>
    <w:semiHidden/>
    <w:pPr>
      <w:widowControl w:val="0"/>
      <w:spacing w:after="0" w:line="221" w:lineRule="auto"/>
    </w:pPr>
    <w:rPr>
      <w:rFonts w:ascii="Open Sans" w:hAnsi="Open Sans" w:cs="Open Sans"/>
      <w:color w:val="414042"/>
      <w:sz w:val="18"/>
      <w:szCs w:val="17"/>
    </w:rPr>
  </w:style>
  <w:style w:type="paragraph" w:customStyle="1" w:styleId="102ID">
    <w:name w:val="102_ID"/>
    <w:uiPriority w:val="99"/>
    <w:pPr>
      <w:widowControl w:val="0"/>
      <w:spacing w:after="0" w:line="240" w:lineRule="auto"/>
    </w:pPr>
    <w:rPr>
      <w:rFonts w:ascii="Open Sans" w:hAnsi="Open Sans" w:cs="Open Sans"/>
      <w:color w:val="851A15"/>
      <w:sz w:val="28"/>
      <w:szCs w:val="27"/>
    </w:rPr>
  </w:style>
  <w:style w:type="paragraph" w:customStyle="1" w:styleId="GendocOriginal102ID">
    <w:name w:val="Gendoc_Original_102_ID"/>
    <w:uiPriority w:val="99"/>
    <w:semiHidden/>
    <w:pPr>
      <w:widowControl w:val="0"/>
      <w:spacing w:after="0" w:line="240" w:lineRule="auto"/>
    </w:pPr>
    <w:rPr>
      <w:rFonts w:ascii="Open Sans" w:hAnsi="Open Sans" w:cs="Open Sans"/>
      <w:color w:val="851A15"/>
      <w:sz w:val="28"/>
      <w:szCs w:val="27"/>
    </w:rPr>
  </w:style>
  <w:style w:type="paragraph" w:customStyle="1" w:styleId="102IDC">
    <w:name w:val="102_ID_C"/>
    <w:uiPriority w:val="99"/>
    <w:pPr>
      <w:widowControl w:val="0"/>
      <w:spacing w:after="0" w:line="240" w:lineRule="auto"/>
    </w:pPr>
    <w:rPr>
      <w:rFonts w:ascii="Open Sans" w:hAnsi="Open Sans" w:cs="Open Sans"/>
      <w:color w:val="851A15"/>
      <w:sz w:val="28"/>
      <w:szCs w:val="27"/>
    </w:rPr>
  </w:style>
  <w:style w:type="paragraph" w:customStyle="1" w:styleId="GendocOriginal102IDC">
    <w:name w:val="Gendoc_Original_102_ID_C"/>
    <w:uiPriority w:val="99"/>
    <w:semiHidden/>
    <w:pPr>
      <w:widowControl w:val="0"/>
      <w:spacing w:after="0" w:line="240" w:lineRule="auto"/>
    </w:pPr>
    <w:rPr>
      <w:rFonts w:ascii="Open Sans" w:hAnsi="Open Sans" w:cs="Open Sans"/>
      <w:color w:val="851A15"/>
      <w:sz w:val="28"/>
      <w:szCs w:val="27"/>
    </w:rPr>
  </w:style>
  <w:style w:type="paragraph" w:customStyle="1" w:styleId="103DateC">
    <w:name w:val="103_Date_C"/>
    <w:uiPriority w:val="99"/>
    <w:pPr>
      <w:widowControl w:val="0"/>
      <w:spacing w:before="120" w:after="100" w:line="240" w:lineRule="auto"/>
      <w:ind w:left="45"/>
    </w:pPr>
    <w:rPr>
      <w:rFonts w:ascii="Open Sans" w:hAnsi="Open Sans" w:cs="Open Sans"/>
      <w:color w:val="851A15"/>
      <w:sz w:val="18"/>
      <w:szCs w:val="17"/>
    </w:rPr>
  </w:style>
  <w:style w:type="paragraph" w:customStyle="1" w:styleId="GendocOriginal103DateC">
    <w:name w:val="Gendoc_Original_103_Date_C"/>
    <w:uiPriority w:val="99"/>
    <w:semiHidden/>
    <w:pPr>
      <w:widowControl w:val="0"/>
      <w:spacing w:before="120" w:after="100" w:line="240" w:lineRule="auto"/>
      <w:ind w:left="45"/>
    </w:pPr>
    <w:rPr>
      <w:rFonts w:ascii="Open Sans" w:hAnsi="Open Sans" w:cs="Open Sans"/>
      <w:color w:val="851A15"/>
      <w:sz w:val="18"/>
      <w:szCs w:val="17"/>
    </w:rPr>
  </w:style>
  <w:style w:type="paragraph" w:customStyle="1" w:styleId="103DateTitreC">
    <w:name w:val="103_Date_Titre_C"/>
    <w:uiPriority w:val="99"/>
    <w:pPr>
      <w:widowControl w:val="0"/>
      <w:spacing w:before="54" w:after="0" w:line="240" w:lineRule="auto"/>
      <w:ind w:left="45"/>
    </w:pPr>
    <w:rPr>
      <w:rFonts w:ascii="Open Sans" w:hAnsi="Open Sans" w:cs="Open Sans"/>
      <w:color w:val="851A15"/>
      <w:sz w:val="22"/>
      <w:szCs w:val="21"/>
    </w:rPr>
  </w:style>
  <w:style w:type="paragraph" w:customStyle="1" w:styleId="GendocOriginal103DateTitreC">
    <w:name w:val="Gendoc_Original_103_Date_Titre_C"/>
    <w:uiPriority w:val="99"/>
    <w:semiHidden/>
    <w:pPr>
      <w:widowControl w:val="0"/>
      <w:spacing w:before="54" w:after="0" w:line="240" w:lineRule="auto"/>
      <w:ind w:left="45"/>
    </w:pPr>
    <w:rPr>
      <w:rFonts w:ascii="Open Sans" w:hAnsi="Open Sans" w:cs="Open Sans"/>
      <w:color w:val="851A15"/>
      <w:sz w:val="22"/>
      <w:szCs w:val="21"/>
    </w:rPr>
  </w:style>
  <w:style w:type="paragraph" w:customStyle="1" w:styleId="102IDT">
    <w:name w:val="102_ID_T"/>
    <w:uiPriority w:val="99"/>
    <w:pPr>
      <w:widowControl w:val="0"/>
      <w:spacing w:after="0" w:line="240" w:lineRule="auto"/>
    </w:pPr>
    <w:rPr>
      <w:rFonts w:ascii="Open Sans" w:hAnsi="Open Sans" w:cs="Open Sans"/>
      <w:color w:val="3E516E"/>
      <w:sz w:val="28"/>
      <w:szCs w:val="27"/>
    </w:rPr>
  </w:style>
  <w:style w:type="paragraph" w:customStyle="1" w:styleId="GendocOriginal102IDT">
    <w:name w:val="Gendoc_Original_102_ID_T"/>
    <w:uiPriority w:val="99"/>
    <w:semiHidden/>
    <w:pPr>
      <w:widowControl w:val="0"/>
      <w:spacing w:after="0" w:line="240" w:lineRule="auto"/>
    </w:pPr>
    <w:rPr>
      <w:rFonts w:ascii="Open Sans" w:hAnsi="Open Sans" w:cs="Open Sans"/>
      <w:color w:val="3E516E"/>
      <w:sz w:val="28"/>
      <w:szCs w:val="27"/>
    </w:rPr>
  </w:style>
  <w:style w:type="paragraph" w:customStyle="1" w:styleId="103DateT">
    <w:name w:val="103_Date_T"/>
    <w:uiPriority w:val="99"/>
    <w:pPr>
      <w:widowControl w:val="0"/>
      <w:spacing w:before="120" w:after="100" w:line="240" w:lineRule="auto"/>
      <w:ind w:left="45"/>
    </w:pPr>
    <w:rPr>
      <w:rFonts w:ascii="Open Sans" w:hAnsi="Open Sans" w:cs="Open Sans"/>
      <w:color w:val="3E516E"/>
      <w:sz w:val="18"/>
      <w:szCs w:val="17"/>
    </w:rPr>
  </w:style>
  <w:style w:type="paragraph" w:customStyle="1" w:styleId="GendocOriginal103DateT">
    <w:name w:val="Gendoc_Original_103_Date_T"/>
    <w:uiPriority w:val="99"/>
    <w:semiHidden/>
    <w:pPr>
      <w:widowControl w:val="0"/>
      <w:spacing w:before="120" w:after="100" w:line="240" w:lineRule="auto"/>
      <w:ind w:left="45"/>
    </w:pPr>
    <w:rPr>
      <w:rFonts w:ascii="Open Sans" w:hAnsi="Open Sans" w:cs="Open Sans"/>
      <w:color w:val="3E516E"/>
      <w:sz w:val="18"/>
      <w:szCs w:val="17"/>
    </w:rPr>
  </w:style>
  <w:style w:type="paragraph" w:customStyle="1" w:styleId="103DateTitreT">
    <w:name w:val="103_Date_Titre_T"/>
    <w:uiPriority w:val="99"/>
    <w:pPr>
      <w:widowControl w:val="0"/>
      <w:spacing w:before="54" w:after="0" w:line="240" w:lineRule="auto"/>
      <w:ind w:left="45"/>
    </w:pPr>
    <w:rPr>
      <w:rFonts w:ascii="Open Sans" w:hAnsi="Open Sans" w:cs="Open Sans"/>
      <w:color w:val="3E516E"/>
      <w:sz w:val="22"/>
      <w:szCs w:val="21"/>
    </w:rPr>
  </w:style>
  <w:style w:type="paragraph" w:customStyle="1" w:styleId="GendocOriginal103DateTitreT">
    <w:name w:val="Gendoc_Original_103_Date_Titre_T"/>
    <w:uiPriority w:val="99"/>
    <w:semiHidden/>
    <w:pPr>
      <w:widowControl w:val="0"/>
      <w:spacing w:before="54" w:after="0" w:line="240" w:lineRule="auto"/>
      <w:ind w:left="45"/>
    </w:pPr>
    <w:rPr>
      <w:rFonts w:ascii="Open Sans" w:hAnsi="Open Sans" w:cs="Open Sans"/>
      <w:color w:val="3E516E"/>
      <w:sz w:val="22"/>
      <w:szCs w:val="21"/>
    </w:rPr>
  </w:style>
  <w:style w:type="paragraph" w:customStyle="1" w:styleId="102IDI">
    <w:name w:val="102_ID_I"/>
    <w:uiPriority w:val="99"/>
    <w:pPr>
      <w:widowControl w:val="0"/>
      <w:spacing w:after="0" w:line="240" w:lineRule="auto"/>
    </w:pPr>
    <w:rPr>
      <w:rFonts w:ascii="Open Sans" w:hAnsi="Open Sans" w:cs="Open Sans"/>
      <w:color w:val="725922"/>
      <w:sz w:val="28"/>
      <w:szCs w:val="27"/>
    </w:rPr>
  </w:style>
  <w:style w:type="paragraph" w:customStyle="1" w:styleId="GendocOriginal102IDI">
    <w:name w:val="Gendoc_Original_102_ID_I"/>
    <w:uiPriority w:val="99"/>
    <w:semiHidden/>
    <w:pPr>
      <w:widowControl w:val="0"/>
      <w:spacing w:after="0" w:line="240" w:lineRule="auto"/>
    </w:pPr>
    <w:rPr>
      <w:rFonts w:ascii="Open Sans" w:hAnsi="Open Sans" w:cs="Open Sans"/>
      <w:color w:val="725922"/>
      <w:sz w:val="28"/>
      <w:szCs w:val="27"/>
    </w:rPr>
  </w:style>
  <w:style w:type="paragraph" w:customStyle="1" w:styleId="103DateI">
    <w:name w:val="103_Date_I"/>
    <w:uiPriority w:val="99"/>
    <w:pPr>
      <w:widowControl w:val="0"/>
      <w:spacing w:before="120" w:after="100" w:line="240" w:lineRule="auto"/>
      <w:ind w:left="45"/>
    </w:pPr>
    <w:rPr>
      <w:rFonts w:ascii="Open Sans" w:hAnsi="Open Sans" w:cs="Open Sans"/>
      <w:color w:val="725922"/>
      <w:sz w:val="18"/>
      <w:szCs w:val="17"/>
    </w:rPr>
  </w:style>
  <w:style w:type="paragraph" w:customStyle="1" w:styleId="GendocOriginal103DateI">
    <w:name w:val="Gendoc_Original_103_Date_I"/>
    <w:uiPriority w:val="99"/>
    <w:semiHidden/>
    <w:pPr>
      <w:widowControl w:val="0"/>
      <w:spacing w:before="120" w:after="100" w:line="240" w:lineRule="auto"/>
      <w:ind w:left="45"/>
    </w:pPr>
    <w:rPr>
      <w:rFonts w:ascii="Open Sans" w:hAnsi="Open Sans" w:cs="Open Sans"/>
      <w:color w:val="725922"/>
      <w:sz w:val="18"/>
      <w:szCs w:val="17"/>
    </w:rPr>
  </w:style>
  <w:style w:type="paragraph" w:customStyle="1" w:styleId="103DateTitreI">
    <w:name w:val="103_Date_Titre_I"/>
    <w:uiPriority w:val="99"/>
    <w:pPr>
      <w:widowControl w:val="0"/>
      <w:spacing w:before="54" w:after="0" w:line="240" w:lineRule="auto"/>
      <w:ind w:left="45"/>
    </w:pPr>
    <w:rPr>
      <w:rFonts w:ascii="Open Sans" w:hAnsi="Open Sans" w:cs="Open Sans"/>
      <w:color w:val="725922"/>
      <w:sz w:val="22"/>
      <w:szCs w:val="21"/>
    </w:rPr>
  </w:style>
  <w:style w:type="paragraph" w:customStyle="1" w:styleId="GendocOriginal103DateTitreI">
    <w:name w:val="Gendoc_Original_103_Date_Titre_I"/>
    <w:uiPriority w:val="99"/>
    <w:semiHidden/>
    <w:pPr>
      <w:widowControl w:val="0"/>
      <w:spacing w:before="54" w:after="0" w:line="240" w:lineRule="auto"/>
      <w:ind w:left="45"/>
    </w:pPr>
    <w:rPr>
      <w:rFonts w:ascii="Open Sans" w:hAnsi="Open Sans" w:cs="Open Sans"/>
      <w:color w:val="725922"/>
      <w:sz w:val="22"/>
      <w:szCs w:val="21"/>
    </w:rPr>
  </w:style>
  <w:style w:type="table" w:customStyle="1" w:styleId="TableNoBorder">
    <w:name w:val="TableNoBorder"/>
    <w:uiPriority w:val="99"/>
    <w:tblPr>
      <w:tblCellSpacing w:w="0" w:type="auto"/>
      <w:tblInd w:w="0" w:type="dxa"/>
      <w:tblBorders>
        <w:top w:val="none" w:sz="2" w:space="0" w:color="auto"/>
        <w:left w:val="none" w:sz="2" w:space="0" w:color="auto"/>
        <w:bottom w:val="none" w:sz="2" w:space="0" w:color="auto"/>
        <w:right w:val="none" w:sz="2" w:space="0" w:color="auto"/>
        <w:insideH w:val="none" w:sz="2" w:space="0" w:color="auto"/>
        <w:insideV w:val="none" w:sz="2" w:space="0" w:color="auto"/>
      </w:tblBorders>
      <w:tblCellMar>
        <w:top w:w="0" w:type="dxa"/>
        <w:left w:w="108" w:type="dxa"/>
        <w:bottom w:w="0" w:type="dxa"/>
        <w:right w:w="108" w:type="dxa"/>
      </w:tblCellMar>
    </w:tblPr>
    <w:trPr>
      <w:tblCellSpacing w:w="0" w:type="auto"/>
    </w:trPr>
  </w:style>
  <w:style w:type="table" w:customStyle="1" w:styleId="GendocOriginalTableNoBorder">
    <w:name w:val="Gendoc_Original_TableNoBorder"/>
    <w:uiPriority w:val="99"/>
    <w:semiHidden/>
    <w:tblPr>
      <w:tblCellSpacing w:w="0" w:type="auto"/>
      <w:tblInd w:w="0" w:type="dxa"/>
      <w:tblBorders>
        <w:top w:val="none" w:sz="2" w:space="0" w:color="auto"/>
        <w:left w:val="none" w:sz="2" w:space="0" w:color="auto"/>
        <w:bottom w:val="none" w:sz="2" w:space="0" w:color="auto"/>
        <w:right w:val="none" w:sz="2" w:space="0" w:color="auto"/>
        <w:insideH w:val="none" w:sz="2" w:space="0" w:color="auto"/>
        <w:insideV w:val="none" w:sz="2" w:space="0" w:color="auto"/>
      </w:tblBorders>
      <w:tblCellMar>
        <w:top w:w="0" w:type="dxa"/>
        <w:left w:w="108" w:type="dxa"/>
        <w:bottom w:w="0" w:type="dxa"/>
        <w:right w:w="108" w:type="dxa"/>
      </w:tblCellMar>
    </w:tblPr>
    <w:trPr>
      <w:tblCellSpacing w:w="0" w:type="auto"/>
    </w:trPr>
  </w:style>
  <w:style w:type="character" w:styleId="EndnoteReference">
    <w:name w:val="endnote reference"/>
    <w:basedOn w:val="DefaultParagraphFont"/>
    <w:uiPriority w:val="99"/>
    <w:semiHidden/>
    <w:unhideWhenUsed/>
    <w:rsid w:val="00AF16FE"/>
    <w:rPr>
      <w:vertAlign w:val="superscript"/>
    </w:rPr>
  </w:style>
  <w:style w:type="character" w:styleId="Emphasis">
    <w:name w:val="Emphasis"/>
    <w:basedOn w:val="DefaultParagraphFont"/>
    <w:uiPriority w:val="20"/>
    <w:qFormat/>
    <w:rsid w:val="00AF16FE"/>
    <w:rPr>
      <w:i/>
      <w:iCs/>
    </w:rPr>
  </w:style>
  <w:style w:type="character" w:styleId="CommentReference">
    <w:name w:val="annotation reference"/>
    <w:basedOn w:val="DefaultParagraphFont"/>
    <w:uiPriority w:val="99"/>
    <w:semiHidden/>
    <w:unhideWhenUsed/>
    <w:rsid w:val="002F2A52"/>
    <w:rPr>
      <w:sz w:val="16"/>
      <w:szCs w:val="16"/>
    </w:rPr>
  </w:style>
  <w:style w:type="paragraph" w:styleId="CommentText">
    <w:name w:val="annotation text"/>
    <w:basedOn w:val="Normal"/>
    <w:link w:val="CommentTextChar"/>
    <w:uiPriority w:val="99"/>
    <w:unhideWhenUsed/>
    <w:rsid w:val="002F2A52"/>
    <w:pPr>
      <w:spacing w:line="240" w:lineRule="auto"/>
    </w:pPr>
  </w:style>
  <w:style w:type="character" w:customStyle="1" w:styleId="CommentTextChar">
    <w:name w:val="Comment Text Char"/>
    <w:basedOn w:val="DefaultParagraphFont"/>
    <w:link w:val="CommentText"/>
    <w:uiPriority w:val="99"/>
    <w:rsid w:val="002F2A52"/>
  </w:style>
  <w:style w:type="paragraph" w:styleId="CommentSubject">
    <w:name w:val="annotation subject"/>
    <w:basedOn w:val="CommentText"/>
    <w:next w:val="CommentText"/>
    <w:link w:val="CommentSubjectChar"/>
    <w:uiPriority w:val="99"/>
    <w:semiHidden/>
    <w:unhideWhenUsed/>
    <w:rsid w:val="002F2A52"/>
    <w:rPr>
      <w:b/>
      <w:bCs/>
    </w:rPr>
  </w:style>
  <w:style w:type="character" w:customStyle="1" w:styleId="CommentSubjectChar">
    <w:name w:val="Comment Subject Char"/>
    <w:basedOn w:val="CommentTextChar"/>
    <w:link w:val="CommentSubject"/>
    <w:uiPriority w:val="99"/>
    <w:semiHidden/>
    <w:rsid w:val="002F2A52"/>
    <w:rPr>
      <w:b/>
      <w:bCs/>
    </w:rPr>
  </w:style>
  <w:style w:type="character" w:styleId="FollowedHyperlink">
    <w:name w:val="FollowedHyperlink"/>
    <w:basedOn w:val="DefaultParagraphFont"/>
    <w:uiPriority w:val="99"/>
    <w:semiHidden/>
    <w:unhideWhenUsed/>
    <w:rsid w:val="00092642"/>
    <w:rPr>
      <w:color w:val="954F72" w:themeColor="followedHyperlink"/>
      <w:u w:val="single"/>
    </w:rPr>
  </w:style>
  <w:style w:type="paragraph" w:styleId="EndnoteText">
    <w:name w:val="endnote text"/>
    <w:basedOn w:val="Normal"/>
    <w:link w:val="EndnoteTextChar"/>
    <w:uiPriority w:val="99"/>
    <w:semiHidden/>
    <w:unhideWhenUsed/>
    <w:rsid w:val="00E62D9A"/>
    <w:pPr>
      <w:spacing w:after="0" w:line="240" w:lineRule="auto"/>
    </w:pPr>
  </w:style>
  <w:style w:type="character" w:customStyle="1" w:styleId="EndnoteTextChar">
    <w:name w:val="Endnote Text Char"/>
    <w:basedOn w:val="DefaultParagraphFont"/>
    <w:link w:val="EndnoteText"/>
    <w:uiPriority w:val="99"/>
    <w:semiHidden/>
    <w:rsid w:val="00E62D9A"/>
  </w:style>
  <w:style w:type="paragraph" w:customStyle="1" w:styleId="End">
    <w:name w:val="End"/>
    <w:basedOn w:val="FootnoteText"/>
    <w:rsid w:val="00E62D9A"/>
  </w:style>
  <w:style w:type="character" w:customStyle="1" w:styleId="UnresolvedMention1">
    <w:name w:val="Unresolved Mention1"/>
    <w:basedOn w:val="DefaultParagraphFont"/>
    <w:uiPriority w:val="99"/>
    <w:semiHidden/>
    <w:unhideWhenUsed/>
    <w:rsid w:val="00337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370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hyperlink" Target="https://www.linkedin.com/company/european-court-of-justice/" TargetMode="External"/><Relationship Id="rId39" Type="http://schemas.openxmlformats.org/officeDocument/2006/relationships/image" Target="media/image8.bin"/><Relationship Id="rId21" Type="http://schemas.openxmlformats.org/officeDocument/2006/relationships/hyperlink" Target="https://curia.europa.eu/juris/documents.jsf?num=C-293/24" TargetMode="External"/><Relationship Id="rId34" Type="http://schemas.openxmlformats.org/officeDocument/2006/relationships/hyperlink" Target="https://curia.social-network.europa.eu/@Curia/" TargetMode="External"/><Relationship Id="rId42" Type="http://schemas.openxmlformats.org/officeDocument/2006/relationships/footer" Target="footer2.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curia.europa.eu/juris/documents.jsf?num=C-163/24" TargetMode="External"/><Relationship Id="rId29" Type="http://schemas.openxmlformats.org/officeDocument/2006/relationships/image" Target="media/image3.bin"/><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s://www.youtube.com/channel/UCTfyrAlsJRZF1nGLLgnDiMA" TargetMode="External"/><Relationship Id="rId32" Type="http://schemas.openxmlformats.org/officeDocument/2006/relationships/hyperlink" Target="https://www.threads.net/@eucourtofjustice" TargetMode="External"/><Relationship Id="rId37" Type="http://schemas.openxmlformats.org/officeDocument/2006/relationships/image" Target="media/image7.bin"/><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hyperlink" Target="https://audiovisual.ec.europa.eu/en/ebs/grid?ebs=yes&amp;ebsplus" TargetMode="External"/><Relationship Id="rId28" Type="http://schemas.openxmlformats.org/officeDocument/2006/relationships/hyperlink" Target="https://bsky.app/profile/eucourtofjustice.bsky.social" TargetMode="External"/><Relationship Id="rId36" Type="http://schemas.openxmlformats.org/officeDocument/2006/relationships/hyperlink" Target="https://twitter.com/eucourtpress" TargetMode="External"/><Relationship Id="rId10" Type="http://schemas.openxmlformats.org/officeDocument/2006/relationships/customXml" Target="../customXml/item10.xml"/><Relationship Id="rId19" Type="http://schemas.openxmlformats.org/officeDocument/2006/relationships/endnotes" Target="endnotes.xml"/><Relationship Id="rId31" Type="http://schemas.openxmlformats.org/officeDocument/2006/relationships/image" Target="media/image4.bin"/><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hyperlink" Target="https://curia.europa.eu/site/jcms/d2_5159/da/curia-web-tv" TargetMode="External"/><Relationship Id="rId27" Type="http://schemas.openxmlformats.org/officeDocument/2006/relationships/image" Target="media/image2.bin"/><Relationship Id="rId30" Type="http://schemas.openxmlformats.org/officeDocument/2006/relationships/hyperlink" Target="https://www.instagram.com/eucourtofjustice/" TargetMode="External"/><Relationship Id="rId35" Type="http://schemas.openxmlformats.org/officeDocument/2006/relationships/image" Target="media/image6.bin"/><Relationship Id="rId43" Type="http://schemas.openxmlformats.org/officeDocument/2006/relationships/fontTable" Target="fontTable.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image" Target="media/image1.bin"/><Relationship Id="rId33" Type="http://schemas.openxmlformats.org/officeDocument/2006/relationships/image" Target="media/image5.bin"/><Relationship Id="rId38" Type="http://schemas.openxmlformats.org/officeDocument/2006/relationships/hyperlink" Target="https://whatsapp.com/channel/0029Vb5JeMEKbYMR9yMMGP0e"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curia.europa.eu/juris/documents.jsf?num=C-160/14" TargetMode="External"/><Relationship Id="rId2" Type="http://schemas.openxmlformats.org/officeDocument/2006/relationships/hyperlink" Target="http://data.europa.eu/eli/dir/1977/187/oj" TargetMode="External"/><Relationship Id="rId1" Type="http://schemas.openxmlformats.org/officeDocument/2006/relationships/hyperlink" Target="http://data.europa.eu/eli/reg/2004/796/oj" TargetMode="External"/><Relationship Id="rId4" Type="http://schemas.openxmlformats.org/officeDocument/2006/relationships/hyperlink" Target="https://curia.europa.eu/site/upload/docs/application/pdf/2015-09/cp150096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doc_ref lang="da">
  <dateDepotPiece/>
  <chambre numero="GC"/>
  <suite>1</suite>
  <type_proc>P</type_proc>
  <numproc>1</numproc>
  <ordonnance_motivee/>
  <langues_procedure>
    <affaire id="C###TIRET_INSECABLE###163/24">
      <langue>RO</langue>
    </affaire>
    <agg_langue_procedure>rumænsk</agg_langue_procedure>
    <agg_langue_procedure_count>1</agg_langue_procedure_count>
  </langues_procedure>
  <langue_originale>da</langue_originale>
  <infos_rectif>
    <agg_infoRectif_count>0</agg_infoRectif_count>
    <agg_infoRectif_mention>[Tekst berigtiget ved kendelse af # ]</agg_infoRectif_mention>
  </infos_rectif>
  <dates>
    <date annee="2025" mois="05" jour="20" type="audience_plaidoirie"/>
    <date annee="2026" mois="09" jour="08" type="prononce"/>
    <date annee="2025" mois="10" jour="02" type="conclusions_av_gen"/>
    <date annee="2024" mois="03" jour="01" type="depot"/>
    <date annee="2023" mois="12" jour="21" type="renvoi"/>
    <date annee="2024" mois="07" jour="10" type="fin_proc_ecrite"/>
    <date annee="2024" mois="09" jour="12" type="derniere_traduction"/>
    <date_distribution_rapport>[Date distribution]</date_distribution_rapport>
    <rp_entamer_etude>[Entamer étude]</rp_entamer_etude>
    <rp_envoi_avgen>[Envoi avocat général]</rp_envoi_avgen>
    <rp_accepter_avgen>[Acceptation avocat général]</rp_accepter_avgen>
    <date annee="2025" mois="02" jour="11" type="reunion_generale"/>
    <agg_audience_plaidoirie_date>20.05.2025</agg_audience_plaidoirie_date>
    <agg_prononce_date>08-09-2026</agg_prononce_date>
    <agg_conclusions_av_gen_date>02.10.2025</agg_conclusions_av_gen_date>
    <agg_depot_date>01-03-2024</agg_depot_date>
    <agg_jonction_date/>
    <agg_cloture_date/>
    <agg_fin_proc_ecrite_date>10-07-2024</agg_fin_proc_ecrite_date>
    <agg_derniere_traduction_date>12-09-2024</agg_derniere_traduction_date>
    <agg_renvoi_date>21-12-2023</agg_renvoi_date>
    <agg_radiation_date/>
    <agg_reunion_generale_date>11-02-2025</agg_reunion_generale_date>
    <agg_cloture_fin_mention_date/>
    <agg_ordonnance_date/>
    <agg_ordonnance_motivee/>
    <agg_pieceDossier_date/>
  </dates>
  <rp_annexe>[Annexe]</rp_annexe>
  <JO>JO C###NON_BREAKING_SPACE###3737 du 24.6.2024.</JO>
  <rp_juge_rapporteur>Miroslav Gavalec</rp_juge_rapporteur>
  <depot>
    <act_id>56538</act_id>
    <juridiction>Curtea de Apel Bucureşti</juridiction>
    <pays_code>RO</pays_code>
    <pays>Rumænien</pays>
    <date_renvoi>21/12/2023</date_renvoi>
    <affaire_penale>N</affaire_penale>
  </depot>
  <depotOriginal>
    <typeDepotOriginal/>
    <date annee="2024" mois="03" jour="01" type="dateDepotOriginal"/>
    <agg_depotOriginal_date>01-03-2024</agg_depotOriginal_date>
  </depotOriginal>
  <organisation_procedure>0</organisation_procedure>
  <procedure_orale>0</procedure_orale>
  <reouv>0</reouv>
  <conc_juge_av_gen>0</conc_juge_av_gen>
  <president_juridiction>
    <nom>Lenaerts</nom>
    <prenom>Koen</prenom>
    <initiale>K.</initiale>
    <sexe>M</sexe>
    <civilite>M.</civilite>
    <code>LEA</code>
  </president_juridiction>
  <juges>
    <juge>
      <nom>Lenaerts</nom>
      <prenom>Koen</prenom>
      <initiale>K.</initiale>
      <sexe>M</sexe>
      <civilite>M.</civilite>
      <fonction>président</fonction>
    </juge>
    <juge>
      <nom>von Danwitz</nom>
      <prenom>Thomas</prenom>
      <initiale>T.</initiale>
      <sexe>M</sexe>
      <civilite>M.</civilite>
      <fonction>vice-président</fonction>
    </juge>
    <juge>
      <nom>Biltgen</nom>
      <prenom>François</prenom>
      <initiale>F.</initiale>
      <sexe>M</sexe>
      <civilite>M.</civilite>
      <fonction>afdelingsformand</fonction>
    </juge>
    <juge>
      <nom>Jürimäe</nom>
      <prenom>Küllike</prenom>
      <initiale>K.</initiale>
      <sexe>F</sexe>
      <civilite>Mme</civilite>
      <fonction>afdelingsformand</fonction>
    </juge>
    <juge>
      <nom>Arastey Sahún</nom>
      <prenom>María Lourdes</prenom>
      <initiale>M. L.</initiale>
      <sexe>F</sexe>
      <civilite>Mme</civilite>
      <fonction>afdelingsformand</fonction>
    </juge>
    <juge>
      <nom>Passer</nom>
      <prenom>Jan</prenom>
      <initiale>J.</initiale>
      <sexe>M</sexe>
      <civilite>M.</civilite>
      <fonction>afdelingsformand</fonction>
    </juge>
    <juge>
      <nom>Schalin</nom>
      <prenom>Fredrik</prenom>
      <initiale>F.</initiale>
      <sexe>M</sexe>
      <civilite>M.</civilite>
      <fonction>afdelingsformand</fonction>
    </juge>
    <juge>
      <nom>Rodin</nom>
      <prenom>Siniša</prenom>
      <initiale>S.</initiale>
      <sexe>M</sexe>
      <civilite>M.</civilite>
      <fonction/>
    </juge>
    <juge>
      <nom>Regan</nom>
      <prenom>Eugene</prenom>
      <initiale>E.</initiale>
      <sexe>M</sexe>
      <civilite>M.</civilite>
      <fonction/>
    </juge>
    <juge>
      <nom>Gratsias</nom>
      <prenom>Dimitrios</prenom>
      <initiale>D.</initiale>
      <sexe>M</sexe>
      <civilite>M.</civilite>
      <fonction/>
    </juge>
    <juge>
      <nom>Gavalec</nom>
      <prenom>Miroslav</prenom>
      <initiale>M.</initiale>
      <sexe>M</sexe>
      <civilite>M.</civilite>
      <fonction>(refererende dommer)</fonction>
    </juge>
    <juge>
      <nom>Csehi</nom>
      <prenom>Zoltán</prenom>
      <initiale>Z.</initiale>
      <sexe>M</sexe>
      <civilite>M.</civilite>
      <fonction/>
    </juge>
    <juge>
      <nom>Gervasoni</nom>
      <prenom>Stéphane</prenom>
      <initiale>S.</initiale>
      <sexe>M</sexe>
      <civilite>M.</civilite>
      <fonction/>
    </juge>
    <juge>
      <nom>Fenger</nom>
      <prenom>Niels</prenom>
      <initiale>N.</initiale>
      <sexe>M</sexe>
      <civilite>M.</civilite>
      <fonction/>
    </juge>
    <juge>
      <nom>Frendo</nom>
      <prenom>Ramona</prenom>
      <initiale>R.</initiale>
      <sexe>F</sexe>
      <civilite>Mme</civilite>
      <fonction/>
    </juge>
    <composition>Hr./hr.###NON_BREAKING_SPACE###K.###NON_BREAKING_SPACE###Lenaerts, président, Hr./hr.###NON_BREAKING_SPACE###T.###NON_BREAKING_SPACE###von Danwitz, vice-président, Hr./hr.###NON_BREAKING_SPACE###F.###NON_BREAKING_SPACE###Biltgen, Mmes###NON_BREAKING_SPACE###K.###NON_BREAKING_SPACE###Jürimäe, M.###NON_BREAKING_SPACE###L.###NON_BREAKING_SPACE###Arastey Sahún, MM.###NON_BREAKING_SPACE###J.###NON_BREAKING_SPACE###Passer og F.###NON_BREAKING_SPACE###Schalin, présidents de chambre, MM.###NON_BREAKING_SPACE###S.###NON_BREAKING_SPACE###Rodin, E.###NON_BREAKING_SPACE###Regan, D.###NON_BREAKING_SPACE###Gratsias, M.###NON_BREAKING_SPACE###Gavalec (refererende dommer), Z.###NON_BREAKING_SPACE###Csehi, S.###NON_BREAKING_SPACE###Gervasoni, N.###NON_BREAKING_SPACE###Fenger og Mme###NON_BREAKING_SPACE###R.###NON_BREAKING_SPACE###Frendo, dommerne</composition>
    <president>
      <nom>Lenaerts</nom>
      <prenom>Koen</prenom>
      <initiale>K.</initiale>
      <sexe>M</sexe>
      <civilite>M.</civilite>
      <code>LEA</code>
    </president>
    <presidentFF/>
    <agg_juges>Hr./hr.###NON_BREAKING_SPACE###K.###NON_BREAKING_SPACE###Lenaerts, président, Hr./hr.###NON_BREAKING_SPACE###T.###NON_BREAKING_SPACE###von Danwitz, vice###TIRET_INSECABLE###président, Hr./hr.###NON_BREAKING_SPACE###F.###NON_BREAKING_SPACE###Biltgen, Mmes###NON_BREAKING_SPACE###K.###NON_BREAKING_SPACE###Jürimäe, M.###NON_BREAKING_SPACE###L.###NON_BREAKING_SPACE###Arastey Sahún, MM.###NON_BREAKING_SPACE###J.###NON_BREAKING_SPACE###Passer og F.###NON_BREAKING_SPACE###Schalin, présidents de chambre, MM.###NON_BREAKING_SPACE###S.###NON_BREAKING_SPACE###Rodin, E.###NON_BREAKING_SPACE###Regan, D.###NON_BREAKING_SPACE###Gratsias, M.###NON_BREAKING_SPACE###Gavalec (refererende dommer), Z.###NON_BREAKING_SPACE###Csehi, S.###NON_BREAKING_SPACE###Gervasoni, N.###NON_BREAKING_SPACE###Fenger og Mme###NON_BREAKING_SPACE###R.###NON_BREAKING_SPACE###Frendo, dommerne</agg_juges>
    <agg_juges_count>15</agg_juges_count>
    <agg_juges_president/>
    <agg_juges_president_count>0</agg_juges_president_count>
    <agg_juges_sign>
      <agg_juge_sign>Lenaerts</agg_juge_sign>
      <agg_juge_sign>von###NON_BREAKING_SPACE###Danwitz</agg_juge_sign>
      <agg_juge_sign>Biltgen</agg_juge_sign>
      <agg_juge_sign>Jürimäe</agg_juge_sign>
      <agg_juge_sign>Arastey###NON_BREAKING_SPACE###Sahún</agg_juge_sign>
      <agg_juge_sign>Passer</agg_juge_sign>
      <agg_juge_sign>Schalin</agg_juge_sign>
      <agg_juge_sign>Rodin</agg_juge_sign>
      <agg_juge_sign>Regan</agg_juge_sign>
      <agg_juge_sign>Gratsias</agg_juge_sign>
      <agg_juge_sign>Gavalec</agg_juge_sign>
      <agg_juge_sign>Csehi</agg_juge_sign>
      <agg_juge_sign>Gervasoni</agg_juge_sign>
      <agg_juge_sign>Fenger</agg_juge_sign>
      <agg_juge_sign>Frendo</agg_juge_sign>
    </agg_juges_sign>
    <agg_president_nom>M.###NON_BREAKING_SPACE###K.###NON_BREAKING_SPACE###Lenaerts</agg_president_nom>
    <agg_president_signataire>K.###NON_BREAKING_SPACE###Lenaerts</agg_president_signataire>
    <agg_president_faisant_fonction_nom/>
    <agg_president_faisant_fonction_signataire/>
    <agg_president_faisant_fonction_chambre>Store afdeling</agg_president_faisant_fonction_chambre>
    <agg_president2_juridiction_nom>K.###NON_BREAKING_SPACE###Lenaerts</agg_president2_juridiction_nom>
    <agg_president2_meme_chambre_nom/>
    <agg_president2_faisant_fonction_nom/>
    <agg_president2_faisant_fonction_chambre/>
    <agg_composition>
      <agg_composition_juges>Hr./hr.###NON_BREAKING_SPACE###K.###NON_BREAKING_SPACE###Lenaerts, président, Hr./hr.###NON_BREAKING_SPACE###T.###NON_BREAKING_SPACE###von Danwitz, vice###TIRET_INSECABLE###président, Hr./hr.###NON_BREAKING_SPACE###F.###NON_BREAKING_SPACE###Biltgen, Mmes###NON_BREAKING_SPACE###K.###NON_BREAKING_SPACE###Jürimäe, M.###NON_BREAKING_SPACE###L.###NON_BREAKING_SPACE###Arastey Sahún, MM.###NON_BREAKING_SPACE###J.###NON_BREAKING_SPACE###Passer og F.###NON_BREAKING_SPACE###Schalin, présidents de chambre, MM.###NON_BREAKING_SPACE###S.###NON_BREAKING_SPACE###Rodin, E.###NON_BREAKING_SPACE###Regan, D.###NON_BREAKING_SPACE###Gratsias, M.###NON_BREAKING_SPACE###Gavalec (refererende dommer), Z.###NON_BREAKING_SPACE###Csehi, S.###NON_BREAKING_SPACE###Gervasoni, N.###NON_BREAKING_SPACE###Fenger og Mme###NON_BREAKING_SPACE###R.###NON_BREAKING_SPACE###Frendo, dommerne,</agg_composition_juges>
    </agg_composition>
    <agg_juge_rapporteur/>
    <agg_juge_rapporteur_Civilite/>
  </juges>
  <avgen>
    <premier_avg>O</premier_avg>
    <nom>Rantos</nom>
    <prenom>Athanasios</prenom>
    <initiale>A.</initiale>
    <sexe>M</sexe>
    <civilite>M.</civilite>
    <code>RAN</code>
    <agg_avgen_civilite>A.</agg_avgen_civilite>
    <agg_avgen_nom>A.###NON_BREAKING_SPACE###Rantos</agg_avgen_nom>
    <agg_avgen_nom_short>A.###NON_BREAKING_SPACE###Rantos</agg_avgen_nom_short>
    <agg_avgen_nom_Header>Rantos</agg_avgen_nom_Header>
    <agg_avgen_nom_uppercase>A.###NON_BREAKING_SPACE###RANTOS</agg_avgen_nom_uppercase>
    <agg_avgen_nom_short_uppercase>RANTOS</agg_avgen_nom_short_uppercase>
  </avgen>
  <greffiers>
    <greffier type="present">
      <nom>Şereş</nom>
      <prenom>Ramona</prenom>
      <initiale>R.</initiale>
      <sexe>F</sexe>
      <civilite>Mme</civilite>
      <code>RSS</code>
      <fonction>Administratrice</fonction>
      <code_fonction>ADM_F</code_fonction>
    </greffier>
    <greffier type="signataire">
      <nom>Calot Escobar</nom>
      <prenom>Alfredo</prenom>
      <initiale>A.</initiale>
      <sexe>M</sexe>
      <civilite>M.</civilite>
      <code>ACE</code>
    </greffier>
    <agg_greffier_present>Mme###NON_BREAKING_SPACE###R.###NON_BREAKING_SPACE###Şereş, GREFFEFUNCTION_5[F]</agg_greffier_present>
    <agg_greffier_signataire_present>M.###NON_BREAKING_SPACE###A.###NON_BREAKING_SPACE###Calot Escobar</agg_greffier_signataire_present>
    <agg_greffier_signataire>M.###NON_BREAKING_SPACE###A.###NON_BREAKING_SPACE###Calot Escobar</agg_greffier_signataire>
    <agg_greffier_signataire_present_signature>A.###NON_BREAKING_SPACE###Calot###NON_BREAKING_SPACE###Escobar</agg_greffier_signataire_present_signature>
    <agg_greffier_signataire_signature>A.###NON_BREAKING_SPACE###Calot###NON_BREAKING_SPACE###Escobar</agg_greffier_signataire_signature>
    <agg_greffier_present_initial>R.###NON_BREAKING_SPACE###Şereş</agg_greffier_present_initial>
  </greffiers>
  <observations>
    <observation>
      <parties>
        <partie>
          <partie_id>91938</partie_id>
          <nom_developpe>BX</nom_developpe>
          <libelle_type>Personne physique</libelle_type>
        </partie>
      </parties>
      <representants>
        <representant>
          <nom>BX</nom>
          <prenom>.</prenom>
          <initiale/>
          <sexe>M</sexe>
          <civilite>M.</civilite>
          <pays>Roumanie</pays>
          <ville>Judeţ Argeş</ville>
          <qualite>*</qualite>
          <fonction>REP</fonction>
          <domicile>O</domicile>
          <titre_original>non avocat</titre_original>
          <titre>?</titre>
          <debut_mandat>28/10/2024</debut_mandat>
        </representant>
        <representant>
          <nom>Kis</nom>
          <prenom>Iulia</prenom>
          <initiale>I.</initiale>
          <sexe>F</sexe>
          <civilite>Mme</civilite>
          <pays>Roumanie</pays>
          <ville>Cluj-Napoca</ville>
          <qualite>AV</qualite>
          <fonction>REP</fonction>
          <domicile>O</domicile>
          <titre_original>avocat</titre_original>
          <titre>avocat</titre>
          <debut_mandat>24/03/2025</debut_mandat>
        </representant>
      </representants>
    </observation>
    <observation>
      <parties>
        <partie>
          <partie_id>47137</partie_id>
          <nom_developpe>Roumanie</nom_developpe>
          <libelle_type>Etat membre</libelle_type>
        </partie>
      </parties>
      <representants>
        <representant>
          <nom>Ghiță</nom>
          <prenom>Lavinia</prenom>
          <initiale>L.</initiale>
          <sexe>F</sexe>
          <civilite>Mme</civilite>
          <pays>Roumanie</pays>
          <ville>Bucarest</ville>
          <qualite>*</qualite>
          <fonction>ASS</fonction>
          <domicile>O</domicile>
          <titre_original>Consilier</titre_original>
          <titre>Conseil</titre>
          <debut_mandat>04/07/2024</debut_mandat>
        </representant>
        <representant>
          <nom>Gane</nom>
          <prenom>Emilia</prenom>
          <initiale>E.</initiale>
          <sexe>F</sexe>
          <civilite>Mme</civilite>
          <pays>Roumanie</pays>
          <ville>Bucarest</ville>
          <qualite>*</qualite>
          <fonction>REP</fonction>
          <domicile>O</domicile>
          <titre_original>?</titre_original>
          <titre>?</titre>
          <debut_mandat>04/07/2024</debut_mandat>
        </representant>
        <representant>
          <nom>Liţu</nom>
          <prenom>Laura</prenom>
          <initiale>L.</initiale>
          <sexe>F</sexe>
          <civilite>Mme</civilite>
          <pays>Roumanie</pays>
          <ville>Bucarest</ville>
          <qualite>*</qualite>
          <fonction>ASS</fonction>
          <domicile>O</domicile>
          <titre_original>?</titre_original>
          <titre>?</titre>
          <debut_mandat>04/07/2024</debut_mandat>
        </representant>
      </representants>
    </observation>
    <observation>
      <parties>
        <partie>
          <partie_id>8408</partie_id>
          <nom_developpe>Commission européenne</nom_developpe>
          <libelle_type>Institutions comm.</libelle_type>
        </partie>
      </parties>
      <representants>
        <representant>
          <nom>Becker</nom>
          <prenom>Anne Charlotte</prenom>
          <initiale>A.</initiale>
          <sexe>F</sexe>
          <civilite>Mme</civilite>
          <pays>Belgique</pays>
          <ville>Bruxelles</ville>
          <qualite>MSJ</qualite>
          <fonction>REP</fonction>
          <domicile>O</domicile>
          <titre_original>Membre du service juridique</titre_original>
          <titre/>
          <debut_mandat>03/07/2024</debut_mandat>
        </representant>
        <representant>
          <nom>Radu Bouyon</nom>
          <prenom>Lucia</prenom>
          <initiale>L.</initiale>
          <sexe>F</sexe>
          <civilite>Mme</civilite>
          <pays>Belgique</pays>
          <ville>Bruxelles</ville>
          <qualite>MSJ</qualite>
          <fonction>REP</fonction>
          <domicile>O</domicile>
          <titre_original>Membre du service juridique</titre_original>
          <titre/>
          <debut_mandat>03/07/2024</debut_mandat>
        </representant>
      </representants>
    </observation>
    <agg_observation_parties_count>3</agg_observation_parties_count>
    <partie>
      <agg_observation_partie>BX</agg_observation_partie>
      <agg_observation_partie_representants>  M.###NON_BREAKING_SPACE###BX og Mme###NON_BREAKING_SPACE###I.###NON_BREAKING_SPACE###Kis, avocat,</agg_observation_partie_representants>
      <agg_observation_partie_representants_mandats>  M.###NON_BREAKING_SPACE###BX og Mme###NON_BREAKING_SPACE###I.###NON_BREAKING_SPACE###Kis, avocat,</agg_observation_partie_representants_mandats>
    </partie>
    <partie>
      <agg_observation_partie>Roumanie</agg_observation_partie>
      <agg_observation_partie_representants>  Mme###NON_BREAKING_SPACE###E.###NON_BREAKING_SPACE###Gane, ,</agg_observation_partie_representants>
      <agg_observation_partie_representants_mandats>  Mme###NON_BREAKING_SPACE###E.###NON_BREAKING_SPACE###Gane, ,</agg_observation_partie_representants_mandats>
    </partie>
    <partie>
      <agg_observation_partie>Commission européenne</agg_observation_partie>
      <agg_observation_partie_representants>  Mmes###NON_BREAKING_SPACE###A.###NON_BREAKING_SPACE###Becker og L.###NON_BREAKING_SPACE###Radu Bouyon, ,</agg_observation_partie_representants>
      <agg_observation_partie_representants_mandats>  Mmes###NON_BREAKING_SPACE###A.###NON_BREAKING_SPACE###Becker og L.###NON_BREAKING_SPACE###Radu Bouyon, ,</agg_observation_partie_representants_mandats>
    </partie>
  </observations>
  <affaires>
    <affaire id="pilote" nature="RP">
      <num_aff>C###TIRET_INSECABLE###163/24</num_aff>
      <nom_usuel>Statul Român – Ministerul Finanţelor Publice et Curtea de Apel Bucureşti</nom_usuel>
      <nom_fictif>N</nom_fictif>
      <nature_procedure_nationale code=""/>
      <objet/>
      <mots_cle>Agriculture – Politique agricole commune – Régimes de soutien direct – Règlements (CE) n° 1782/2003 et 796/2004 – Réductions et exclusions applicables en cas de surdéclarations – Exceptions – Notion de données factuelles correctes – Responsabilité de l’État pour les dommages causés aux particuliers par la violation du droit de l’Union – Violation imputable à une juridiction statuant en dernier ressort</mots_cle>
      <complement_mots_cle>Renvoi préjudiciel###NON_BREAKING_SPACE###– ###MotCle###</complement_mots_cle>
      <fondement>
        <institution>TFUE</institution>
        <article>267</article>
      </fondement>
      <depot>
        <act_id>56538</act_id>
        <juridiction>Curtea de Apel Bucureşti</juridiction>
        <pays_code>RO</pays_code>
        <pays>Rumænien</pays>
        <date_renvoi>21/12/2023</date_renvoi>
        <affaire_penale>N</affaire_penale>
      </depot>
      <depotOriginal>
        <typeDepotOriginal/>
        <date annee="2024" mois="03" jour="01" type="dateDepotOriginal"/>
      </depotOriginal>
      <observation_ecrite>1</observation_ecrite>
      <audience_plaidoirie_prevue>1</audience_plaidoirie_prevue>
      <conclusion_prevue>1</conclusion_prevue>
      <depotRequete>
        <date annee="2024" mois="03" jour="01" type="dateDepotRequete"/>
        <agg_depotRequete_date>01-03-2024</agg_depotRequete_date>
      </depotRequete>
      <procedure_ecrite>
        <piece type="DEL_MEMOBS">
          <libelle>Fix. délai pour mémoire ou observations écrites</libelle>
          <partie id="8408" qualite="">Commission</partie>
          <auteurs>
            <auteur>Ernest Ley</auteur>
          </auteurs>
          <numero_pieceDossier/>
          <depots>
            <date annee="2024" mois="07" jour="03" type="memoire"/>
          </depots>
        </piece>
        <piece type="DEL_MEMOBS">
          <libelle>Fix. délai pour mémoire ou observations écrites</libelle>
          <partie id="47137" qualite="">Roumanie</partie>
          <auteurs>
            <auteur>République hellénique</auteur>
          </auteurs>
          <numero_pieceDossier>9</numero_pieceDossier>
          <depots>
            <date annee="2024" mois="07" jour="04" type="memoire"/>
          </depots>
        </piece>
      </procedure_ecrite>
      <parties>
        <requerantes>
          <requerante>
            <parties>
              <partie>
                <id>91938</id>
                <nom_developpe>BX</nom_developpe>
                <nom_simple>BX</nom_simple>
                <pays>Roumanie</pays>
                <ville/>
                <type>PP</type>
                <tri>63</tri>
              </partie>
            </parties>
            <representants>
              <representant>
                <nom>BX</nom>
                <prenom1>.</prenom1>
                <prenom2/>
                <prenom3/>
                <prenom4/>
                <prenom5/>
                <initiale/>
                <sexe>M</sexe>
                <civilite>M.</civilite>
                <qualite>NA</qualite>
                <fonction>REP</fonction>
                <domicile>O</domicile>
                <titre_original>non avocat</titre_original>
                <titre>?</titre>
                <date_debut_mandat>28/10/2024</date_debut_mandat>
                <date_fin_mandat/>
              </representant>
              <representant>
                <nom>Kis</nom>
                <prenom1>Iulia</prenom1>
                <prenom2/>
                <prenom3/>
                <prenom4/>
                <prenom5/>
                <initiale>I.</initiale>
                <sexe>F</sexe>
                <civilite>Mme</civilite>
                <qualite>AV</qualite>
                <fonction>REP</fonction>
                <domicile>O</domicile>
                <titre_original>avocat</titre_original>
                <titre>avocat</titre>
                <date_debut_mandat>24/03/2025</date_debut_mandat>
                <date_fin_mandat/>
              </representant>
            </representants>
            <qualite_secondaire>au principal</qualite_secondaire>
            <qualite_secondaire_code>PRIN</qualite_secondaire_code>
            <agg_parties>
              <agg_partie>
                <agg_partie_nom>BX</agg_partie_nom>
                <agg_partie_countrycity/>
                <agg_partie_countrycity_annexe/>
                <agg_type>PP</agg_type>
                <agg_tri>63</agg_tri>
              </agg_partie>
            </agg_parties>
            <agg_partie_representants>  M.###NON_BREAKING_SPACE###BX og Mme###NON_BREAKING_SPACE###I.###NON_BREAKING_SPACE###Kis, avocat,</agg_partie_representants>
            <agg_partie_representants_mandat>  M.###NON_BREAKING_SPACE###BX og Mme###NON_BREAKING_SPACE###I.###NON_BREAKING_SPACE###Kis, avocat,</agg_partie_representants_mandat>
            <agg_partie_representants_mandat_count>2</agg_partie_representants_mandat_count>
            <agg_partie_qualite>PRIN</agg_partie_qualite>
          </requerante>
          <agg_annexe>0</agg_annexe>
          <agg_partie_Display_Affaire_Jointe>0</agg_partie_Display_Affaire_Jointe>
        </requerantes>
        <defenderesses>
          <defenderesse>
            <parties>
              <partie>
                <id>75159</id>
                <nom_developpe>Statul Român – Ministerul Finanţelor Publice</nom_developpe>
                <nom_simple>STATUL ROMÂN – MINISTERUL FINANŢELOR PUBLICE</nom_simple>
                <pays>Roumanie</pays>
                <ville/>
                <type>EP</type>
                <tri>63</tri>
              </partie>
            </parties>
            <representants/>
            <qualite_secondaire>au principal</qualite_secondaire>
            <qualite_secondaire_code>PRIN</qualite_secondaire_code>
            <agg_parties>
              <agg_partie>
                <agg_partie_nom>Statul Român – Ministerul Finanţelor Publice</agg_partie_nom>
                <agg_partie_countrycity/>
                <agg_partie_countrycity_annexe/>
                <agg_type>EP</agg_type>
                <agg_tri>63</agg_tri>
              </agg_partie>
            </agg_parties>
            <agg_partie_representants/>
            <agg_partie_representants_mandat/>
            <agg_partie_representants_mandat_count>0</agg_partie_representants_mandat_count>
            <agg_partie_qualite>PRIN</agg_partie_qualite>
          </defenderesse>
          <defenderesse>
            <parties>
              <partie>
                <id>91270</id>
                <nom_developpe>Curtea de Apel Bucureşti</nom_developpe>
                <nom_simple>CURTEA DE APEL BUCUREŞTI</nom_simple>
                <pays>Roumanie</pays>
                <ville/>
                <type>EP</type>
                <tri>63</tri>
              </partie>
            </parties>
            <representants/>
            <qualite_secondaire>au principal</qualite_secondaire>
            <qualite_secondaire_code>PRIN</qualite_secondaire_code>
            <agg_parties>
              <agg_partie>
                <agg_partie_nom>Curtea de Apel Bucureşti</agg_partie_nom>
                <agg_partie_countrycity/>
                <agg_partie_countrycity_annexe/>
                <agg_type>EP</agg_type>
                <agg_tri>63</agg_tri>
              </agg_partie>
            </agg_parties>
            <agg_partie_representants/>
            <agg_partie_representants_mandat/>
            <agg_partie_representants_mandat_count>0</agg_partie_representants_mandat_count>
            <agg_partie_qualite>PRIN</agg_partie_qualite>
          </defenderesse>
          <agg_annexe>0</agg_annexe>
          <agg_partie_Display_Affaire_Jointe>0</agg_partie_Display_Affaire_Jointe>
        </defenderesses>
      </parties>
      <agg_motcle>Renvoi préjudiciel###NON_BREAKING_SPACE###– Agriculture – Politique agricole commune – Régimes de soutien direct – Règlements (CE) n° 1782/2003 et 796/2004 – Réductions et exclusions applicables en cas de surdéclarations – Exceptions – Notion de données factuelles correctes – Responsabilité de l’État pour les dommages causés aux particuliers par la violation du droit de l’Union – Violation imputable à une juridiction statuant en dernier ressort</agg_motcle>
      <agg_nom_usuel_uppercase>STATUL ROMÂN – MINISTERUL FINANŢELOR PUBLICE ET CURTEA DE APEL BUCUREŞTI</agg_nom_usuel_uppercase>
      <agg_fondement>267TFUE</agg_fondement>
    </affaire>
    <agg_group_affaires>
      <agg_display_comma>True</agg_display_comma>
      <agg_group_affaire>
        <agg_numaff_list>C###TIRET_INSECABLE###163/24</agg_numaff_list>
        <agg_numaff_list_compress>C###TIRET_INSECABLE###163/24 | Statul Român – Ministerul Finanţelor Publice et Curtea de Apel Bucureşti</agg_numaff_list_compress>
        <agg_numaff_count>1</agg_numaff_count>
        <agg_juridiction>
          <depot>
            <act_id>56538</act_id>
            <juridiction>Curtea de Apel Bucureşti</juridiction>
            <pays_code>RO</pays_code>
            <pays>Rumænien</pays>
            <date_renvoi>21/12/2023</date_renvoi>
            <affaire_penale>N</affaire_penale>
          </depot>
        </agg_juridiction>
        <agg_group_parties>
          <agg_group_partie>
            <agg_numaff_list>C###TIRET_INSECABLE###163/24</agg_numaff_list>
            <agg_numaff_count>1</agg_numaff_count>
            <agg_REQ_parties>
              <group>
                <agg_partie group="1" position="1" total="1" last_partie="1">
                  <agg_nom>BX</agg_nom>
                  <agg_city_country/>
                  <agg_type>PP</agg_type>
                  <agg_tri>63</agg_tri>
                  <agg_numaff_list>C###TIRET_INSECABLE###163/24</agg_numaff_list>
                  <agg_numaff_count>1</agg_numaff_count>
                  <agg_qualite_code>PRIN</agg_qualite_code>
                  <agg_representants>  M.###NON_BREAKING_SPACE###BX og Mme###NON_BREAKING_SPACE###I.###NON_BREAKING_SPACE###Kis, avocat,</agg_representants>
                  <agg_representants_mandat>  M.###NON_BREAKING_SPACE###BX og Mme###NON_BREAKING_SPACE###I.###NON_BREAKING_SPACE###Kis, avocat,</agg_representants_mandat>
                </agg_partie>
              </group>
            </agg_REQ_parties>
            <agg_DEF_parties>
              <group>
                <agg_partie group="1" position="1" total="1">
                  <agg_nom>Statul Român – Ministerul Finanţelor Publice</agg_nom>
                  <agg_city_country/>
                  <agg_type>EP</agg_type>
                  <agg_tri>63</agg_tri>
                  <agg_numaff_list>C###TIRET_INSECABLE###163/24</agg_numaff_list>
                  <agg_numaff_count>1</agg_numaff_count>
                  <agg_qualite_code>PRIN</agg_qualite_code>
                  <agg_representants/>
                  <agg_representants_mandat/>
                </agg_partie>
                <agg_partie group="2" position="1" total="1" last_partie="1">
                  <agg_nom>Curtea de Apel Bucureşti</agg_nom>
                  <agg_city_country/>
                  <agg_type>EP</agg_type>
                  <agg_tri>63</agg_tri>
                  <agg_numaff_list>C###TIRET_INSECABLE###163/24</agg_numaff_list>
                  <agg_numaff_count>1</agg_numaff_count>
                  <agg_qualite_code>PRIN</agg_qualite_code>
                  <agg_representants/>
                  <agg_representants_mandat/>
                </agg_partie>
              </group>
            </agg_DEF_parties>
            <agg_AUTRES_parties/>
            <agg_PEC_parties/>
          </agg_group_partie>
        </agg_group_parties>
      </agg_group_affaire>
    </agg_group_affaires>
    <agg_Affaires_parties>
      <agg_REQ_parties>
        <agg_partie>BX</agg_partie>
      </agg_REQ_parties>
      <agg_DEF_parties>
        <agg_partie>Statul Român – Ministerul Finanţelor Publice</agg_partie>
        <agg_partie>Curtea de Apel Bucureşti</agg_partie>
      </agg_DEF_parties>
    </agg_Affaires_parties>
    <agg_introduction_affaire>  Curtea de Apel Bucureşti (Rumænien),  </agg_introduction_affaire>
    <agg_affaires_start>C###TIRET_INSECABLE###163/24</agg_affaires_start>
    <agg_affaires_start_uppercase>C###TIRET_INSECABLE###163/24</agg_affaires_start_uppercase>
    <agg_affaires_short/>
    <agg_affaires>C###TIRET_INSECABLE###163/24,</agg_affaires>
    <agg_affaires_avis>C###TIRET_INSECABLE###163/24,</agg_affaires_avis>
    <agg_affaires_jointes>C###TIRET_INSECABLE###163/24</agg_affaires_jointes>
    <agg_affaires_jointes_uppercase>C###TIRET_INSECABLE###163/24</agg_affaires_jointes_uppercase>
    <agg_affaires_display_type>grouped</agg_affaires_display_type>
    <agg_affaires_nb_parties_REQ>1</agg_affaires_nb_parties_REQ>
    <agg_affaires_nb_parties_DEF>2</agg_affaires_nb_parties_DEF>
    <agg_affaires_nb_parties_AUTRE>0</agg_affaires_nb_parties_AUTRE>
  </affaires>
  <dates_renvoi>
    <date numaffs="">21-12-2023</date>
  </dates_renvoi>
  <dates_objet>
    <date numaffs="">01-03-2024</date>
  </dates_objet>
  <agg_langue_originale>dansk</agg_langue_originale>
  <agg_general_data>
    <agg_aide_judiciaire_texte/>
    <agg_affaire_chambre>Store afdeling</agg_affaire_chambre>
    <agg_chambre_numero/>
    <agg_affaire_chambre_parentheses>Store afdeling</agg_affaire_chambre_parentheses>
    <agg_affaire_chambre_upper>STORE AFDELING</agg_affaire_chambre_upper>
  </agg_general_data>
  <agg_demande_suivi2>
    <agg_auteurs/>
    <agg_numero_pieceDossier> - </agg_numero_pieceDossier>
    <agg_denomination>DENOM_PP-</agg_denomination>
  </agg_demande_suivi2>
</doc_ref>
</file>

<file path=customXml/item10.xml><?xml version="1.0" encoding="utf-8"?>
<GendocCanevasStyleMapping>
  <Style>
    <StyleId>1</StyleId>
    <GendocStyle>01PointSomAltN</GendocStyle>
    <CanevasStyle>01PointAltN</CanevasStyle>
    <Organization>C</Organization>
    <IsBold>false</IsBold>
    <IsItalic>false</IsItalic>
    <IsSuperscript>false</IsSuperscript>
    <TemplateKey/>
  </Style>
</GendocCanevasStyleMapping>
</file>

<file path=customXml/item11.xml><?xml version="1.0" encoding="utf-8"?>
<template-info>
  <custom-properties type="Gendoc.Model.Application.LegalGenerationContext">
    <User>lee</User>
    <GenerationDate>02-09-26 13:45:09</GenerationDate>
    <GendocTemplateType>COM_PRESS</GendocTemplateType>
    <GendocTemplateSubType/>
    <GendocTemplateOptions>RP</GendocTemplateOptions>
    <Lang>da-DK</Lang>
    <LangCode>da</LangCode>
    <OriginalLang>dansk</OriginalLang>
    <OriginLangCode/>
    <Juridiction>C</Juridiction>
    <CaseNumber>163</CaseNumber>
    <CaseYear>24</CaseYear>
    <CaseNature>RP</CaseNature>
    <CaseNumberSuite>1</CaseNumberSuite>
    <ProcedureType>P</ProcedureType>
    <ProcedureNumber>1</ProcedureNumber>
    <EditionType>Final</EditionType>
    <ComPressId>CP20260902134509</ComPressId>
    <OrdonnanceMotivee/>
    <OrdonnanceType>0</OrdonnanceType>
    <TypeCase>ARRET</TypeCase>
    <TypeTrad/>
    <Institution>TFUE</Institution>
    <Article>267</Article>
    <NumeroDossier>0</NumeroDossier>
    <NumeroSuivi2>0</NumeroSuivi2>
    <DateDepotPiece/>
    <DatePublication/>
    <IsOrdPresidentChambre>False</IsOrdPresidentChambre>
    <IsGeneratedByService>False</IsGeneratedByService>
    <HasSpaceBeforeIndice>True</HasSpaceBeforeIndice>
    <HasSpaceBeforeNote>True</HasSpaceBeforeNote>
    <BoldIndice>False</BoldIndice>
    <DecNatParameters/>
    <IdPublication>-1</IdPublication>
    <MiniDocDataIndex>-1</MiniDocDataIndex>
    <AEMParameters/>
    <Environment>p</Environment>
    <Status>Brouillon</Status>
    <TemplateVersionId>9748</TemplateVersionId>
    <TemporaryStyles>False</TemporaryStyles>
    <StyleStatusId/>
    <NumDocForResume/>
    <GenricDatasourceConfiguation>System.Collections.Generic.List`1[GM.Data.Models.Business.GenDoc2.GenericDatasourceConfiguration]</GenricDatasourceConfiguation>
    <ManualJoins>System.Collections.Generic.List`1[GM.Data.Models.GenDoc2.Litige.LitigeAffaire]</ManualJoins>
    <ManualLinkedCases>System.Collections.Generic.List`1[GM.Data.Models.GenDoc2.Litige.LitigeAffaire]</ManualLinkedCases>
    <PublicationVersion>Normal</PublicationVersion>
    <Content/>
  </custom-properties>
  <document-classification>
    <AvailableLanguages>
      <lang>bg-BG</lang>
      <lang>sv-SE</lang>
      <lang>da-DK</lang>
      <lang>de-DE</lang>
      <lang>el-GR</lang>
      <lang>en-GB</lang>
      <lang>es-ES</lang>
      <lang>et-EE</lang>
      <lang>fi-FI</lang>
      <lang>fr-FR</lang>
      <lang>ga-IE</lang>
      <lang>hr-HR</lang>
      <lang>hu-HU</lang>
      <lang>it-IT</lang>
      <lang>lt-LT</lang>
      <lang>lv-LV</lang>
      <lang>mt-MT</lang>
      <lang>nl-NL</lang>
      <lang>pl-PL</lang>
      <lang>pt-PT</lang>
      <lang>ro-RO</lang>
      <lang>sk-SK</lang>
      <lang>sl-SI</lang>
      <lang>cs-CZ</lang>
    </AvailableLanguages>
    <DocumentType>COM_PRESS</DocumentType>
    <CustomEditionTypeConfigs>
      <EditionTypeConfig>
        <RelatedEditionType>Final</RelatedEditionType>
        <SpaceAfterMult>1</SpaceAfterMult>
        <SpaceBeforeMult>1</SpaceBeforeMult>
        <SpaceBetweenMult>1</SpaceBetweenMult>
        <SectionMarginsOverride>
          <Top>
            <Size>1440</Size>
            <Unit>Dxa</Unit>
          </Top>
          <Bottom>
            <Size>1440</Size>
            <Unit>Dxa</Unit>
          </Bottom>
          <Left>
            <Size>1080</Size>
            <Unit>Dxa</Unit>
          </Left>
          <Right>
            <Size>1080</Size>
            <Unit>Dxa</Unit>
          </Right>
          <Gutter>
            <Size>0</Size>
            <Unit>Points</Unit>
          </Gutter>
          <HeaderStart>
            <Size>720</Size>
            <Unit>Dxa</Unit>
          </HeaderStart>
          <FooterStart>
            <Size>720</Size>
            <Unit>Dxa</Unit>
          </FooterStart>
        </SectionMarginsOverride>
      </EditionTypeConfig>
    </CustomEditionTypeConfigs>
    <Organization>
      <EditionTypeConfigs>
        <EditionTypeConfig>
          <RelatedEditionType>Final</RelatedEditionType>
          <SpaceAfterMult>1</SpaceAfterMult>
          <SpaceBeforeMult>1</SpaceBeforeMult>
          <SpaceBetweenMult>1</SpaceBetweenMult>
          <SectionMarginsOverride>
            <Top>
              <Size>1701</Size>
              <Unit>Dxa</Unit>
            </Top>
            <Bottom>
              <Size>1644</Size>
              <Unit>Dxa</Unit>
            </Bottom>
            <Left>
              <Size>1871</Size>
              <Unit>Dxa</Unit>
            </Left>
            <Right>
              <Size>1758</Size>
              <Unit>Dxa</Unit>
            </Right>
            <Gutter>
              <Size>0</Size>
              <Unit>Points</Unit>
            </Gutter>
            <HeaderStart>
              <Size>35.4</Size>
              <Unit>Points</Unit>
            </HeaderStart>
            <FooterStart>
              <Size>35.4</Size>
              <Unit>Points</Unit>
            </FooterStart>
          </SectionMarginsOverride>
        </EditionTypeConfig>
        <EditionTypeConfig>
          <RelatedEditionType>Provisory</RelatedEditionType>
          <SpaceAfterMult>1</SpaceAfterMult>
          <SpaceBeforeMult>1</SpaceBeforeMult>
          <SpaceBetweenMult>1.5</SpaceBetweenMult>
          <SectionMarginsOverride>
            <Top>
              <Size>3402</Size>
              <Unit>Dxa</Unit>
            </Top>
            <Bottom>
              <Size>2155</Size>
              <Unit>Dxa</Unit>
            </Bottom>
            <Left>
              <Size>1815</Size>
              <Unit>Dxa</Unit>
            </Left>
            <Right>
              <Size>2835</Size>
              <Unit>Dxa</Unit>
            </Right>
            <Gutter>
              <Size>0</Size>
              <Unit>Points</Unit>
            </Gutter>
            <HeaderStart>
              <Size>2551</Size>
              <Unit>Dxa</Unit>
            </HeaderStart>
            <FooterStart>
              <Size>680</Size>
              <Unit>Dxa</Unit>
            </FooterStart>
          </SectionMarginsOverride>
        </EditionTypeConfig>
        <EditionTypeConfig>
          <RelatedEditionType>ProvisoryWithoutMargins</RelatedEditionType>
          <SpaceAfterMult>1</SpaceAfterMult>
          <SpaceBeforeMult>1</SpaceBeforeMult>
          <SpaceBetweenMult>1</SpaceBetweenMult>
          <SectionMarginsOverride>
            <Top>
              <Size>3402</Size>
              <Unit>Dxa</Unit>
            </Top>
            <Bottom>
              <Size>1644</Size>
              <Unit>Dxa</Unit>
            </Bottom>
            <Left>
              <Size>1871</Size>
              <Unit>Dxa</Unit>
            </Left>
            <Right>
              <Size>1758</Size>
              <Unit>Dxa</Unit>
            </Right>
            <Gutter>
              <Size>0</Size>
              <Unit>Points</Unit>
            </Gutter>
            <HeaderStart>
              <Size>2551</Size>
              <Unit>Dxa</Unit>
            </HeaderStart>
            <FooterStart>
              <Size>680</Size>
              <Unit>Dxa</Unit>
            </FooterStart>
          </SectionMarginsOverride>
        </EditionTypeConfig>
      </EditionTypeConfigs>
      <Code>C</Code>
    </Organization>
  </document-classification>
</template-info>
</file>

<file path=customXml/item12.xml><?xml version="1.0" encoding="utf-8"?>
<BackupStyles>
  <OriginalEditionType>Final</OriginalEditionType>
  <w:styles xmlns:w="http://schemas.openxmlformats.org/wordprocessingml/2006/main">
    <w:docDefaults>
      <w:rPrDefault>
        <w:rPr>
          <w:lang w:val="da-DK" w:eastAsia="da-DK" w:bidi="da-DK"/>
        </w:rPr>
      </w:rPrDefault>
    </w:docDefaults>
    <w:latentStyles w:defLockedState="false" w:defUIPriority="99" w:defSemiHidden="true" w:defUnhideWhenUsed="true" w:defQFormat="false" w:count="0"/>
    <w:style w:type="character" w:styleId="FootnoteReference" w:default="false">
      <w:name w:val="Footnote Reference"/>
      <w:next w:val="Footnote Reference"/>
      <w:uiPriority w:val="99"/>
      <w:basedOn w:val="DefaultParagraphFont"/>
      <w:rPr>
        <w:color w:val="auto"/>
        <w:b w:val="false"/>
        <w:bCs w:val="false"/>
        <w:i w:val="false"/>
        <w:iCs w:val="false"/>
        <w:vertAlign w:val="superscript"/>
      </w:rPr>
    </w:style>
    <w:style w:type="character" w:styleId="GendocOriginalFootnoteReference" w:default="false">
      <w:name w:val="Gendoc_Original_Footnote Reference"/>
      <w:next w:val="Gendoc_Original_Footnote Reference"/>
      <w:uiPriority w:val="99"/>
      <w:basedOn w:val="DefaultParagraphFont"/>
      <w:semiHidden/>
      <w:rPr>
        <w:color w:val="auto"/>
        <w:b w:val="false"/>
        <w:bCs w:val="false"/>
        <w:i w:val="false"/>
        <w:iCs w:val="false"/>
        <w:vertAlign w:val="superscript"/>
      </w:rPr>
    </w:style>
    <w:style w:type="character" w:styleId="Hyperlink" w:default="false">
      <w:name w:val="Hyperlink"/>
      <w:next w:val="Hyperlink"/>
      <w:uiPriority w:val="99"/>
      <w:basedOn w:val="DefaultParagraphFont"/>
      <w:rPr>
        <w:color w:val="205E9E"/>
        <w:b w:val="false"/>
        <w:bCs w:val="false"/>
        <w:i w:val="false"/>
        <w:iCs w:val="false"/>
        <w:u w:val="single" w:color="205E9E"/>
      </w:rPr>
    </w:style>
    <w:style w:type="character" w:styleId="GendocOriginalHyperlink" w:default="false">
      <w:name w:val="Gendoc_Original_Hyperlink"/>
      <w:next w:val="Gendoc_Original_Hyperlink"/>
      <w:uiPriority w:val="99"/>
      <w:basedOn w:val="DefaultParagraphFont"/>
      <w:semiHidden/>
      <w:rPr>
        <w:color w:val="205E9E"/>
        <w:b w:val="false"/>
        <w:bCs w:val="false"/>
        <w:i w:val="false"/>
        <w:iCs w:val="false"/>
        <w:u w:val="single" w:color="205E9E"/>
      </w:rPr>
    </w:style>
    <w:style w:type="character" w:styleId="WingdingsChar" w:default="false">
      <w:name w:val="WingdingsChar"/>
      <w:next w:val="WingdingsChar"/>
      <w:uiPriority w:val="99"/>
      <w:basedOn w:val="DefaultParagraphFont"/>
      <w:rPr>
        <w:rFonts w:ascii="Wingdings" w:hAnsi="Wingdings" w:cs="Wingdings"/>
        <w:color w:val="auto"/>
        <w:sz w:val="18"/>
        <w:szCs w:val="17"/>
        <w:b w:val="false"/>
        <w:bCs w:val="false"/>
        <w:i w:val="false"/>
        <w:iCs w:val="false"/>
      </w:rPr>
    </w:style>
    <w:style w:type="character" w:styleId="GendocOriginalWingdingsChar" w:default="false">
      <w:name w:val="Gendoc_Original_WingdingsChar"/>
      <w:next w:val="Gendoc_Original_WingdingsChar"/>
      <w:uiPriority w:val="99"/>
      <w:basedOn w:val="DefaultParagraphFont"/>
      <w:semiHidden/>
      <w:rPr>
        <w:rFonts w:ascii="Wingdings" w:hAnsi="Wingdings" w:cs="Wingdings"/>
        <w:color w:val="auto"/>
        <w:sz w:val="18"/>
        <w:szCs w:val="17"/>
        <w:b w:val="false"/>
        <w:bCs w:val="false"/>
        <w:i w:val="false"/>
        <w:iCs w:val="false"/>
      </w:rPr>
    </w:style>
    <w:style w:type="character" w:styleId="02BoldCharacterStyle" w:default="false">
      <w:name w:val="02_BoldCharacterStyle"/>
      <w:next w:val="02_BoldCharacterStyle"/>
      <w:uiPriority w:val="99"/>
      <w:basedOn w:val="DefaultParagraphFont"/>
      <w:rPr>
        <w:b w:val="true"/>
        <w:bCs w:val="true"/>
      </w:rPr>
    </w:style>
    <w:style w:type="character" w:styleId="GendocOriginal02BoldCharacterStyle" w:default="false">
      <w:name w:val="Gendoc_Original_02_BoldCharacterStyle"/>
      <w:next w:val="Gendoc_Original_02_BoldCharacterStyle"/>
      <w:uiPriority w:val="99"/>
      <w:basedOn w:val="DefaultParagraphFont"/>
      <w:semiHidden/>
      <w:rPr>
        <w:b w:val="true"/>
        <w:bCs w:val="true"/>
      </w:rPr>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pPr>
        <w:tabs>
          <w:tab w:val="right" w:leader="none" w:pos="8640"/>
          <w:tab w:val="center" w:leader="none" w:pos="4320"/>
        </w:tabs>
        <w:spacing w:before="0" w:after="0" w:line="240" w:lineRule="auto"/>
        <w:ind w:start="0" w:end="0"/>
        <w:jc w:val="left"/>
      </w:pPr>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pPr>
        <w:tabs>
          <w:tab w:val="right" w:leader="none" w:pos="8640"/>
          <w:tab w:val="center" w:leader="none" w:pos="4320"/>
        </w:tabs>
        <w:spacing w:before="0" w:after="0" w:line="240" w:lineRule="auto"/>
        <w:ind w:start="0" w:end="0"/>
        <w:jc w:val="left"/>
      </w:pPr>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pPr>
        <w:spacing w:before="0" w:after="60" w:line="240" w:lineRule="auto"/>
        <w:ind w:start="0" w:end="0"/>
        <w:jc w:val="left"/>
        <w:widowControl w:val="false"/>
      </w:pPr>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pPr>
        <w:spacing w:before="0" w:after="60" w:line="240" w:lineRule="auto"/>
        <w:ind w:start="0" w:end="0"/>
        <w:jc w:val="left"/>
        <w:widowControl w:val="false"/>
      </w:pPr>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widowControl w:val="false"/>
      </w:pPr>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widowControl w:val="false"/>
      </w:pPr>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pPr>
        <w:spacing w:before="0" w:after="60" w:line="240" w:lineRule="auto"/>
        <w:ind w:start="0" w:end="0"/>
        <w:jc w:val="left"/>
        <w:widowControl w:val="false"/>
      </w:pPr>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pPr>
        <w:spacing w:before="0" w:after="60" w:line="240" w:lineRule="auto"/>
        <w:ind w:start="0" w:end="0"/>
        <w:jc w:val="left"/>
        <w:widowControl w:val="false"/>
      </w:pPr>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pPr>
        <w:spacing w:before="54" w:after="60" w:line="240" w:lineRule="auto"/>
        <w:ind w:start="0" w:end="0"/>
        <w:jc w:val="left"/>
        <w:widowControl w:val="false"/>
      </w:pPr>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pPr>
        <w:spacing w:before="54" w:after="60" w:line="240" w:lineRule="auto"/>
        <w:ind w:start="0" w:end="0"/>
        <w:jc w:val="left"/>
        <w:widowControl w:val="false"/>
      </w:pPr>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pPr>
        <w:spacing w:before="480" w:after="240" w:line="288" w:lineRule="auto"/>
        <w:ind w:start="0" w:end="0"/>
        <w:jc w:val="left"/>
        <w:widowControl w:val="false"/>
      </w:pPr>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pPr>
        <w:spacing w:before="480" w:after="240" w:line="288" w:lineRule="auto"/>
        <w:ind w:start="0" w:end="0"/>
        <w:jc w:val="left"/>
        <w:widowControl w:val="false"/>
      </w:pPr>
    </w:style>
    <w:style w:type="paragraph" w:styleId="005Titre" w:default="false">
      <w:name w:val="005_Titre"/>
      <w:next w:val="01PointnumeroteAltN"/>
      <w:uiPriority w:val="99"/>
      <w:basedOn w:val="Normal"/>
      <w:rPr>
        <w:rFonts w:ascii="Open Sans" w:hAnsi="Open Sans" w:cs="Open Sans"/>
        <w:color w:val="#231F20"/>
        <w:sz w:val="26"/>
        <w:szCs w:val="25"/>
        <w:b w:val="true"/>
        <w:bCs w:val="true"/>
        <w:i w:val="false"/>
        <w:iCs w:val="false"/>
      </w:rPr>
      <w:pPr>
        <w:spacing w:before="0" w:after="240" w:line="264" w:lineRule="auto"/>
        <w:ind w:start="0" w:end="0"/>
        <w:jc w:val="left"/>
        <w:widowControl w:val="false"/>
      </w:pPr>
    </w:style>
    <w:style w:type="paragraph" w:styleId="GendocOriginal005Titre" w:default="false">
      <w:name w:val="Gendoc_Original_005_Titre"/>
      <w:next w:val="01PointnumeroteAltN"/>
      <w:uiPriority w:val="99"/>
      <w:basedOn w:val="Normal"/>
      <w:semiHidden/>
      <w:rPr>
        <w:rFonts w:ascii="Open Sans" w:hAnsi="Open Sans" w:cs="Open Sans"/>
        <w:color w:val="#231F20"/>
        <w:sz w:val="26"/>
        <w:szCs w:val="25"/>
        <w:b w:val="true"/>
        <w:bCs w:val="true"/>
        <w:i w:val="false"/>
        <w:iCs w:val="false"/>
      </w:rPr>
      <w:pPr>
        <w:spacing w:before="0" w:after="240" w:line="264" w:lineRule="auto"/>
        <w:ind w:start="0" w:end="0"/>
        <w:jc w:val="left"/>
        <w:widowControl w:val="false"/>
      </w:pPr>
    </w:style>
    <w:style w:type="paragraph" w:styleId="006SousTitre" w:default="false">
      <w:name w:val="006_SousTitre"/>
      <w:next w:val="01PointnumeroteAltN"/>
      <w:uiPriority w:val="99"/>
      <w:basedOn w:val="Normal"/>
      <w:rPr>
        <w:rFonts w:ascii="Open Sans" w:hAnsi="Open Sans" w:cs="Open Sans"/>
        <w:color w:val="#231F20"/>
        <w:sz w:val="20"/>
        <w:szCs w:val="19"/>
        <w:b w:val="false"/>
        <w:bCs w:val="false"/>
        <w:i w:val="true"/>
        <w:iCs w:val="true"/>
      </w:rPr>
      <w:pPr>
        <w:spacing w:before="0" w:after="240" w:line="264" w:lineRule="auto"/>
        <w:ind w:start="0" w:end="0"/>
        <w:jc w:val="left"/>
        <w:widowControl w:val="false"/>
      </w:pPr>
    </w:style>
    <w:style w:type="paragraph" w:styleId="GendocOriginal006SousTitre" w:default="false">
      <w:name w:val="Gendoc_Original_006_SousTitre"/>
      <w:next w:val="01PointnumeroteAltN"/>
      <w:uiPriority w:val="99"/>
      <w:basedOn w:val="Normal"/>
      <w:semiHidden/>
      <w:rPr>
        <w:rFonts w:ascii="Open Sans" w:hAnsi="Open Sans" w:cs="Open Sans"/>
        <w:color w:val="#231F20"/>
        <w:sz w:val="20"/>
        <w:szCs w:val="19"/>
        <w:b w:val="false"/>
        <w:bCs w:val="false"/>
        <w:i w:val="true"/>
        <w:iCs w:val="true"/>
      </w:rPr>
      <w:pPr>
        <w:spacing w:before="0" w:after="240" w:line="264" w:lineRule="auto"/>
        <w:ind w:start="0" w:end="0"/>
        <w:jc w:val="left"/>
        <w:widowControl w:val="false"/>
      </w:pPr>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pPr>
        <w:spacing w:before="0" w:after="0" w:line="240" w:lineRule="auto"/>
        <w:ind w:start="0" w:end="0"/>
        <w:jc w:val="left"/>
        <w:widowControl w:val="false"/>
      </w:pPr>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pPr>
        <w:spacing w:before="0" w:after="0" w:line="240" w:lineRule="auto"/>
        <w:ind w:start="0" w:end="0"/>
        <w:jc w:val="left"/>
        <w:widowControl w:val="false"/>
      </w:pPr>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pPr>
        <w:spacing w:before="172" w:after="0" w:line="274" w:lineRule="auto"/>
        <w:ind w:start="0" w:end="0"/>
        <w:jc w:val="left"/>
        <w:widowControl w:val="false"/>
      </w:pPr>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pPr>
        <w:spacing w:before="172" w:after="0" w:line="274" w:lineRule="auto"/>
        <w:ind w:start="0" w:end="0"/>
        <w:jc w:val="left"/>
        <w:widowControl w:val="false"/>
      </w:pPr>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pPr>
        <w:spacing w:before="100" w:after="0" w:line="240" w:lineRule="auto"/>
        <w:ind w:start="0" w:end="0"/>
        <w:jc w:val="left"/>
        <w:widowControl w:val="false"/>
      </w:pPr>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pPr>
        <w:spacing w:before="100" w:after="0" w:line="240" w:lineRule="auto"/>
        <w:ind w:start="0" w:end="0"/>
        <w:jc w:val="left"/>
        <w:widowControl w:val="false"/>
      </w:pPr>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widowControl w:val="false"/>
      </w:pPr>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widowControl w:val="false"/>
      </w:pPr>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pPr>
        <w:spacing w:before="0" w:after="120" w:line="240" w:lineRule="auto"/>
        <w:ind w:start="0" w:end="0"/>
        <w:jc w:val="left"/>
        <w:widowControl w:val="false"/>
      </w:pPr>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pPr>
        <w:spacing w:before="0" w:after="120" w:line="240" w:lineRule="auto"/>
        <w:ind w:start="0" w:end="0"/>
        <w:jc w:val="left"/>
        <w:widowControl w:val="false"/>
      </w:pPr>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pPr>
        <w:spacing w:before="0" w:after="0" w:line="240" w:lineRule="auto"/>
        <w:ind w:start="0" w:end="0"/>
        <w:jc w:val="left"/>
        <w:widowControl w:val="false"/>
      </w:pPr>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pPr>
        <w:spacing w:before="0" w:after="0" w:line="240" w:lineRule="auto"/>
        <w:ind w:start="0" w:end="0"/>
        <w:jc w:val="left"/>
        <w:widowControl w:val="false"/>
      </w:pPr>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pPr>
        <w:spacing w:before="0" w:after="0" w:line="240" w:lineRule="auto"/>
        <w:ind w:start="0" w:end="0"/>
        <w:jc w:val="left"/>
        <w:widowControl w:val="false"/>
      </w:pPr>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pPr>
        <w:spacing w:before="0" w:after="0" w:line="240" w:lineRule="auto"/>
        <w:ind w:start="0" w:end="0"/>
        <w:jc w:val="left"/>
        <w:widowControl w:val="false"/>
      </w:pPr>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widowControl w:val="false"/>
      </w:pPr>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widowControl w:val="false"/>
      </w:pPr>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pPr>
        <w:spacing w:before="0" w:after="300" w:line="240" w:lineRule="auto"/>
        <w:ind w:start="142" w:end="0" w:hanging="142"/>
        <w:jc w:val="both"/>
      </w:pPr>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pPr>
        <w:spacing w:before="0" w:after="300" w:line="240" w:lineRule="auto"/>
        <w:ind w:start="142" w:end="0" w:hanging="142"/>
        <w:jc w:val="both"/>
      </w:pPr>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pPr>
        <w:spacing w:before="0" w:after="60" w:line="288" w:lineRule="auto"/>
        <w:ind w:start="0" w:end="0"/>
        <w:jc w:val="left"/>
        <w:widowControl w:val="false"/>
      </w:pPr>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pPr>
        <w:spacing w:before="0" w:after="60" w:line="288" w:lineRule="auto"/>
        <w:ind w:start="0" w:end="0"/>
        <w:jc w:val="left"/>
        <w:widowControl w:val="false"/>
      </w:pPr>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pPr>
        <w:spacing w:before="0" w:after="0" w:line="221" w:lineRule="auto"/>
        <w:ind w:start="0" w:end="0"/>
        <w:jc w:val="left"/>
        <w:widowControl w:val="false"/>
      </w:pPr>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pPr>
        <w:spacing w:before="0" w:after="0" w:line="221" w:lineRule="auto"/>
        <w:ind w:start="0" w:end="0"/>
        <w:jc w:val="left"/>
        <w:widowControl w:val="false"/>
      </w:pPr>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pPr>
        <w:spacing w:before="120" w:after="100" w:line="240" w:lineRule="auto"/>
        <w:ind w:start="45" w:end="0"/>
        <w:jc w:val="left"/>
        <w:widowControl w:val="false"/>
      </w:pPr>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pPr>
        <w:spacing w:before="120" w:after="100" w:line="240" w:lineRule="auto"/>
        <w:ind w:start="45" w:end="0"/>
        <w:jc w:val="left"/>
        <w:widowControl w:val="false"/>
      </w:pPr>
    </w:style>
    <w:style w:type="paragraph" w:styleId="103DateTitreC" w:default="false">
      <w:name w:val="103_Date_Titre_C"/>
      <w:next w:val="01PointnumeroteAltN"/>
      <w:uiPriority w:val="99"/>
      <w:basedOn w:val="Normal"/>
      <w:rPr>
        <w:rFonts w:ascii="Open Sans" w:hAnsi="Open Sans" w:cs="Open Sans"/>
        <w:color w:val="#851A15"/>
        <w:sz w:val="22"/>
        <w:szCs w:val="21"/>
        <w:b w:val="false"/>
        <w:bCs w:val="false"/>
        <w:i w:val="false"/>
        <w:iCs w:val="false"/>
      </w:rPr>
      <w:pPr>
        <w:spacing w:before="54" w:after="0" w:line="240" w:lineRule="auto"/>
        <w:ind w:start="45" w:end="0"/>
        <w:jc w:val="left"/>
        <w:widowControl w:val="false"/>
      </w:pPr>
    </w:style>
    <w:style w:type="paragraph" w:styleId="GendocOriginal103DateTitreC" w:default="false">
      <w:name w:val="Gendoc_Original_103_Date_Titre_C"/>
      <w:next w:val="01PointnumeroteAltN"/>
      <w:uiPriority w:val="99"/>
      <w:basedOn w:val="Normal"/>
      <w:semiHidden/>
      <w:rPr>
        <w:rFonts w:ascii="Open Sans" w:hAnsi="Open Sans" w:cs="Open Sans"/>
        <w:color w:val="#851A15"/>
        <w:sz w:val="22"/>
        <w:szCs w:val="21"/>
        <w:b w:val="false"/>
        <w:bCs w:val="false"/>
        <w:i w:val="false"/>
        <w:iCs w:val="false"/>
      </w:rPr>
      <w:pPr>
        <w:spacing w:before="54" w:after="0" w:line="240" w:lineRule="auto"/>
        <w:ind w:start="45" w:end="0"/>
        <w:jc w:val="left"/>
        <w:widowControl w:val="false"/>
      </w:pPr>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pPr>
        <w:spacing w:before="0" w:after="0" w:line="240" w:lineRule="auto"/>
        <w:ind w:start="0" w:end="0"/>
        <w:jc w:val="left"/>
        <w:widowControl w:val="false"/>
      </w:pPr>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pPr>
        <w:spacing w:before="0" w:after="0" w:line="240" w:lineRule="auto"/>
        <w:ind w:start="0" w:end="0"/>
        <w:jc w:val="left"/>
        <w:widowControl w:val="false"/>
      </w:pPr>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pPr>
        <w:spacing w:before="120" w:after="100" w:line="240" w:lineRule="auto"/>
        <w:ind w:start="45" w:end="0"/>
        <w:jc w:val="left"/>
        <w:widowControl w:val="false"/>
      </w:pPr>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pPr>
        <w:spacing w:before="120" w:after="100" w:line="240" w:lineRule="auto"/>
        <w:ind w:start="45" w:end="0"/>
        <w:jc w:val="left"/>
        <w:widowControl w:val="false"/>
      </w:pPr>
    </w:style>
    <w:style w:type="paragraph" w:styleId="103DateTitreT" w:default="false">
      <w:name w:val="103_Date_Titre_T"/>
      <w:next w:val="01PointnumeroteAltN"/>
      <w:uiPriority w:val="99"/>
      <w:basedOn w:val="Normal"/>
      <w:rPr>
        <w:rFonts w:ascii="Open Sans" w:hAnsi="Open Sans" w:cs="Open Sans"/>
        <w:color w:val="#3E516E"/>
        <w:sz w:val="22"/>
        <w:szCs w:val="21"/>
        <w:b w:val="false"/>
        <w:bCs w:val="false"/>
        <w:i w:val="false"/>
        <w:iCs w:val="false"/>
      </w:rPr>
      <w:pPr>
        <w:spacing w:before="54" w:after="0" w:line="240" w:lineRule="auto"/>
        <w:ind w:start="45" w:end="0"/>
        <w:jc w:val="left"/>
        <w:widowControl w:val="false"/>
      </w:pPr>
    </w:style>
    <w:style w:type="paragraph" w:styleId="GendocOriginal103DateTitreT" w:default="false">
      <w:name w:val="Gendoc_Original_103_Date_Titre_T"/>
      <w:next w:val="01PointnumeroteAltN"/>
      <w:uiPriority w:val="99"/>
      <w:basedOn w:val="Normal"/>
      <w:semiHidden/>
      <w:rPr>
        <w:rFonts w:ascii="Open Sans" w:hAnsi="Open Sans" w:cs="Open Sans"/>
        <w:color w:val="#3E516E"/>
        <w:sz w:val="22"/>
        <w:szCs w:val="21"/>
        <w:b w:val="false"/>
        <w:bCs w:val="false"/>
        <w:i w:val="false"/>
        <w:iCs w:val="false"/>
      </w:rPr>
      <w:pPr>
        <w:spacing w:before="54" w:after="0" w:line="240" w:lineRule="auto"/>
        <w:ind w:start="45" w:end="0"/>
        <w:jc w:val="left"/>
        <w:widowControl w:val="false"/>
      </w:pPr>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pPr>
        <w:spacing w:before="0" w:after="0" w:line="240" w:lineRule="auto"/>
        <w:ind w:start="0" w:end="0"/>
        <w:jc w:val="left"/>
        <w:widowControl w:val="false"/>
      </w:pPr>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pPr>
        <w:spacing w:before="0" w:after="0" w:line="240" w:lineRule="auto"/>
        <w:ind w:start="0" w:end="0"/>
        <w:jc w:val="left"/>
        <w:widowControl w:val="false"/>
      </w:pPr>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pPr>
        <w:spacing w:before="120" w:after="100" w:line="240" w:lineRule="auto"/>
        <w:ind w:start="45" w:end="0"/>
        <w:jc w:val="left"/>
        <w:widowControl w:val="false"/>
      </w:pPr>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pPr>
        <w:spacing w:before="120" w:after="100" w:line="240" w:lineRule="auto"/>
        <w:ind w:start="45" w:end="0"/>
        <w:jc w:val="left"/>
        <w:widowControl w:val="false"/>
      </w:pPr>
    </w:style>
    <w:style w:type="paragraph" w:styleId="103DateTitreI" w:default="false">
      <w:name w:val="103_Date_Titre_I"/>
      <w:next w:val="01PointnumeroteAltN"/>
      <w:uiPriority w:val="99"/>
      <w:basedOn w:val="Normal"/>
      <w:rPr>
        <w:rFonts w:ascii="Open Sans" w:hAnsi="Open Sans" w:cs="Open Sans"/>
        <w:color w:val="#725922"/>
        <w:sz w:val="22"/>
        <w:szCs w:val="21"/>
        <w:b w:val="false"/>
        <w:bCs w:val="false"/>
        <w:i w:val="false"/>
        <w:iCs w:val="false"/>
      </w:rPr>
      <w:pPr>
        <w:spacing w:before="54" w:after="0" w:line="240" w:lineRule="auto"/>
        <w:ind w:start="45" w:end="0"/>
        <w:jc w:val="left"/>
        <w:widowControl w:val="false"/>
      </w:pPr>
    </w:style>
    <w:style w:type="paragraph" w:styleId="GendocOriginal103DateTitreI" w:default="false">
      <w:name w:val="Gendoc_Original_103_Date_Titre_I"/>
      <w:next w:val="01PointnumeroteAltN"/>
      <w:uiPriority w:val="99"/>
      <w:basedOn w:val="Normal"/>
      <w:semiHidden/>
      <w:rPr>
        <w:rFonts w:ascii="Open Sans" w:hAnsi="Open Sans" w:cs="Open Sans"/>
        <w:color w:val="#725922"/>
        <w:sz w:val="22"/>
        <w:szCs w:val="21"/>
        <w:b w:val="false"/>
        <w:bCs w:val="false"/>
        <w:i w:val="false"/>
        <w:iCs w:val="false"/>
      </w:rPr>
      <w:pPr>
        <w:spacing w:before="54" w:after="0" w:line="240" w:lineRule="auto"/>
        <w:ind w:start="45" w:end="0"/>
        <w:jc w:val="left"/>
        <w:widowControl w:val="false"/>
      </w:pPr>
    </w:style>
    <w:style w:type="table" w:styleId="TableNoBorder" w:default="false">
      <w:name w:val="TableNoBorder"/>
      <w:next w:val="TableNoBorder"/>
      <w:uiPriority w:val="99"/>
      <w:basedOn w:val="TableNormal"/>
      <w:tblPr>
        <w:tblBorders>
          <w:top w:val="none" w:color="auto" w:sz="2" w:space="0"/>
          <w:left w:val="none" w:color="auto" w:sz="2" w:space="0"/>
          <w:bottom w:val="none" w:color="auto" w:sz="2" w:space="0"/>
          <w:right w:val="none" w:color="auto" w:sz="2" w:space="0"/>
          <w:insideH w:val="none" w:color="auto" w:sz="2" w:space="0"/>
          <w:insideV w:val="none" w:color="auto" w:sz="2" w:space="0"/>
        </w:tblBorders>
        <w:jc w:val="left"/>
        <w:tblCellSpacing w:w="0" w:type="auto"/>
        <w:tblInd w:w="0" w:type="dxa"/>
        <w:tblCellMar>
          <w:top w:w="0" w:type="dxa"/>
          <w:left w:w="108" w:type="dxa"/>
          <w:bottom w:w="0" w:type="dxa"/>
          <w:right w:w="108" w:type="dxa"/>
        </w:tblCellMar>
      </w:tblPr>
    </w:style>
    <w:style w:type="table" w:styleId="GendocOriginalTableNoBorder" w:default="false">
      <w:name w:val="Gendoc_Original_TableNoBorder"/>
      <w:next w:val="Gendoc_Original_TableNoBorder"/>
      <w:uiPriority w:val="99"/>
      <w:basedOn w:val="TableNormal"/>
      <w:semiHidden/>
      <w:tblPr>
        <w:tblBorders>
          <w:top w:val="none" w:color="auto" w:sz="2" w:space="0"/>
          <w:left w:val="none" w:color="auto" w:sz="2" w:space="0"/>
          <w:bottom w:val="none" w:color="auto" w:sz="2" w:space="0"/>
          <w:right w:val="none" w:color="auto" w:sz="2" w:space="0"/>
          <w:insideH w:val="none" w:color="auto" w:sz="2" w:space="0"/>
          <w:insideV w:val="none" w:color="auto" w:sz="2" w:space="0"/>
        </w:tblBorders>
        <w:jc w:val="left"/>
        <w:tblCellSpacing w:w="0" w:type="auto"/>
        <w:tblInd w:w="0" w:type="dxa"/>
        <w:tblCellMar>
          <w:top w:w="0" w:type="dxa"/>
          <w:left w:w="108" w:type="dxa"/>
          <w:bottom w:w="0" w:type="dxa"/>
          <w:right w:w="108" w:type="dxa"/>
        </w:tblCellMar>
      </w:tblPr>
    </w:style>
  </w:styles>
</BackupStyles>
</file>

<file path=customXml/item13.xml><?xml version="1.0" encoding="utf-8"?>
<BackupStylesWithEffects>
  <w:styles xmlns:w="http://schemas.openxmlformats.org/wordprocessingml/2006/main">
    <w:docDefaults>
      <w:rPrDefault>
        <w:rPr>
          <w:lang w:val="da-DK" w:eastAsia="da-DK" w:bidi="da-DK"/>
        </w:rPr>
      </w:rPrDefault>
    </w:docDefaults>
    <w:style w:type="character" w:styleId="FootnoteReference" w:default="false">
      <w:name w:val="Footnote Reference"/>
      <w:next w:val="Footnote Reference"/>
      <w:uiPriority w:val="99"/>
      <w:basedOn w:val="DefaultParagraphFont"/>
    </w:style>
    <w:style w:type="character" w:styleId="FootnoteReference" w:default="false">
      <w:name w:val="Footnote Reference"/>
      <w:next w:val="Footnote Reference"/>
      <w:uiPriority w:val="99"/>
      <w:basedOn w:val="DefaultParagraphFont"/>
      <w:rPr>
        <w:color w:val="auto"/>
        <w:b w:val="false"/>
        <w:bCs w:val="false"/>
        <w:i w:val="false"/>
        <w:iCs w:val="false"/>
        <w:vertAlign w:val="superscript"/>
      </w:rPr>
    </w:style>
    <w:style w:type="character" w:styleId="GendocOriginalFootnoteReference" w:default="false">
      <w:name w:val="Gendoc_Original_Footnote Reference"/>
      <w:next w:val="Gendoc_Original_Footnote Reference"/>
      <w:uiPriority w:val="99"/>
      <w:basedOn w:val="DefaultParagraphFont"/>
      <w:semiHidden/>
    </w:style>
    <w:style w:type="character" w:styleId="GendocOriginalFootnoteReference" w:default="false">
      <w:name w:val="Gendoc_Original_Footnote Reference"/>
      <w:next w:val="Gendoc_Original_Footnote Reference"/>
      <w:uiPriority w:val="99"/>
      <w:basedOn w:val="DefaultParagraphFont"/>
      <w:semiHidden/>
      <w:rPr>
        <w:color w:val="auto"/>
        <w:b w:val="false"/>
        <w:bCs w:val="false"/>
        <w:i w:val="false"/>
        <w:iCs w:val="false"/>
        <w:vertAlign w:val="superscript"/>
      </w:rPr>
    </w:style>
    <w:style w:type="character" w:styleId="Hyperlink" w:default="false">
      <w:name w:val="Hyperlink"/>
      <w:next w:val="Hyperlink"/>
      <w:uiPriority w:val="99"/>
      <w:basedOn w:val="DefaultParagraphFont"/>
    </w:style>
    <w:style w:type="character" w:styleId="Hyperlink" w:default="false">
      <w:name w:val="Hyperlink"/>
      <w:next w:val="Hyperlink"/>
      <w:uiPriority w:val="99"/>
      <w:basedOn w:val="DefaultParagraphFont"/>
      <w:rPr>
        <w:color w:val="205E9E"/>
        <w:b w:val="false"/>
        <w:bCs w:val="false"/>
        <w:i w:val="false"/>
        <w:iCs w:val="false"/>
        <w:u w:val="single" w:color="205E9E"/>
      </w:rPr>
    </w:style>
    <w:style w:type="character" w:styleId="GendocOriginalHyperlink" w:default="false">
      <w:name w:val="Gendoc_Original_Hyperlink"/>
      <w:next w:val="Gendoc_Original_Hyperlink"/>
      <w:uiPriority w:val="99"/>
      <w:basedOn w:val="DefaultParagraphFont"/>
      <w:semiHidden/>
    </w:style>
    <w:style w:type="character" w:styleId="GendocOriginalHyperlink" w:default="false">
      <w:name w:val="Gendoc_Original_Hyperlink"/>
      <w:next w:val="Gendoc_Original_Hyperlink"/>
      <w:uiPriority w:val="99"/>
      <w:basedOn w:val="DefaultParagraphFont"/>
      <w:semiHidden/>
      <w:rPr>
        <w:color w:val="205E9E"/>
        <w:b w:val="false"/>
        <w:bCs w:val="false"/>
        <w:i w:val="false"/>
        <w:iCs w:val="false"/>
        <w:u w:val="single" w:color="205E9E"/>
      </w:rPr>
    </w:style>
    <w:style w:type="character" w:styleId="WingdingsChar" w:default="false">
      <w:name w:val="WingdingsChar"/>
      <w:next w:val="WingdingsChar"/>
      <w:uiPriority w:val="99"/>
      <w:basedOn w:val="DefaultParagraphFont"/>
    </w:style>
    <w:style w:type="character" w:styleId="WingdingsChar" w:default="false">
      <w:name w:val="WingdingsChar"/>
      <w:next w:val="WingdingsChar"/>
      <w:uiPriority w:val="99"/>
      <w:basedOn w:val="DefaultParagraphFont"/>
      <w:rPr>
        <w:rFonts w:ascii="Wingdings" w:hAnsi="Wingdings" w:cs="Wingdings"/>
        <w:color w:val="auto"/>
        <w:sz w:val="18"/>
        <w:szCs w:val="17"/>
        <w:b w:val="false"/>
        <w:bCs w:val="false"/>
        <w:i w:val="false"/>
        <w:iCs w:val="false"/>
      </w:rPr>
    </w:style>
    <w:style w:type="character" w:styleId="GendocOriginalWingdingsChar" w:default="false">
      <w:name w:val="Gendoc_Original_WingdingsChar"/>
      <w:next w:val="Gendoc_Original_WingdingsChar"/>
      <w:uiPriority w:val="99"/>
      <w:basedOn w:val="DefaultParagraphFont"/>
      <w:semiHidden/>
    </w:style>
    <w:style w:type="character" w:styleId="GendocOriginalWingdingsChar" w:default="false">
      <w:name w:val="Gendoc_Original_WingdingsChar"/>
      <w:next w:val="Gendoc_Original_WingdingsChar"/>
      <w:uiPriority w:val="99"/>
      <w:basedOn w:val="DefaultParagraphFont"/>
      <w:semiHidden/>
      <w:rPr>
        <w:rFonts w:ascii="Wingdings" w:hAnsi="Wingdings" w:cs="Wingdings"/>
        <w:color w:val="auto"/>
        <w:sz w:val="18"/>
        <w:szCs w:val="17"/>
        <w:b w:val="false"/>
        <w:bCs w:val="false"/>
        <w:i w:val="false"/>
        <w:iCs w:val="false"/>
      </w:rPr>
    </w:style>
    <w:style w:type="character" w:styleId="02BoldCharacterStyle" w:default="false">
      <w:name w:val="02_BoldCharacterStyle"/>
      <w:next w:val="02_BoldCharacterStyle"/>
      <w:uiPriority w:val="99"/>
      <w:basedOn w:val="DefaultParagraphFont"/>
    </w:style>
    <w:style w:type="character" w:styleId="02BoldCharacterStyle" w:default="false">
      <w:name w:val="02_BoldCharacterStyle"/>
      <w:next w:val="02_BoldCharacterStyle"/>
      <w:uiPriority w:val="99"/>
      <w:basedOn w:val="DefaultParagraphFont"/>
      <w:rPr>
        <w:b w:val="true"/>
        <w:bCs w:val="true"/>
      </w:rPr>
    </w:style>
    <w:style w:type="character" w:styleId="GendocOriginal02BoldCharacterStyle" w:default="false">
      <w:name w:val="Gendoc_Original_02_BoldCharacterStyle"/>
      <w:next w:val="Gendoc_Original_02_BoldCharacterStyle"/>
      <w:uiPriority w:val="99"/>
      <w:basedOn w:val="DefaultParagraphFont"/>
      <w:semiHidden/>
    </w:style>
    <w:style w:type="character" w:styleId="GendocOriginal02BoldCharacterStyle" w:default="false">
      <w:name w:val="Gendoc_Original_02_BoldCharacterStyle"/>
      <w:next w:val="Gendoc_Original_02_BoldCharacterStyle"/>
      <w:uiPriority w:val="99"/>
      <w:basedOn w:val="DefaultParagraphFont"/>
      <w:semiHidden/>
      <w:rPr>
        <w:b w:val="true"/>
        <w:bCs w:val="true"/>
      </w:rPr>
    </w:style>
    <w:style w:type="paragraph" w:styleId="Footer" w:default="true">
      <w:name w:val="Footer"/>
      <w:next w:val="Footer"/>
      <w:uiPriority w:val="99"/>
      <w:basedOn w:val="Normal"/>
      <w:link w:val="Normal"/>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pPr>
        <w:spacing w:before="0" w:after="0"/>
        <w:ind w:start="0" w:end="0"/>
        <w:jc w:val="left"/>
      </w:pPr>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pPr>
        <w:spacing w:before="0" w:after="0" w:line="240" w:lineRule="auto"/>
        <w:ind w:start="0" w:end="0"/>
        <w:jc w:val="left"/>
      </w:pPr>
    </w:style>
    <w:style w:type="paragraph" w:styleId="GendocOriginalFooter" w:default="false">
      <w:name w:val="Gendoc_Original_Footer"/>
      <w:next w:val="Footer"/>
      <w:uiPriority w:val="99"/>
      <w:basedOn w:val="Normal"/>
      <w:link w:val="Normal"/>
      <w:semiHidden/>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pPr>
        <w:spacing w:before="0" w:after="0"/>
        <w:ind w:start="0" w:end="0"/>
        <w:jc w:val="left"/>
      </w:pPr>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pPr>
        <w:spacing w:before="0" w:after="0" w:line="240" w:lineRule="auto"/>
        <w:ind w:start="0" w:end="0"/>
        <w:jc w:val="left"/>
      </w:pPr>
    </w:style>
    <w:style w:type="paragraph" w:styleId="000Intitule" w:default="false">
      <w:name w:val="000_Intitule"/>
      <w:next w:val="000_Intitule"/>
      <w:uiPriority w:val="99"/>
      <w:basedOn w:val="Normal"/>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pPr>
        <w:spacing w:before="0" w:after="60"/>
        <w:ind w:start="0" w:end="0"/>
        <w:jc w:val="left"/>
      </w:pPr>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pPr>
        <w:spacing w:before="0" w:after="60" w:line="240" w:lineRule="auto"/>
        <w:ind w:start="0" w:end="0"/>
        <w:jc w:val="left"/>
      </w:pPr>
    </w:style>
    <w:style w:type="paragraph" w:styleId="GendocOriginal000Intitule" w:default="false">
      <w:name w:val="Gendoc_Original_000_Intitule"/>
      <w:next w:val="Gendoc_Original_000_Intitule"/>
      <w:uiPriority w:val="99"/>
      <w:basedOn w:val="Normal"/>
      <w:semiHidden/>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pPr>
        <w:spacing w:before="0" w:after="60"/>
        <w:ind w:start="0" w:end="0"/>
        <w:jc w:val="left"/>
      </w:pPr>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pPr>
        <w:spacing w:before="0" w:after="60" w:line="240" w:lineRule="auto"/>
        <w:ind w:start="0" w:end="0"/>
        <w:jc w:val="left"/>
      </w:pPr>
    </w:style>
    <w:style w:type="paragraph" w:styleId="001Auteur" w:default="false">
      <w:name w:val="001_Auteur"/>
      <w:next w:val="001_Auteur"/>
      <w:uiPriority w:val="99"/>
      <w:basedOn w:val="Normal"/>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pPr>
        <w:spacing w:before="60" w:after="0"/>
        <w:ind w:start="0" w:end="0"/>
        <w:contextualSpacing w:val="true"/>
        <w:jc w:val="left"/>
      </w:pPr>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pPr>
    </w:style>
    <w:style w:type="paragraph" w:styleId="GendocOriginal001Auteur" w:default="false">
      <w:name w:val="Gendoc_Original_001_Auteur"/>
      <w:next w:val="Gendoc_Original_001_Auteur"/>
      <w:uiPriority w:val="99"/>
      <w:basedOn w:val="Normal"/>
      <w:semiHidden/>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pPr>
        <w:spacing w:before="60" w:after="0"/>
        <w:ind w:start="0" w:end="0"/>
        <w:contextualSpacing w:val="true"/>
        <w:jc w:val="left"/>
      </w:pPr>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pPr>
    </w:style>
    <w:style w:type="paragraph" w:styleId="002ID" w:default="false">
      <w:name w:val="002_ID"/>
      <w:next w:val="002_ID"/>
      <w:uiPriority w:val="99"/>
      <w:basedOn w:val="Normal"/>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pPr>
        <w:spacing w:before="0" w:after="60"/>
        <w:ind w:start="0" w:end="0"/>
        <w:jc w:val="left"/>
      </w:pPr>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pPr>
        <w:spacing w:before="0" w:after="60" w:line="240" w:lineRule="auto"/>
        <w:ind w:start="0" w:end="0"/>
        <w:jc w:val="left"/>
      </w:pPr>
    </w:style>
    <w:style w:type="paragraph" w:styleId="GendocOriginal002ID" w:default="false">
      <w:name w:val="Gendoc_Original_002_ID"/>
      <w:next w:val="Gendoc_Original_002_ID"/>
      <w:uiPriority w:val="99"/>
      <w:basedOn w:val="Normal"/>
      <w:semiHidden/>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pPr>
        <w:spacing w:before="0" w:after="60"/>
        <w:ind w:start="0" w:end="0"/>
        <w:jc w:val="left"/>
      </w:pPr>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pPr>
        <w:spacing w:before="0" w:after="60" w:line="240" w:lineRule="auto"/>
        <w:ind w:start="0" w:end="0"/>
        <w:jc w:val="left"/>
      </w:pPr>
    </w:style>
    <w:style w:type="paragraph" w:styleId="003Date" w:default="false">
      <w:name w:val="003_Date"/>
      <w:next w:val="003_Date"/>
      <w:uiPriority w:val="99"/>
      <w:basedOn w:val="Normal"/>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pPr>
        <w:spacing w:before="54" w:after="60"/>
        <w:ind w:start="0" w:end="0"/>
        <w:jc w:val="left"/>
      </w:pPr>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pPr>
        <w:spacing w:before="54" w:after="60" w:line="240" w:lineRule="auto"/>
        <w:ind w:start="0" w:end="0"/>
        <w:jc w:val="left"/>
      </w:pPr>
    </w:style>
    <w:style w:type="paragraph" w:styleId="GendocOriginal003Date" w:default="false">
      <w:name w:val="Gendoc_Original_003_Date"/>
      <w:next w:val="Gendoc_Original_003_Date"/>
      <w:uiPriority w:val="99"/>
      <w:basedOn w:val="Normal"/>
      <w:semiHidden/>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pPr>
        <w:spacing w:before="54" w:after="60"/>
        <w:ind w:start="0" w:end="0"/>
        <w:jc w:val="left"/>
      </w:pPr>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pPr>
        <w:spacing w:before="54" w:after="60" w:line="240" w:lineRule="auto"/>
        <w:ind w:start="0" w:end="0"/>
        <w:jc w:val="left"/>
      </w:pPr>
    </w:style>
    <w:style w:type="paragraph" w:styleId="004Objet" w:default="false">
      <w:name w:val="004_Objet"/>
      <w:next w:val="004_Objet"/>
      <w:uiPriority w:val="99"/>
      <w:basedOn w:val="Normal"/>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pPr>
        <w:spacing w:before="480" w:after="240"/>
        <w:ind w:start="0" w:end="0"/>
        <w:jc w:val="left"/>
      </w:pPr>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pPr>
        <w:spacing w:before="480" w:after="240" w:line="288" w:lineRule="auto"/>
        <w:ind w:start="0" w:end="0"/>
        <w:jc w:val="left"/>
      </w:pPr>
    </w:style>
    <w:style w:type="paragraph" w:styleId="GendocOriginal004Objet" w:default="false">
      <w:name w:val="Gendoc_Original_004_Objet"/>
      <w:next w:val="Gendoc_Original_004_Objet"/>
      <w:uiPriority w:val="99"/>
      <w:basedOn w:val="Normal"/>
      <w:semiHidden/>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pPr>
        <w:spacing w:before="480" w:after="240"/>
        <w:ind w:start="0" w:end="0"/>
        <w:jc w:val="left"/>
      </w:pPr>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pPr>
        <w:spacing w:before="480" w:after="240" w:line="288" w:lineRule="auto"/>
        <w:ind w:start="0" w:end="0"/>
        <w:jc w:val="left"/>
      </w:pPr>
    </w:style>
    <w:style w:type="paragraph" w:styleId="005Titre" w:default="false">
      <w:name w:val="005_Titre"/>
      <w:next w:val="01PointnumeroteAltN"/>
      <w:uiPriority w:val="99"/>
      <w:basedOn w:val="Normal"/>
    </w:style>
    <w:style w:type="paragraph" w:styleId="005Titre" w:default="false">
      <w:name w:val="005_Titre"/>
      <w:next w:val="01PointnumeroteAltN"/>
      <w:uiPriority w:val="99"/>
      <w:basedOn w:val="Normal"/>
      <w:rPr>
        <w:rFonts w:ascii="Open Sans" w:hAnsi="Open Sans" w:cs="Open Sans"/>
        <w:color w:val="#231F20"/>
        <w:sz w:val="26"/>
        <w:szCs w:val="25"/>
        <w:b w:val="true"/>
        <w:bCs w:val="true"/>
        <w:i w:val="false"/>
        <w:iCs w:val="false"/>
      </w:rPr>
    </w:style>
    <w:style w:type="paragraph" w:styleId="005Titre" w:default="false">
      <w:name w:val="005_Titre"/>
      <w:next w:val="01PointnumeroteAltN"/>
      <w:uiPriority w:val="99"/>
      <w:basedOn w:val="Normal"/>
      <w:rPr>
        <w:rFonts w:ascii="Open Sans" w:hAnsi="Open Sans" w:cs="Open Sans"/>
        <w:color w:val="#231F20"/>
        <w:sz w:val="26"/>
        <w:szCs w:val="25"/>
        <w:b w:val="true"/>
        <w:bCs w:val="true"/>
        <w:i w:val="false"/>
        <w:iCs w:val="false"/>
      </w:rPr>
      <w:pPr>
        <w:spacing w:before="0" w:after="240"/>
        <w:ind w:start="0" w:end="0"/>
        <w:jc w:val="left"/>
      </w:pPr>
    </w:style>
    <w:style w:type="paragraph" w:styleId="005Titre" w:default="false">
      <w:name w:val="005_Titre"/>
      <w:next w:val="01PointnumeroteAltN"/>
      <w:uiPriority w:val="99"/>
      <w:basedOn w:val="Normal"/>
      <w:rPr>
        <w:rFonts w:ascii="Open Sans" w:hAnsi="Open Sans" w:cs="Open Sans"/>
        <w:color w:val="#231F20"/>
        <w:sz w:val="26"/>
        <w:szCs w:val="25"/>
        <w:b w:val="true"/>
        <w:bCs w:val="true"/>
        <w:i w:val="false"/>
        <w:iCs w:val="false"/>
      </w:rPr>
      <w:pPr>
        <w:spacing w:before="0" w:after="240" w:line="264" w:lineRule="auto"/>
        <w:ind w:start="0" w:end="0"/>
        <w:jc w:val="left"/>
      </w:pPr>
    </w:style>
    <w:style w:type="paragraph" w:styleId="GendocOriginal005Titre" w:default="false">
      <w:name w:val="Gendoc_Original_005_Titre"/>
      <w:next w:val="01PointnumeroteAltN"/>
      <w:uiPriority w:val="99"/>
      <w:basedOn w:val="Normal"/>
      <w:semiHidden/>
    </w:style>
    <w:style w:type="paragraph" w:styleId="GendocOriginal005Titre" w:default="false">
      <w:name w:val="Gendoc_Original_005_Titre"/>
      <w:next w:val="01PointnumeroteAltN"/>
      <w:uiPriority w:val="99"/>
      <w:basedOn w:val="Normal"/>
      <w:semiHidden/>
      <w:rPr>
        <w:rFonts w:ascii="Open Sans" w:hAnsi="Open Sans" w:cs="Open Sans"/>
        <w:color w:val="#231F20"/>
        <w:sz w:val="26"/>
        <w:szCs w:val="25"/>
        <w:b w:val="true"/>
        <w:bCs w:val="true"/>
        <w:i w:val="false"/>
        <w:iCs w:val="false"/>
      </w:rPr>
    </w:style>
    <w:style w:type="paragraph" w:styleId="GendocOriginal005Titre" w:default="false">
      <w:name w:val="Gendoc_Original_005_Titre"/>
      <w:next w:val="01PointnumeroteAltN"/>
      <w:uiPriority w:val="99"/>
      <w:basedOn w:val="Normal"/>
      <w:semiHidden/>
      <w:rPr>
        <w:rFonts w:ascii="Open Sans" w:hAnsi="Open Sans" w:cs="Open Sans"/>
        <w:color w:val="#231F20"/>
        <w:sz w:val="26"/>
        <w:szCs w:val="25"/>
        <w:b w:val="true"/>
        <w:bCs w:val="true"/>
        <w:i w:val="false"/>
        <w:iCs w:val="false"/>
      </w:rPr>
      <w:pPr>
        <w:spacing w:before="0" w:after="240"/>
        <w:ind w:start="0" w:end="0"/>
        <w:jc w:val="left"/>
      </w:pPr>
    </w:style>
    <w:style w:type="paragraph" w:styleId="GendocOriginal005Titre" w:default="false">
      <w:name w:val="Gendoc_Original_005_Titre"/>
      <w:next w:val="01PointnumeroteAltN"/>
      <w:uiPriority w:val="99"/>
      <w:basedOn w:val="Normal"/>
      <w:semiHidden/>
      <w:rPr>
        <w:rFonts w:ascii="Open Sans" w:hAnsi="Open Sans" w:cs="Open Sans"/>
        <w:color w:val="#231F20"/>
        <w:sz w:val="26"/>
        <w:szCs w:val="25"/>
        <w:b w:val="true"/>
        <w:bCs w:val="true"/>
        <w:i w:val="false"/>
        <w:iCs w:val="false"/>
      </w:rPr>
      <w:pPr>
        <w:spacing w:before="0" w:after="240" w:line="264" w:lineRule="auto"/>
        <w:ind w:start="0" w:end="0"/>
        <w:jc w:val="left"/>
      </w:pPr>
    </w:style>
    <w:style w:type="paragraph" w:styleId="006SousTitre" w:default="false">
      <w:name w:val="006_SousTitre"/>
      <w:next w:val="01PointnumeroteAltN"/>
      <w:uiPriority w:val="99"/>
      <w:basedOn w:val="Normal"/>
    </w:style>
    <w:style w:type="paragraph" w:styleId="006SousTitre" w:default="false">
      <w:name w:val="006_SousTitre"/>
      <w:next w:val="01PointnumeroteAltN"/>
      <w:uiPriority w:val="99"/>
      <w:basedOn w:val="Normal"/>
      <w:rPr>
        <w:rFonts w:ascii="Open Sans" w:hAnsi="Open Sans" w:cs="Open Sans"/>
        <w:color w:val="#231F20"/>
        <w:sz w:val="20"/>
        <w:szCs w:val="19"/>
        <w:b w:val="false"/>
        <w:bCs w:val="false"/>
        <w:i w:val="true"/>
        <w:iCs w:val="true"/>
      </w:rPr>
    </w:style>
    <w:style w:type="paragraph" w:styleId="006SousTitre" w:default="false">
      <w:name w:val="006_SousTitre"/>
      <w:next w:val="01PointnumeroteAltN"/>
      <w:uiPriority w:val="99"/>
      <w:basedOn w:val="Normal"/>
      <w:rPr>
        <w:rFonts w:ascii="Open Sans" w:hAnsi="Open Sans" w:cs="Open Sans"/>
        <w:color w:val="#231F20"/>
        <w:sz w:val="20"/>
        <w:szCs w:val="19"/>
        <w:b w:val="false"/>
        <w:bCs w:val="false"/>
        <w:i w:val="true"/>
        <w:iCs w:val="true"/>
      </w:rPr>
      <w:pPr>
        <w:spacing w:before="0" w:after="240"/>
        <w:ind w:start="0" w:end="0"/>
        <w:jc w:val="left"/>
      </w:pPr>
    </w:style>
    <w:style w:type="paragraph" w:styleId="006SousTitre" w:default="false">
      <w:name w:val="006_SousTitre"/>
      <w:next w:val="01PointnumeroteAltN"/>
      <w:uiPriority w:val="99"/>
      <w:basedOn w:val="Normal"/>
      <w:rPr>
        <w:rFonts w:ascii="Open Sans" w:hAnsi="Open Sans" w:cs="Open Sans"/>
        <w:color w:val="#231F20"/>
        <w:sz w:val="20"/>
        <w:szCs w:val="19"/>
        <w:b w:val="false"/>
        <w:bCs w:val="false"/>
        <w:i w:val="true"/>
        <w:iCs w:val="true"/>
      </w:rPr>
      <w:pPr>
        <w:spacing w:before="0" w:after="240" w:line="264" w:lineRule="auto"/>
        <w:ind w:start="0" w:end="0"/>
        <w:jc w:val="left"/>
      </w:pPr>
    </w:style>
    <w:style w:type="paragraph" w:styleId="GendocOriginal006SousTitre" w:default="false">
      <w:name w:val="Gendoc_Original_006_SousTitre"/>
      <w:next w:val="01PointnumeroteAltN"/>
      <w:uiPriority w:val="99"/>
      <w:basedOn w:val="Normal"/>
      <w:semiHidden/>
    </w:style>
    <w:style w:type="paragraph" w:styleId="GendocOriginal006SousTitre" w:default="false">
      <w:name w:val="Gendoc_Original_006_SousTitre"/>
      <w:next w:val="01PointnumeroteAltN"/>
      <w:uiPriority w:val="99"/>
      <w:basedOn w:val="Normal"/>
      <w:semiHidden/>
      <w:rPr>
        <w:rFonts w:ascii="Open Sans" w:hAnsi="Open Sans" w:cs="Open Sans"/>
        <w:color w:val="#231F20"/>
        <w:sz w:val="20"/>
        <w:szCs w:val="19"/>
        <w:b w:val="false"/>
        <w:bCs w:val="false"/>
        <w:i w:val="true"/>
        <w:iCs w:val="true"/>
      </w:rPr>
    </w:style>
    <w:style w:type="paragraph" w:styleId="GendocOriginal006SousTitre" w:default="false">
      <w:name w:val="Gendoc_Original_006_SousTitre"/>
      <w:next w:val="01PointnumeroteAltN"/>
      <w:uiPriority w:val="99"/>
      <w:basedOn w:val="Normal"/>
      <w:semiHidden/>
      <w:rPr>
        <w:rFonts w:ascii="Open Sans" w:hAnsi="Open Sans" w:cs="Open Sans"/>
        <w:color w:val="#231F20"/>
        <w:sz w:val="20"/>
        <w:szCs w:val="19"/>
        <w:b w:val="false"/>
        <w:bCs w:val="false"/>
        <w:i w:val="true"/>
        <w:iCs w:val="true"/>
      </w:rPr>
      <w:pPr>
        <w:spacing w:before="0" w:after="240"/>
        <w:ind w:start="0" w:end="0"/>
        <w:jc w:val="left"/>
      </w:pPr>
    </w:style>
    <w:style w:type="paragraph" w:styleId="GendocOriginal006SousTitre" w:default="false">
      <w:name w:val="Gendoc_Original_006_SousTitre"/>
      <w:next w:val="01PointnumeroteAltN"/>
      <w:uiPriority w:val="99"/>
      <w:basedOn w:val="Normal"/>
      <w:semiHidden/>
      <w:rPr>
        <w:rFonts w:ascii="Open Sans" w:hAnsi="Open Sans" w:cs="Open Sans"/>
        <w:color w:val="#231F20"/>
        <w:sz w:val="20"/>
        <w:szCs w:val="19"/>
        <w:b w:val="false"/>
        <w:bCs w:val="false"/>
        <w:i w:val="true"/>
        <w:iCs w:val="true"/>
      </w:rPr>
      <w:pPr>
        <w:spacing w:before="0" w:after="240" w:line="264" w:lineRule="auto"/>
        <w:ind w:start="0" w:end="0"/>
        <w:jc w:val="left"/>
      </w:pPr>
    </w:style>
    <w:style w:type="paragraph" w:styleId="007NomDesParties" w:default="false">
      <w:name w:val="007_NomDesParties"/>
      <w:next w:val="007_NomDesParties"/>
      <w:uiPriority w:val="99"/>
      <w:basedOn w:val="Normal"/>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pPr>
        <w:spacing w:before="0" w:after="0"/>
        <w:ind w:start="0" w:end="0"/>
        <w:jc w:val="left"/>
      </w:pPr>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pPr>
        <w:spacing w:before="0" w:after="0" w:line="240" w:lineRule="auto"/>
        <w:ind w:start="0" w:end="0"/>
        <w:jc w:val="left"/>
      </w:pPr>
    </w:style>
    <w:style w:type="paragraph" w:styleId="GendocOriginal007NomDesParties" w:default="false">
      <w:name w:val="Gendoc_Original_007_NomDesParties"/>
      <w:next w:val="Gendoc_Original_007_NomDesParties"/>
      <w:uiPriority w:val="99"/>
      <w:basedOn w:val="Normal"/>
      <w:semiHidden/>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pPr>
        <w:spacing w:before="0" w:after="0"/>
        <w:ind w:start="0" w:end="0"/>
        <w:jc w:val="left"/>
      </w:pPr>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pPr>
        <w:spacing w:before="0" w:after="0" w:line="240" w:lineRule="auto"/>
        <w:ind w:start="0" w:end="0"/>
        <w:jc w:val="left"/>
      </w:pPr>
    </w:style>
    <w:style w:type="paragraph" w:styleId="008CorpsDuTexte" w:default="false">
      <w:name w:val="008_CorpsDuTexte"/>
      <w:next w:val="008_CorpsDuTexte"/>
      <w:uiPriority w:val="99"/>
      <w:basedOn w:val="Normal"/>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pPr>
        <w:spacing w:before="172" w:after="0"/>
        <w:ind w:start="0" w:end="0"/>
        <w:jc w:val="left"/>
      </w:pPr>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pPr>
        <w:spacing w:before="172" w:after="0" w:line="274" w:lineRule="auto"/>
        <w:ind w:start="0" w:end="0"/>
        <w:jc w:val="left"/>
      </w:pPr>
    </w:style>
    <w:style w:type="paragraph" w:styleId="GendocOriginal008CorpsDuTexte" w:default="false">
      <w:name w:val="Gendoc_Original_008_CorpsDuTexte"/>
      <w:next w:val="Gendoc_Original_008_CorpsDuTexte"/>
      <w:uiPriority w:val="99"/>
      <w:basedOn w:val="Normal"/>
      <w:semiHidden/>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pPr>
        <w:spacing w:before="172" w:after="0"/>
        <w:ind w:start="0" w:end="0"/>
        <w:jc w:val="left"/>
      </w:pPr>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pPr>
        <w:spacing w:before="172" w:after="0" w:line="274" w:lineRule="auto"/>
        <w:ind w:start="0" w:end="0"/>
        <w:jc w:val="left"/>
      </w:pPr>
    </w:style>
    <w:style w:type="paragraph" w:styleId="009Boite" w:default="false">
      <w:name w:val="009_Boite"/>
      <w:next w:val="009_Boite"/>
      <w:uiPriority w:val="99"/>
      <w:basedOn w:val="Normal"/>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pPr>
        <w:spacing w:before="100" w:after="0"/>
        <w:ind w:start="0" w:end="0"/>
        <w:jc w:val="left"/>
      </w:pPr>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pPr>
        <w:spacing w:before="100" w:after="0" w:line="240" w:lineRule="auto"/>
        <w:ind w:start="0" w:end="0"/>
        <w:jc w:val="left"/>
      </w:pPr>
    </w:style>
    <w:style w:type="paragraph" w:styleId="GendocOriginal009Boite" w:default="false">
      <w:name w:val="Gendoc_Original_009_Boite"/>
      <w:next w:val="Gendoc_Original_009_Boite"/>
      <w:uiPriority w:val="99"/>
      <w:basedOn w:val="Normal"/>
      <w:semiHidden/>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pPr>
        <w:spacing w:before="100" w:after="0"/>
        <w:ind w:start="0" w:end="0"/>
        <w:jc w:val="left"/>
      </w:pPr>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pPr>
        <w:spacing w:before="100" w:after="0" w:line="240" w:lineRule="auto"/>
        <w:ind w:start="0" w:end="0"/>
        <w:jc w:val="left"/>
      </w:pPr>
    </w:style>
    <w:style w:type="paragraph" w:styleId="110Rappel" w:default="false">
      <w:name w:val="110_Rappel"/>
      <w:next w:val="110_Rappel"/>
      <w:uiPriority w:val="99"/>
      <w:basedOn w:val="Normal"/>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ind w:start="0" w:end="0"/>
        <w:jc w:val="left"/>
      </w:pPr>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pPr>
    </w:style>
    <w:style w:type="paragraph" w:styleId="GendocOriginal110Rappel" w:default="false">
      <w:name w:val="Gendoc_Original_110_Rappel"/>
      <w:next w:val="Gendoc_Original_110_Rappel"/>
      <w:uiPriority w:val="99"/>
      <w:basedOn w:val="Normal"/>
      <w:semiHidden/>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ind w:start="0" w:end="0"/>
        <w:jc w:val="left"/>
      </w:pPr>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pPr>
    </w:style>
    <w:style w:type="paragraph" w:styleId="Header" w:default="false">
      <w:name w:val="Header"/>
      <w:next w:val="Header"/>
      <w:uiPriority w:val="99"/>
      <w:basedOn w:val="Normal"/>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pPr>
        <w:spacing w:before="0" w:after="120"/>
        <w:ind w:start="0" w:end="0"/>
        <w:jc w:val="left"/>
      </w:pPr>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pPr>
        <w:spacing w:before="0" w:after="120" w:line="240" w:lineRule="auto"/>
        <w:ind w:start="0" w:end="0"/>
        <w:jc w:val="left"/>
      </w:pPr>
    </w:style>
    <w:style w:type="paragraph" w:styleId="GendocOriginalHeader" w:default="false">
      <w:name w:val="Gendoc_Original_Header"/>
      <w:next w:val="Gendoc_Original_Header"/>
      <w:uiPriority w:val="99"/>
      <w:basedOn w:val="Normal"/>
      <w:semiHidden/>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pPr>
        <w:spacing w:before="0" w:after="120"/>
        <w:ind w:start="0" w:end="0"/>
        <w:jc w:val="left"/>
      </w:pPr>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pPr>
        <w:spacing w:before="0" w:after="120" w:line="240" w:lineRule="auto"/>
        <w:ind w:start="0" w:end="0"/>
        <w:jc w:val="left"/>
      </w:pPr>
    </w:style>
    <w:style w:type="paragraph" w:styleId="002IDBig" w:default="false">
      <w:name w:val="002_ID_Big"/>
      <w:next w:val="002_ID_Big"/>
      <w:uiPriority w:val="99"/>
      <w:basedOn w:val="Normal"/>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pPr>
        <w:spacing w:before="0" w:after="0"/>
        <w:ind w:start="0" w:end="0"/>
        <w:jc w:val="left"/>
      </w:pPr>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pPr>
        <w:spacing w:before="0" w:after="0" w:line="240" w:lineRule="auto"/>
        <w:ind w:start="0" w:end="0"/>
        <w:jc w:val="left"/>
      </w:pPr>
    </w:style>
    <w:style w:type="paragraph" w:styleId="GendocOriginal002IDBig" w:default="false">
      <w:name w:val="Gendoc_Original_002_ID_Big"/>
      <w:next w:val="Gendoc_Original_002_ID_Big"/>
      <w:uiPriority w:val="99"/>
      <w:basedOn w:val="Normal"/>
      <w:semiHidden/>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pPr>
        <w:spacing w:before="0" w:after="0"/>
        <w:ind w:start="0" w:end="0"/>
        <w:jc w:val="left"/>
      </w:pPr>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pPr>
        <w:spacing w:before="0" w:after="0" w:line="240" w:lineRule="auto"/>
        <w:ind w:start="0" w:end="0"/>
        <w:jc w:val="left"/>
      </w:pPr>
    </w:style>
    <w:style w:type="paragraph" w:styleId="Bodytext" w:default="false">
      <w:name w:val="Body text"/>
      <w:next w:val="Body text"/>
      <w:uiPriority w:val="99"/>
      <w:basedOn w:val="Normal"/>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pPr>
        <w:spacing w:before="0" w:after="0"/>
        <w:ind w:start="0" w:end="0"/>
        <w:jc w:val="left"/>
      </w:pPr>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pPr>
        <w:spacing w:before="0" w:after="0" w:line="240" w:lineRule="auto"/>
        <w:ind w:start="0" w:end="0"/>
        <w:jc w:val="left"/>
      </w:pPr>
    </w:style>
    <w:style w:type="paragraph" w:styleId="GendocOriginalBodytext" w:default="false">
      <w:name w:val="Gendoc_Original_Body text"/>
      <w:next w:val="Gendoc_Original_Body text"/>
      <w:uiPriority w:val="99"/>
      <w:basedOn w:val="Normal"/>
      <w:semiHidden/>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pPr>
        <w:spacing w:before="0" w:after="0"/>
        <w:ind w:start="0" w:end="0"/>
        <w:jc w:val="left"/>
      </w:pPr>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pPr>
        <w:spacing w:before="0" w:after="0" w:line="240" w:lineRule="auto"/>
        <w:ind w:start="0" w:end="0"/>
        <w:jc w:val="left"/>
      </w:pPr>
    </w:style>
    <w:style w:type="paragraph" w:styleId="012StayConnected" w:default="false">
      <w:name w:val="012_StayConnected"/>
      <w:next w:val="012_StayConnected"/>
      <w:uiPriority w:val="99"/>
      <w:basedOn w:val="Normal"/>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ind w:start="0" w:end="0"/>
        <w:jc w:val="left"/>
      </w:pPr>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pPr>
    </w:style>
    <w:style w:type="paragraph" w:styleId="GendocOriginal012StayConnected" w:default="false">
      <w:name w:val="Gendoc_Original_012_StayConnected"/>
      <w:next w:val="Gendoc_Original_012_StayConnected"/>
      <w:uiPriority w:val="99"/>
      <w:basedOn w:val="Normal"/>
      <w:semiHidden/>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ind w:start="0" w:end="0"/>
        <w:jc w:val="left"/>
      </w:pPr>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pPr>
    </w:style>
    <w:style w:type="paragraph" w:styleId="50FootnoteNomFictif" w:default="false">
      <w:name w:val="50_Footnote_Nom_Fictif"/>
      <w:next w:val="50FootnoteNomFictif"/>
      <w:uiPriority w:val="99"/>
      <w:basedOn w:val="FootnoteText"/>
      <w:link w:val="Normal"/>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pPr>
        <w:spacing w:before="0" w:after="300"/>
        <w:ind w:start="142" w:end="0"/>
        <w:jc w:val="both"/>
      </w:pPr>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pPr>
        <w:spacing w:before="0" w:after="300" w:line="240" w:lineRule="auto"/>
        <w:ind w:start="142" w:end="0"/>
        <w:jc w:val="both"/>
      </w:pPr>
    </w:style>
    <w:style w:type="paragraph" w:styleId="GendocOriginal50FootnoteNomFictif" w:default="false">
      <w:name w:val="Gendoc_Original_50_Footnote_Nom_Fictif"/>
      <w:next w:val="50FootnoteNomFictif"/>
      <w:uiPriority w:val="99"/>
      <w:basedOn w:val="FootnoteText"/>
      <w:link w:val="Normal"/>
      <w:semiHidden/>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pPr>
        <w:spacing w:before="0" w:after="300"/>
        <w:ind w:start="142" w:end="0"/>
        <w:jc w:val="both"/>
      </w:pPr>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pPr>
        <w:spacing w:before="0" w:after="300" w:line="240" w:lineRule="auto"/>
        <w:ind w:start="142" w:end="0"/>
        <w:jc w:val="both"/>
      </w:pPr>
    </w:style>
    <w:style w:type="paragraph" w:styleId="FootnoteText" w:default="false">
      <w:name w:val="Footnote Text"/>
      <w:next w:val="Footnote Text"/>
      <w:uiPriority w:val="99"/>
      <w:basedOn w:val="Normal"/>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pPr>
        <w:spacing w:before="0" w:after="60"/>
        <w:ind w:start="0" w:end="0"/>
        <w:jc w:val="left"/>
      </w:pPr>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pPr>
        <w:spacing w:before="0" w:after="60" w:line="288" w:lineRule="auto"/>
        <w:ind w:start="0" w:end="0"/>
        <w:jc w:val="left"/>
      </w:pPr>
    </w:style>
    <w:style w:type="paragraph" w:styleId="GendocOriginalFootnoteText" w:default="false">
      <w:name w:val="Gendoc_Original_Footnote Text"/>
      <w:next w:val="Gendoc_Original_Footnote Text"/>
      <w:uiPriority w:val="99"/>
      <w:basedOn w:val="Normal"/>
      <w:semiHidden/>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pPr>
        <w:spacing w:before="0" w:after="60"/>
        <w:ind w:start="0" w:end="0"/>
        <w:jc w:val="left"/>
      </w:pPr>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pPr>
        <w:spacing w:before="0" w:after="60" w:line="288" w:lineRule="auto"/>
        <w:ind w:start="0" w:end="0"/>
        <w:jc w:val="left"/>
      </w:pPr>
    </w:style>
    <w:style w:type="paragraph" w:styleId="011Footer" w:default="false">
      <w:name w:val="011_Footer"/>
      <w:next w:val="011_Footer"/>
      <w:uiPriority w:val="99"/>
      <w:basedOn w:val="Normal"/>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pPr>
        <w:spacing w:before="0" w:after="0"/>
        <w:ind w:start="0" w:end="0"/>
        <w:jc w:val="left"/>
      </w:pPr>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pPr>
        <w:spacing w:before="0" w:after="0" w:line="221" w:lineRule="auto"/>
        <w:ind w:start="0" w:end="0"/>
        <w:jc w:val="left"/>
      </w:pPr>
    </w:style>
    <w:style w:type="paragraph" w:styleId="GendocOriginal011Footer" w:default="false">
      <w:name w:val="Gendoc_Original_011_Footer"/>
      <w:next w:val="Gendoc_Original_011_Footer"/>
      <w:uiPriority w:val="99"/>
      <w:basedOn w:val="Normal"/>
      <w:semiHidden/>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pPr>
        <w:spacing w:before="0" w:after="0"/>
        <w:ind w:start="0" w:end="0"/>
        <w:jc w:val="left"/>
      </w:pPr>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pPr>
        <w:spacing w:before="0" w:after="0" w:line="221" w:lineRule="auto"/>
        <w:ind w:start="0" w:end="0"/>
        <w:jc w:val="left"/>
      </w:pPr>
    </w:style>
    <w:style w:type="paragraph" w:styleId="102ID" w:default="false">
      <w:name w:val="102_ID"/>
      <w:next w:val="102_ID"/>
      <w:uiPriority w:val="99"/>
      <w:basedOn w:val="Normal"/>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pPr>
        <w:spacing w:before="0" w:after="0"/>
        <w:ind w:start="0" w:end="0"/>
        <w:jc w:val="left"/>
      </w:pPr>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GendocOriginal102ID" w:default="false">
      <w:name w:val="Gendoc_Original_102_ID"/>
      <w:next w:val="Gendoc_Original_102_ID"/>
      <w:uiPriority w:val="99"/>
      <w:basedOn w:val="Normal"/>
      <w:semiHidden/>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pPr>
        <w:spacing w:before="0" w:after="0"/>
        <w:ind w:start="0" w:end="0"/>
        <w:jc w:val="left"/>
      </w:pPr>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102IDC" w:default="false">
      <w:name w:val="102_ID_C"/>
      <w:next w:val="102_ID_C"/>
      <w:uiPriority w:val="99"/>
      <w:basedOn w:val="Normal"/>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pPr>
        <w:spacing w:before="0" w:after="0"/>
        <w:ind w:start="0" w:end="0"/>
        <w:jc w:val="left"/>
      </w:pPr>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GendocOriginal102IDC" w:default="false">
      <w:name w:val="Gendoc_Original_102_ID_C"/>
      <w:next w:val="Gendoc_Original_102_ID_C"/>
      <w:uiPriority w:val="99"/>
      <w:basedOn w:val="Normal"/>
      <w:semiHidden/>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pPr>
        <w:spacing w:before="0" w:after="0"/>
        <w:ind w:start="0" w:end="0"/>
        <w:jc w:val="left"/>
      </w:pPr>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103DateC" w:default="false">
      <w:name w:val="103_Date_C"/>
      <w:next w:val="103_Date_C"/>
      <w:uiPriority w:val="99"/>
      <w:basedOn w:val="Normal"/>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pPr>
        <w:spacing w:before="120" w:after="100"/>
        <w:ind w:start="45" w:end="0"/>
        <w:jc w:val="left"/>
      </w:pPr>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pPr>
        <w:spacing w:before="120" w:after="100" w:line="240" w:lineRule="auto"/>
        <w:ind w:start="45" w:end="0"/>
        <w:jc w:val="left"/>
      </w:pPr>
    </w:style>
    <w:style w:type="paragraph" w:styleId="GendocOriginal103DateC" w:default="false">
      <w:name w:val="Gendoc_Original_103_Date_C"/>
      <w:next w:val="Gendoc_Original_103_Date_C"/>
      <w:uiPriority w:val="99"/>
      <w:basedOn w:val="Normal"/>
      <w:semiHidden/>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pPr>
        <w:spacing w:before="120" w:after="100"/>
        <w:ind w:start="45" w:end="0"/>
        <w:jc w:val="left"/>
      </w:pPr>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pPr>
        <w:spacing w:before="120" w:after="100" w:line="240" w:lineRule="auto"/>
        <w:ind w:start="45" w:end="0"/>
        <w:jc w:val="left"/>
      </w:pPr>
    </w:style>
    <w:style w:type="paragraph" w:styleId="103DateTitreC" w:default="false">
      <w:name w:val="103_Date_Titre_C"/>
      <w:next w:val="01PointnumeroteAltN"/>
      <w:uiPriority w:val="99"/>
      <w:basedOn w:val="Normal"/>
    </w:style>
    <w:style w:type="paragraph" w:styleId="103DateTitreC" w:default="false">
      <w:name w:val="103_Date_Titre_C"/>
      <w:next w:val="01PointnumeroteAltN"/>
      <w:uiPriority w:val="99"/>
      <w:basedOn w:val="Normal"/>
      <w:rPr>
        <w:rFonts w:ascii="Open Sans" w:hAnsi="Open Sans" w:cs="Open Sans"/>
        <w:color w:val="#851A15"/>
        <w:sz w:val="22"/>
        <w:szCs w:val="21"/>
        <w:b w:val="false"/>
        <w:bCs w:val="false"/>
        <w:i w:val="false"/>
        <w:iCs w:val="false"/>
      </w:rPr>
    </w:style>
    <w:style w:type="paragraph" w:styleId="103DateTitreC" w:default="false">
      <w:name w:val="103_Date_Titre_C"/>
      <w:next w:val="01PointnumeroteAltN"/>
      <w:uiPriority w:val="99"/>
      <w:basedOn w:val="Normal"/>
      <w:rPr>
        <w:rFonts w:ascii="Open Sans" w:hAnsi="Open Sans" w:cs="Open Sans"/>
        <w:color w:val="#851A15"/>
        <w:sz w:val="22"/>
        <w:szCs w:val="21"/>
        <w:b w:val="false"/>
        <w:bCs w:val="false"/>
        <w:i w:val="false"/>
        <w:iCs w:val="false"/>
      </w:rPr>
      <w:pPr>
        <w:spacing w:before="54" w:after="0"/>
        <w:ind w:start="45" w:end="0"/>
        <w:jc w:val="left"/>
      </w:pPr>
    </w:style>
    <w:style w:type="paragraph" w:styleId="103DateTitreC" w:default="false">
      <w:name w:val="103_Date_Titre_C"/>
      <w:next w:val="01PointnumeroteAltN"/>
      <w:uiPriority w:val="99"/>
      <w:basedOn w:val="Normal"/>
      <w:rPr>
        <w:rFonts w:ascii="Open Sans" w:hAnsi="Open Sans" w:cs="Open Sans"/>
        <w:color w:val="#851A15"/>
        <w:sz w:val="22"/>
        <w:szCs w:val="21"/>
        <w:b w:val="false"/>
        <w:bCs w:val="false"/>
        <w:i w:val="false"/>
        <w:iCs w:val="false"/>
      </w:rPr>
      <w:pPr>
        <w:spacing w:before="54" w:after="0" w:line="240" w:lineRule="auto"/>
        <w:ind w:start="45" w:end="0"/>
        <w:jc w:val="left"/>
      </w:pPr>
    </w:style>
    <w:style w:type="paragraph" w:styleId="GendocOriginal103DateTitreC" w:default="false">
      <w:name w:val="Gendoc_Original_103_Date_Titre_C"/>
      <w:next w:val="01PointnumeroteAltN"/>
      <w:uiPriority w:val="99"/>
      <w:basedOn w:val="Normal"/>
      <w:semiHidden/>
    </w:style>
    <w:style w:type="paragraph" w:styleId="GendocOriginal103DateTitreC" w:default="false">
      <w:name w:val="Gendoc_Original_103_Date_Titre_C"/>
      <w:next w:val="01PointnumeroteAltN"/>
      <w:uiPriority w:val="99"/>
      <w:basedOn w:val="Normal"/>
      <w:semiHidden/>
      <w:rPr>
        <w:rFonts w:ascii="Open Sans" w:hAnsi="Open Sans" w:cs="Open Sans"/>
        <w:color w:val="#851A15"/>
        <w:sz w:val="22"/>
        <w:szCs w:val="21"/>
        <w:b w:val="false"/>
        <w:bCs w:val="false"/>
        <w:i w:val="false"/>
        <w:iCs w:val="false"/>
      </w:rPr>
    </w:style>
    <w:style w:type="paragraph" w:styleId="GendocOriginal103DateTitreC" w:default="false">
      <w:name w:val="Gendoc_Original_103_Date_Titre_C"/>
      <w:next w:val="01PointnumeroteAltN"/>
      <w:uiPriority w:val="99"/>
      <w:basedOn w:val="Normal"/>
      <w:semiHidden/>
      <w:rPr>
        <w:rFonts w:ascii="Open Sans" w:hAnsi="Open Sans" w:cs="Open Sans"/>
        <w:color w:val="#851A15"/>
        <w:sz w:val="22"/>
        <w:szCs w:val="21"/>
        <w:b w:val="false"/>
        <w:bCs w:val="false"/>
        <w:i w:val="false"/>
        <w:iCs w:val="false"/>
      </w:rPr>
      <w:pPr>
        <w:spacing w:before="54" w:after="0"/>
        <w:ind w:start="45" w:end="0"/>
        <w:jc w:val="left"/>
      </w:pPr>
    </w:style>
    <w:style w:type="paragraph" w:styleId="GendocOriginal103DateTitreC" w:default="false">
      <w:name w:val="Gendoc_Original_103_Date_Titre_C"/>
      <w:next w:val="01PointnumeroteAltN"/>
      <w:uiPriority w:val="99"/>
      <w:basedOn w:val="Normal"/>
      <w:semiHidden/>
      <w:rPr>
        <w:rFonts w:ascii="Open Sans" w:hAnsi="Open Sans" w:cs="Open Sans"/>
        <w:color w:val="#851A15"/>
        <w:sz w:val="22"/>
        <w:szCs w:val="21"/>
        <w:b w:val="false"/>
        <w:bCs w:val="false"/>
        <w:i w:val="false"/>
        <w:iCs w:val="false"/>
      </w:rPr>
      <w:pPr>
        <w:spacing w:before="54" w:after="0" w:line="240" w:lineRule="auto"/>
        <w:ind w:start="45" w:end="0"/>
        <w:jc w:val="left"/>
      </w:pPr>
    </w:style>
    <w:style w:type="paragraph" w:styleId="102IDT" w:default="false">
      <w:name w:val="102_ID_T"/>
      <w:next w:val="102_ID_T"/>
      <w:uiPriority w:val="99"/>
      <w:basedOn w:val="Normal"/>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pPr>
        <w:spacing w:before="0" w:after="0"/>
        <w:ind w:start="0" w:end="0"/>
        <w:jc w:val="left"/>
      </w:pPr>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pPr>
        <w:spacing w:before="0" w:after="0" w:line="240" w:lineRule="auto"/>
        <w:ind w:start="0" w:end="0"/>
        <w:jc w:val="left"/>
      </w:pPr>
    </w:style>
    <w:style w:type="paragraph" w:styleId="GendocOriginal102IDT" w:default="false">
      <w:name w:val="Gendoc_Original_102_ID_T"/>
      <w:next w:val="Gendoc_Original_102_ID_T"/>
      <w:uiPriority w:val="99"/>
      <w:basedOn w:val="Normal"/>
      <w:semiHidden/>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pPr>
        <w:spacing w:before="0" w:after="0"/>
        <w:ind w:start="0" w:end="0"/>
        <w:jc w:val="left"/>
      </w:pPr>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pPr>
        <w:spacing w:before="0" w:after="0" w:line="240" w:lineRule="auto"/>
        <w:ind w:start="0" w:end="0"/>
        <w:jc w:val="left"/>
      </w:pPr>
    </w:style>
    <w:style w:type="paragraph" w:styleId="103DateT" w:default="false">
      <w:name w:val="103_Date_T"/>
      <w:next w:val="103_Date_T"/>
      <w:uiPriority w:val="99"/>
      <w:basedOn w:val="Normal"/>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pPr>
        <w:spacing w:before="120" w:after="100"/>
        <w:ind w:start="45" w:end="0"/>
        <w:jc w:val="left"/>
      </w:pPr>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pPr>
        <w:spacing w:before="120" w:after="100" w:line="240" w:lineRule="auto"/>
        <w:ind w:start="45" w:end="0"/>
        <w:jc w:val="left"/>
      </w:pPr>
    </w:style>
    <w:style w:type="paragraph" w:styleId="GendocOriginal103DateT" w:default="false">
      <w:name w:val="Gendoc_Original_103_Date_T"/>
      <w:next w:val="Gendoc_Original_103_Date_T"/>
      <w:uiPriority w:val="99"/>
      <w:basedOn w:val="Normal"/>
      <w:semiHidden/>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pPr>
        <w:spacing w:before="120" w:after="100"/>
        <w:ind w:start="45" w:end="0"/>
        <w:jc w:val="left"/>
      </w:pPr>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pPr>
        <w:spacing w:before="120" w:after="100" w:line="240" w:lineRule="auto"/>
        <w:ind w:start="45" w:end="0"/>
        <w:jc w:val="left"/>
      </w:pPr>
    </w:style>
    <w:style w:type="paragraph" w:styleId="103DateTitreT" w:default="false">
      <w:name w:val="103_Date_Titre_T"/>
      <w:next w:val="01PointnumeroteAltN"/>
      <w:uiPriority w:val="99"/>
      <w:basedOn w:val="Normal"/>
    </w:style>
    <w:style w:type="paragraph" w:styleId="103DateTitreT" w:default="false">
      <w:name w:val="103_Date_Titre_T"/>
      <w:next w:val="01PointnumeroteAltN"/>
      <w:uiPriority w:val="99"/>
      <w:basedOn w:val="Normal"/>
      <w:rPr>
        <w:rFonts w:ascii="Open Sans" w:hAnsi="Open Sans" w:cs="Open Sans"/>
        <w:color w:val="#3E516E"/>
        <w:sz w:val="22"/>
        <w:szCs w:val="21"/>
        <w:b w:val="false"/>
        <w:bCs w:val="false"/>
        <w:i w:val="false"/>
        <w:iCs w:val="false"/>
      </w:rPr>
    </w:style>
    <w:style w:type="paragraph" w:styleId="103DateTitreT" w:default="false">
      <w:name w:val="103_Date_Titre_T"/>
      <w:next w:val="01PointnumeroteAltN"/>
      <w:uiPriority w:val="99"/>
      <w:basedOn w:val="Normal"/>
      <w:rPr>
        <w:rFonts w:ascii="Open Sans" w:hAnsi="Open Sans" w:cs="Open Sans"/>
        <w:color w:val="#3E516E"/>
        <w:sz w:val="22"/>
        <w:szCs w:val="21"/>
        <w:b w:val="false"/>
        <w:bCs w:val="false"/>
        <w:i w:val="false"/>
        <w:iCs w:val="false"/>
      </w:rPr>
      <w:pPr>
        <w:spacing w:before="54" w:after="0"/>
        <w:ind w:start="45" w:end="0"/>
        <w:jc w:val="left"/>
      </w:pPr>
    </w:style>
    <w:style w:type="paragraph" w:styleId="103DateTitreT" w:default="false">
      <w:name w:val="103_Date_Titre_T"/>
      <w:next w:val="01PointnumeroteAltN"/>
      <w:uiPriority w:val="99"/>
      <w:basedOn w:val="Normal"/>
      <w:rPr>
        <w:rFonts w:ascii="Open Sans" w:hAnsi="Open Sans" w:cs="Open Sans"/>
        <w:color w:val="#3E516E"/>
        <w:sz w:val="22"/>
        <w:szCs w:val="21"/>
        <w:b w:val="false"/>
        <w:bCs w:val="false"/>
        <w:i w:val="false"/>
        <w:iCs w:val="false"/>
      </w:rPr>
      <w:pPr>
        <w:spacing w:before="54" w:after="0" w:line="240" w:lineRule="auto"/>
        <w:ind w:start="45" w:end="0"/>
        <w:jc w:val="left"/>
      </w:pPr>
    </w:style>
    <w:style w:type="paragraph" w:styleId="GendocOriginal103DateTitreT" w:default="false">
      <w:name w:val="Gendoc_Original_103_Date_Titre_T"/>
      <w:next w:val="01PointnumeroteAltN"/>
      <w:uiPriority w:val="99"/>
      <w:basedOn w:val="Normal"/>
      <w:semiHidden/>
    </w:style>
    <w:style w:type="paragraph" w:styleId="GendocOriginal103DateTitreT" w:default="false">
      <w:name w:val="Gendoc_Original_103_Date_Titre_T"/>
      <w:next w:val="01PointnumeroteAltN"/>
      <w:uiPriority w:val="99"/>
      <w:basedOn w:val="Normal"/>
      <w:semiHidden/>
      <w:rPr>
        <w:rFonts w:ascii="Open Sans" w:hAnsi="Open Sans" w:cs="Open Sans"/>
        <w:color w:val="#3E516E"/>
        <w:sz w:val="22"/>
        <w:szCs w:val="21"/>
        <w:b w:val="false"/>
        <w:bCs w:val="false"/>
        <w:i w:val="false"/>
        <w:iCs w:val="false"/>
      </w:rPr>
    </w:style>
    <w:style w:type="paragraph" w:styleId="GendocOriginal103DateTitreT" w:default="false">
      <w:name w:val="Gendoc_Original_103_Date_Titre_T"/>
      <w:next w:val="01PointnumeroteAltN"/>
      <w:uiPriority w:val="99"/>
      <w:basedOn w:val="Normal"/>
      <w:semiHidden/>
      <w:rPr>
        <w:rFonts w:ascii="Open Sans" w:hAnsi="Open Sans" w:cs="Open Sans"/>
        <w:color w:val="#3E516E"/>
        <w:sz w:val="22"/>
        <w:szCs w:val="21"/>
        <w:b w:val="false"/>
        <w:bCs w:val="false"/>
        <w:i w:val="false"/>
        <w:iCs w:val="false"/>
      </w:rPr>
      <w:pPr>
        <w:spacing w:before="54" w:after="0"/>
        <w:ind w:start="45" w:end="0"/>
        <w:jc w:val="left"/>
      </w:pPr>
    </w:style>
    <w:style w:type="paragraph" w:styleId="GendocOriginal103DateTitreT" w:default="false">
      <w:name w:val="Gendoc_Original_103_Date_Titre_T"/>
      <w:next w:val="01PointnumeroteAltN"/>
      <w:uiPriority w:val="99"/>
      <w:basedOn w:val="Normal"/>
      <w:semiHidden/>
      <w:rPr>
        <w:rFonts w:ascii="Open Sans" w:hAnsi="Open Sans" w:cs="Open Sans"/>
        <w:color w:val="#3E516E"/>
        <w:sz w:val="22"/>
        <w:szCs w:val="21"/>
        <w:b w:val="false"/>
        <w:bCs w:val="false"/>
        <w:i w:val="false"/>
        <w:iCs w:val="false"/>
      </w:rPr>
      <w:pPr>
        <w:spacing w:before="54" w:after="0" w:line="240" w:lineRule="auto"/>
        <w:ind w:start="45" w:end="0"/>
        <w:jc w:val="left"/>
      </w:pPr>
    </w:style>
    <w:style w:type="paragraph" w:styleId="102IDI" w:default="false">
      <w:name w:val="102_ID_I"/>
      <w:next w:val="102_ID_I"/>
      <w:uiPriority w:val="99"/>
      <w:basedOn w:val="Normal"/>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pPr>
        <w:spacing w:before="0" w:after="0"/>
        <w:ind w:start="0" w:end="0"/>
        <w:jc w:val="left"/>
      </w:pPr>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pPr>
        <w:spacing w:before="0" w:after="0" w:line="240" w:lineRule="auto"/>
        <w:ind w:start="0" w:end="0"/>
        <w:jc w:val="left"/>
      </w:pPr>
    </w:style>
    <w:style w:type="paragraph" w:styleId="GendocOriginal102IDI" w:default="false">
      <w:name w:val="Gendoc_Original_102_ID_I"/>
      <w:next w:val="Gendoc_Original_102_ID_I"/>
      <w:uiPriority w:val="99"/>
      <w:basedOn w:val="Normal"/>
      <w:semiHidden/>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pPr>
        <w:spacing w:before="0" w:after="0"/>
        <w:ind w:start="0" w:end="0"/>
        <w:jc w:val="left"/>
      </w:pPr>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pPr>
        <w:spacing w:before="0" w:after="0" w:line="240" w:lineRule="auto"/>
        <w:ind w:start="0" w:end="0"/>
        <w:jc w:val="left"/>
      </w:pPr>
    </w:style>
    <w:style w:type="paragraph" w:styleId="103DateI" w:default="false">
      <w:name w:val="103_Date_I"/>
      <w:next w:val="103_Date_I"/>
      <w:uiPriority w:val="99"/>
      <w:basedOn w:val="Normal"/>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pPr>
        <w:spacing w:before="120" w:after="100"/>
        <w:ind w:start="45" w:end="0"/>
        <w:jc w:val="left"/>
      </w:pPr>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pPr>
        <w:spacing w:before="120" w:after="100" w:line="240" w:lineRule="auto"/>
        <w:ind w:start="45" w:end="0"/>
        <w:jc w:val="left"/>
      </w:pPr>
    </w:style>
    <w:style w:type="paragraph" w:styleId="GendocOriginal103DateI" w:default="false">
      <w:name w:val="Gendoc_Original_103_Date_I"/>
      <w:next w:val="Gendoc_Original_103_Date_I"/>
      <w:uiPriority w:val="99"/>
      <w:basedOn w:val="Normal"/>
      <w:semiHidden/>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pPr>
        <w:spacing w:before="120" w:after="100"/>
        <w:ind w:start="45" w:end="0"/>
        <w:jc w:val="left"/>
      </w:pPr>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pPr>
        <w:spacing w:before="120" w:after="100" w:line="240" w:lineRule="auto"/>
        <w:ind w:start="45" w:end="0"/>
        <w:jc w:val="left"/>
      </w:pPr>
    </w:style>
    <w:style w:type="paragraph" w:styleId="103DateTitreI" w:default="false">
      <w:name w:val="103_Date_Titre_I"/>
      <w:next w:val="01PointnumeroteAltN"/>
      <w:uiPriority w:val="99"/>
      <w:basedOn w:val="Normal"/>
    </w:style>
    <w:style w:type="paragraph" w:styleId="103DateTitreI" w:default="false">
      <w:name w:val="103_Date_Titre_I"/>
      <w:next w:val="01PointnumeroteAltN"/>
      <w:uiPriority w:val="99"/>
      <w:basedOn w:val="Normal"/>
      <w:rPr>
        <w:rFonts w:ascii="Open Sans" w:hAnsi="Open Sans" w:cs="Open Sans"/>
        <w:color w:val="#725922"/>
        <w:sz w:val="22"/>
        <w:szCs w:val="21"/>
        <w:b w:val="false"/>
        <w:bCs w:val="false"/>
        <w:i w:val="false"/>
        <w:iCs w:val="false"/>
      </w:rPr>
    </w:style>
    <w:style w:type="paragraph" w:styleId="103DateTitreI" w:default="false">
      <w:name w:val="103_Date_Titre_I"/>
      <w:next w:val="01PointnumeroteAltN"/>
      <w:uiPriority w:val="99"/>
      <w:basedOn w:val="Normal"/>
      <w:rPr>
        <w:rFonts w:ascii="Open Sans" w:hAnsi="Open Sans" w:cs="Open Sans"/>
        <w:color w:val="#725922"/>
        <w:sz w:val="22"/>
        <w:szCs w:val="21"/>
        <w:b w:val="false"/>
        <w:bCs w:val="false"/>
        <w:i w:val="false"/>
        <w:iCs w:val="false"/>
      </w:rPr>
      <w:pPr>
        <w:spacing w:before="54" w:after="0"/>
        <w:ind w:start="45" w:end="0"/>
        <w:jc w:val="left"/>
      </w:pPr>
    </w:style>
    <w:style w:type="paragraph" w:styleId="103DateTitreI" w:default="false">
      <w:name w:val="103_Date_Titre_I"/>
      <w:next w:val="01PointnumeroteAltN"/>
      <w:uiPriority w:val="99"/>
      <w:basedOn w:val="Normal"/>
      <w:rPr>
        <w:rFonts w:ascii="Open Sans" w:hAnsi="Open Sans" w:cs="Open Sans"/>
        <w:color w:val="#725922"/>
        <w:sz w:val="22"/>
        <w:szCs w:val="21"/>
        <w:b w:val="false"/>
        <w:bCs w:val="false"/>
        <w:i w:val="false"/>
        <w:iCs w:val="false"/>
      </w:rPr>
      <w:pPr>
        <w:spacing w:before="54" w:after="0" w:line="240" w:lineRule="auto"/>
        <w:ind w:start="45" w:end="0"/>
        <w:jc w:val="left"/>
      </w:pPr>
    </w:style>
    <w:style w:type="paragraph" w:styleId="GendocOriginal103DateTitreI" w:default="false">
      <w:name w:val="Gendoc_Original_103_Date_Titre_I"/>
      <w:next w:val="01PointnumeroteAltN"/>
      <w:uiPriority w:val="99"/>
      <w:basedOn w:val="Normal"/>
      <w:semiHidden/>
    </w:style>
    <w:style w:type="paragraph" w:styleId="GendocOriginal103DateTitreI" w:default="false">
      <w:name w:val="Gendoc_Original_103_Date_Titre_I"/>
      <w:next w:val="01PointnumeroteAltN"/>
      <w:uiPriority w:val="99"/>
      <w:basedOn w:val="Normal"/>
      <w:semiHidden/>
      <w:rPr>
        <w:rFonts w:ascii="Open Sans" w:hAnsi="Open Sans" w:cs="Open Sans"/>
        <w:color w:val="#725922"/>
        <w:sz w:val="22"/>
        <w:szCs w:val="21"/>
        <w:b w:val="false"/>
        <w:bCs w:val="false"/>
        <w:i w:val="false"/>
        <w:iCs w:val="false"/>
      </w:rPr>
    </w:style>
    <w:style w:type="paragraph" w:styleId="GendocOriginal103DateTitreI" w:default="false">
      <w:name w:val="Gendoc_Original_103_Date_Titre_I"/>
      <w:next w:val="01PointnumeroteAltN"/>
      <w:uiPriority w:val="99"/>
      <w:basedOn w:val="Normal"/>
      <w:semiHidden/>
      <w:rPr>
        <w:rFonts w:ascii="Open Sans" w:hAnsi="Open Sans" w:cs="Open Sans"/>
        <w:color w:val="#725922"/>
        <w:sz w:val="22"/>
        <w:szCs w:val="21"/>
        <w:b w:val="false"/>
        <w:bCs w:val="false"/>
        <w:i w:val="false"/>
        <w:iCs w:val="false"/>
      </w:rPr>
      <w:pPr>
        <w:spacing w:before="54" w:after="0"/>
        <w:ind w:start="45" w:end="0"/>
        <w:jc w:val="left"/>
      </w:pPr>
    </w:style>
    <w:style w:type="paragraph" w:styleId="GendocOriginal103DateTitreI" w:default="false">
      <w:name w:val="Gendoc_Original_103_Date_Titre_I"/>
      <w:next w:val="01PointnumeroteAltN"/>
      <w:uiPriority w:val="99"/>
      <w:basedOn w:val="Normal"/>
      <w:semiHidden/>
      <w:rPr>
        <w:rFonts w:ascii="Open Sans" w:hAnsi="Open Sans" w:cs="Open Sans"/>
        <w:color w:val="#725922"/>
        <w:sz w:val="22"/>
        <w:szCs w:val="21"/>
        <w:b w:val="false"/>
        <w:bCs w:val="false"/>
        <w:i w:val="false"/>
        <w:iCs w:val="false"/>
      </w:rPr>
      <w:pPr>
        <w:spacing w:before="54" w:after="0" w:line="240" w:lineRule="auto"/>
        <w:ind w:start="45" w:end="0"/>
        <w:jc w:val="left"/>
      </w:pPr>
    </w:style>
    <w:style w:type="table" w:styleId="TableNoBorder" w:default="false">
      <w:name w:val="TableNoBorder"/>
      <w:next w:val="TableNoBorder"/>
      <w:uiPriority w:val="99"/>
      <w:basedOn w:val="TableNormal"/>
    </w:style>
    <w:style w:type="table" w:styleId="GendocOriginalTableNoBorder" w:default="false">
      <w:name w:val="Gendoc_Original_TableNoBorder"/>
      <w:next w:val="Gendoc_Original_TableNoBorder"/>
      <w:uiPriority w:val="99"/>
      <w:basedOn w:val="TableNormal"/>
      <w:semiHidden/>
    </w:style>
  </w:styles>
</BackupStylesWithEffects>
</file>

<file path=customXml/item14.xml><?xml version="1.0" encoding="utf-8"?>
<TOCProperties>
  <IsVademecum>0</IsVademecum>
</TOCProperties>
</file>

<file path=customXml/item2.xml><?xml version="1.0" encoding="utf-8"?>
<thesaurus lang="da">
  <blockcontents>
    <blockcontent id="COM_PRESS_Footer">Direktoratet for Kommunikation###SOFT_RETURN###Kontoret for Presse og Information</blockcontent>
    <blockcontent id="COM_PRESS_Objet_ARRET_Bold">{b}Dom{/b}</blockcontent>
    <blockcontent id="COM_PRESS_Objet_ORD_Bold">{b}Kendelse{/b} afsagt af præsidenten</blockcontent>
    <blockcontent id="COM_PRESS_Objet_ORD-R_Bold">{b}Kendelse{/b} afsagt af vicepræsidenten</blockcontent>
    <blockcontent id="COM_PRESS_Objet_AVIS_Bold">{b}Udtalelse{/b}</blockcontent>
    <blockcontent id="COM_PRESS_Objet_Juridiction_C"> ved Domstolen</blockcontent>
    <blockcontent id="COM_PRESS_Objet_Juridiction_T"> ved Retten</blockcontent>
    <blockcontent id="COM_PRESS_Objet_CONCL_M_C_Bold">{b}Konklusioner{/b} fra generaladvokaten ved Domstolen</blockcontent>
    <blockcontent id="COM_PRESS_Objet_CONCL_F_C_Bold">{b}Konklusioner{/b} fra generaladvokaten ved Domstolen</blockcontent>
    <blockcontent id="COM_PRESS_Objet_CONCL_M_T_Bold">{b}Konklusioner{/b} fra generaladvokaten ved Retten</blockcontent>
    <blockcontent id="COM_PRESS_Objet_CONCL_F_T_Bold">{b}Konklusioner{/b} fra generaladvokaten ved Retten</blockcontent>
    <blockcontent id="COM_PRESS_Objet_INFOS_1">Besøg ved Den Europæiske Unions Domstol</blockcontent>
    <blockcontent id="COM_PRESS_Objet_AUDSOL_1">Højtidelig retsmøde ved Domstolen</blockcontent>
    <blockcontent id="COM_PRESS_Objet_Dans_Affaire">i sag </blockcontent>
    <blockcontent id="NOTE_NOM_FICTIF">Den foreliggende sags navn er et vedtaget navn. Det svarer ikke til et navn på en part i sagen.</blockcontent>
    <blockcontent id="COM_PRESS_Objet_Dans_Affaires_Jointes">i de forenede sager </blockcontent>
    <blockcontent id="COM_PRESS_Objet_INFOS_2">af præsidenten for Republikken XXX, XXX</blockcontent>
    <blockcontent id="COM_PRESS_Date_Titre">Pressemeddelelse nr. XXX/</blockcontent>
    <blockcontent id="COM_PRESS_DATE">Luxembourg, den </blockcontent>
    <blockcontent id="COM_PRESS_TITRE_LIB">OVERSKRIFT</blockcontent>
    <blockcontent id="COM_PRESS_TEXTE_LIB">(Tekst)</blockcontent>
    <blockcontent id="COM_PRESS_NonOfficiel_C">Dette er et ikke-officielt dokument til mediernes brug og forpligter ikke Domstolen. Fremstillingen af de faktiske omstændigheder og retsforskrifterne vedrører den relevante periode og er baseret på sagens akter.</blockcontent>
    <blockcontent id="COM_PRESS_NonOfficiel_T_2">Dette er et ikke-officielt dokument til mediernes brug og forpligter ikke Retten. Fremstillingen af de faktiske omstændigheder og retsforskrifterne vedrører den relevante periode og er baseret på sagens akter.</blockcontent>
    <blockcontent id="COM_PRESS_NonOfficiel_C_JOINT">Dette er et ikke-officielt dokument til mediernes brug og forpligter ikke Domstolen. Fremstillingen af de faktiske omstændigheder og retsforskrifterne vedrører den relevante periode og er baseret på sagernes akter.</blockcontent>
    <blockcontent id="COM_PRESS_NonOfficiel_T_2_JOINT">Dette er et ikke-officielt dokument til mediernes brug og forpligter ikke Retten. Fremstillingen af de faktiske omstændigheder og retsforskrifterne vedrører den relevante periode og er baseret på sagernes akter.</blockcontent>
    <blockcontent id="COM_PRESS_NonOfficiel_C_2">Dette er et ikke-officielt dokument til mediernes brug og forpligter ikke Domstolen.</blockcontent>
    <blockcontent id="COM_PRESS_NonOfficiel_T">Dette er et ikke-officielt dokument til mediernes brug og forpligter ikke Retten.</blockcontent>
    <blockcontent id="COM_PRESS_Texte_Integral_1"/>
    <blockcontent id="COM_PRESS_Texte_Integral_ARRET_2"> af dommen offentliggøres på webstedet CURIA på dagen for afsigelsen.</blockcontent>
    <blockcontent id="COM_PRESS_Texte_Integral_ORD_2"> af kendelsen offentliggøres på webstedet CURIA.</blockcontent>
    <blockcontent id="COM_PRESS_Texte_Integral_AVIS"> offentliggøres på webstedet CURIA på afgivelsesdagen.</blockcontent>
    <blockcontent id="COM_PRESS_Texte_Integral_CONCL"> offentliggøres på webstedet CURIA på fremsættelsesdagen.</blockcontent>
    <blockcontent id="COM_PRESS_ContactPresseLabel">Kontakt i Kontoret for Presse og Information: </blockcontent>
    <blockcontent id="COM_PRESS_ContactPresseName">Jarosław Zasada </blockcontent>
    <blockcontent id="COM_PRESS_ContactPressePhone">###NON_BREAKING_SPACE###(+352)###NON_BREAKING_SPACE###4303###NON_BREAKING_SPACE###2793.</blockcontent>
    <blockcontent id="COM_PRESS_EBS_AUDSOL">Billeder fra det højtidelige retsmøde er tilgængelige via »###NON_BREAKING_SPACE###</blockcontent>
    <blockcontent id="COM_PRESS_EBS_CONCL">Billeder fra oplæsningen af forslaget til afgørelse er tilgængelige via »###NON_BREAKING_SPACE###</blockcontent>
    <blockcontent id="COM_PRESS_EBS_ARRET">Billeder fra domsafsigelsen er tilgængelige via »###NON_BREAKING_SPACE###</blockcontent>
    <blockcontent id="COM_PRESS_EBS_ARRET_MULTI">Billeder fra domsafsigelsen er tilgængelige via »###NON_BREAKING_SPACE###</blockcontent>
    <blockcontent id="COM_PRESS_EBS_AVIS">Billeder fra afgivelsen af udtalelsen er tilgængelige via »###NON_BREAKING_SPACE###</blockcontent>
    <blockcontent id="COM_PRESS_EBS_SPACE_QUOTE">###NON_BREAKING_SPACE###«</blockcontent>
    <blockcontent id="COM_PRESS_EBS_AINSI"> og via »###NON_BREAKING_SPACE###</blockcontent>
    <blockcontent id="COM_PRESS_EBS_2">###NON_BREAKING_SPACE###« </blockcontent>
    <blockcontent id="COM_PRESS_EBS_Phone"> (+32) 2 2964106</blockcontent>
    <blockcontent id="COM_PRESS_EBS_PLUS_ARRET">Der er også adgang til en video om dommen via »###NON_BREAKING_SPACE###</blockcontent>
    <blockcontent id="COM_PRESS_EBS_PLUS_ARRET_MULTI">Der er også adgang til en video om dommen via »###NON_BREAKING_SPACE###</blockcontent>
    <blockcontent id="COM_PRESS_EBS_PLUS_AVIS">Der er også adgang til en video om udtalelsen via »###NON_BREAKING_SPACE###</blockcontent>
    <blockcontent id="COM_PRESS_EBS_PLUS_CONCL">Der er også adgang til en video om forslaget til afgørelse via »###NON_BREAKING_SPACE###</blockcontent>
  </blockcontents>
</thesaurus>
</file>

<file path=customXml/item3.xml><?xml version="1.0" encoding="utf-8"?>
<ValidationRuleDefinitions>
  <FormattingRuleDefinitions/>
  <BlockStyleRuleDefinitions>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DateTC_YBoCXDSiREG6sOy6ucHC+g==</string>
      </BlockIds>
      <AuthorizedParagraphStyleIds>
        <string>103_Date_Titre_C</string>
      </AuthorizedParagraphStyleIds>
      <AuthorizedCharacterStyleIds>
        <string>Default Paragraph Font</string>
      </AuthorizedCharacterStyleIds>
      <CanOverrideStyle>false</CanOverrideStyle>
    </BlockStyleRuleDefinition>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DateTC_3sCkQBSRy0+QM76sNrBIkQ==</string>
      </BlockIds>
      <AuthorizedParagraphStyleIds>
        <string>103_Date_C</string>
      </AuthorizedParagraphStyleIds>
      <AuthorizedCharacterStyleIds>
        <string>Default Paragraph Font</string>
      </AuthorizedCharacterStyleIds>
      <CanOverrideStyle>false</CanOverrideStyle>
    </BlockStyleRuleDefinition>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ccTag18</string>
      </BlockIds>
      <AuthorizedParagraphStyleIds>
        <string>Header</string>
      </AuthorizedParagraphStyleIds>
      <AuthorizedCharacterStyleIds>
        <string>Default Paragraph Font</string>
      </AuthorizedCharacterStyleIds>
      <CanOverrideStyle>false</CanOverrideStyle>
    </BlockStyleRuleDefinition>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ccTag16</string>
      </BlockIds>
      <AuthorizedParagraphStyleIds>
        <string>011_Footer</string>
      </AuthorizedParagraphStyleIds>
      <AuthorizedCharacterStyleIds>
        <string>Default Paragraph Font</string>
      </AuthorizedCharacterStyleIds>
      <CanOverrideStyle>false</CanOverrideStyle>
    </BlockStyleRuleDefinition>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ccTag17</string>
      </BlockIds>
      <AuthorizedParagraphStyleIds>
        <string>011_Footer</string>
      </AuthorizedParagraphStyleIds>
      <AuthorizedCharacterStyleIds>
        <string>Default Paragraph Font</string>
      </AuthorizedCharacterStyleIds>
      <CanOverrideStyle>false</CanOverrideStyle>
    </BlockStyleRuleDefinition>
  </BlockStyleRuleDefinitions>
</ValidationRuleDefinitions>
</file>

<file path=customXml/item4.xml><?xml version="1.0" encoding="utf-8"?>
<COM_PRESS_Rappels>
  <rappels>
    <rappel>{b}BEMÆRKNING:{/b} Gennem en præjudiciel forelæggelse kan retterne i medlemsstaterne i forbindelse med retssager, der verserer for dem, forelægge EU-Domstolen spørgsmål vedrørende fortolkningen af EU-retten eller gyldigheden af en EU-retsakt.</rappel>
    <rappel>Retten har kompetence til at behandle anmodninger om præjudiciel afgørelse, der udelukkende vedrører 1)###NON_BREAKING_SPACE###det fælles merværdiafgiftssystem (moms), 2)###NON_BREAKING_SPACE###punktafgifter, 3)###NON_BREAKING_SPACE###toldkodeksen, 4)###NON_BREAKING_SPACE###tariferingen af varer i den kombinerede nomenklatur, 5)###NON_BREAKING_SPACE###kompensation og bistand til luftpassagerer ved boardingafvisning eller ved forsinkelse eller aflysning af transportydelser eller 6)###NON_BREAKING_SPACE###systemet for handel med kvoter for drivhusgasemissioner. Domstolen har kompetence til at behandle alle andre anmodninger om præjudiciel afgørelse.</rappel>
    <rappel>Hverken Domstolen eller Retten træffer afgørelse i den nationale tvist. Det tilkommer den nationale ret at afgøre sagen i overensstemmelse med Domstolens eller Rettens afgørelse, der på tilsvarende måde er bindende for andre nationale retter i sager vedrørende en tilsvarende problemstilling.</rappel>
  </rappels>
</COM_PRESS_Rappels>
</file>

<file path=customXml/item5.xml><?xml version="1.0" encoding="utf-8"?>
<XMLPartCheckSums>
  <CheckSum XMLPart="BackupStyles" version="1">1ECBBC6B3A878C0A9A23D65A41596A3D</CheckSum>
  <CheckSum XMLPart="BackupNumbering" version="1">45DEDA170207ED32DFC1C0707584A1FE</CheckSum>
  <CheckSum XMLPart="GendocCanevasStyleMapping" version="1">1DBD7F133243483941ECF7256401667F</CheckSum>
  <CheckSum XMLPart="TOCProperties" version="1">85947B3DBD1B751106942EAFB1AFAAFC</CheckSum>
  <CheckSum XMLPart="OriginalStyles" version="1">2B0342CB4E97F307D530A54EDD0B2D1E</CheckSum>
  <CheckSum XMLPart="doc_ref" version="1">DFF07D55968672BCCA11A9DB7231383B</CheckSum>
  <CheckSum XMLPart="BackupStylesWithEffects" version="1">EAF654CDAFA727639FF789B6C59FF170</CheckSum>
  <CheckSum XMLPart="template-info" version="1">C11B729EE4E256A07F24755E21AFACBB</CheckSum>
  <CheckSum XMLPart="ValidationRuleDefinitions" version="1">69420DB0F42C5F48CD50CA63DF1455D7</CheckSum>
  <CheckSum XMLPart="OriginalStyleDescriptions" version="1">ED2B2F8B651E17CE44B78B144B4304FD</CheckSum>
</XMLPartCheckSums>
</file>

<file path=customXml/item6.xml><?xml version="1.0" encoding="utf-8"?>
<BackupNumbering>
  <w:numbering xmlns:w="http://schemas.openxmlformats.org/wordprocessingml/2006/main"/>
</BackupNumbering>
</file>

<file path=customXml/item7.xml><?xml version="1.0" encoding="utf-8"?>
<OriginalStyles>
  <OriginalStyle Tag="DateTC_YBoCXDSiREG6sOy6ucHC+g==" StyleId="103DateTitreC" AuthorizedChange="false">103_Date_Titre_C</OriginalStyle>
  <OriginalStyle Tag="DateTC_3sCkQBSRy0+QM76sNrBIkQ==" StyleId="103DateC" AuthorizedChange="false">103_Date_C</OriginalStyle>
  <OriginalStyle Tag="ccTag18" StyleId="Header" AuthorizedChange="false">Header</OriginalStyle>
  <OriginalStyle Tag="ccTag16" StyleId="011Footer" AuthorizedChange="false">011_Footer</OriginalStyle>
  <OriginalStyle Tag="ccTag17" StyleId="011Footer" AuthorizedChange="false">011_Footer</OriginalStyle>
</OriginalStyl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OriginalStyleDescriptions>
  <OriginalStyleDescription xmlns:xsd="http://www.w3.org/2001/XMLSchema" xmlns:xsi="http://www.w3.org/2001/XMLSchema-instance">
    <Name>000_Intitule</Name>
    <Description>Font: (Default) Open Sans, 12 pt, Left
    Line spacing:  single, Space
    After:  3 pt, Priority: 100</Description>
  </OriginalStyleDescription>
  <OriginalStyleDescription xmlns:xsd="http://www.w3.org/2001/XMLSchema" xmlns:xsi="http://www.w3.org/2001/XMLSchema-instance">
    <Name>001_Auteur</Name>
    <Description>Font: (Default) Open Sans, 12 pt, Font color: Custom Color(RGB(205;168;120)), All caps, Left
    Line spacing:  Exactly 15,5 pt, Space
    Before:  3 pt, Don't add space between paragraphs of the same style, Priority: 100</Description>
  </OriginalStyleDescription>
  <OriginalStyleDescription xmlns:xsd="http://www.w3.org/2001/XMLSchema" xmlns:xsi="http://www.w3.org/2001/XMLSchema-instance">
    <Name>002_ID</Name>
    <Description>Font: (Default) Open Sans, 14 pt, Bold, Font color: Custom Color(RGB(212;161;103)), Left
    Line spacing:  single, Space
    After:  3 pt, Priority: 100</Description>
  </OriginalStyleDescription>
  <OriginalStyleDescription xmlns:xsd="http://www.w3.org/2001/XMLSchema" xmlns:xsi="http://www.w3.org/2001/XMLSchema-instance">
    <Name>002_ID_Big</Name>
    <Description>Font: (Default) Open Sans, 24 pt, Font color: Custom Color(RGB(212;161;103)), Left
    Line spacing:  single, Priority: 100</Description>
  </OriginalStyleDescription>
  <OriginalStyleDescription xmlns:xsd="http://www.w3.org/2001/XMLSchema" xmlns:xsi="http://www.w3.org/2001/XMLSchema-instance">
    <Name>003_Date</Name>
    <Description>Font: (Default) Open Sans, 9,5 pt, Bold, Font color: White, Left
    Line spacing:  single, Space
    Before:  2,7 pt
    After:  3 pt, Priority: 100</Description>
  </OriginalStyleDescription>
  <OriginalStyleDescription xmlns:xsd="http://www.w3.org/2001/XMLSchema" xmlns:xsi="http://www.w3.org/2001/XMLSchema-instance">
    <Name>004_Objet</Name>
    <Description>Font: (Default) Open Sans, Left
    Line spacing:  Multiple 1,2 li, Space
    Before:  24 pt
    After:  12 pt, Priority: 100</Description>
  </OriginalStyleDescription>
  <OriginalStyleDescription xmlns:xsd="http://www.w3.org/2001/XMLSchema" xmlns:xsi="http://www.w3.org/2001/XMLSchema-instance">
    <Name>005_Titre</Name>
    <Description>Font: (Default) Open Sans, 13 pt, Bold, Font color: Custom Color(RGB(35;31;32)), Left
    Line spacing:  Multiple 1,1 li, Space
    After:  12 pt, Priority: 100</Description>
  </OriginalStyleDescription>
  <OriginalStyleDescription xmlns:xsd="http://www.w3.org/2001/XMLSchema" xmlns:xsi="http://www.w3.org/2001/XMLSchema-instance">
    <Name>006_SousTitre</Name>
    <Description>Font: (Default) Open Sans, Italic, Font color: Custom Color(RGB(35;31;32)), Left
    Line spacing:  Multiple 1,1 li, Space
    After:  12 pt, Priority: 100</Description>
  </OriginalStyleDescription>
  <OriginalStyleDescription xmlns:xsd="http://www.w3.org/2001/XMLSchema" xmlns:xsi="http://www.w3.org/2001/XMLSchema-instance">
    <Name>007_NomDesParties</Name>
    <Description>Font: (Default) Open Sans, Left
    Line spacing:  single, Priority: 100</Description>
  </OriginalStyleDescription>
  <OriginalStyleDescription xmlns:xsd="http://www.w3.org/2001/XMLSchema" xmlns:xsi="http://www.w3.org/2001/XMLSchema-instance">
    <Name>008_CorpsDuTexte</Name>
    <Description>Font: (Default) Open Sans, 9 pt, Font color: Custom Color(RGB(35;31;32)), Left
    Line spacing:  Multiple 1,14 li, Space
    Before:  8,6 pt, Priority: 100</Description>
  </OriginalStyleDescription>
  <OriginalStyleDescription xmlns:xsd="http://www.w3.org/2001/XMLSchema" xmlns:xsi="http://www.w3.org/2001/XMLSchema-instance">
    <Name>009_Boite</Name>
    <Description>Font: (Default) Open Sans, 9 pt, Font color: Custom Color(RGB(35;31;32)), Left
    Line spacing:  single, Space
    Before:  5 pt, Priority: 100</Description>
  </OriginalStyleDescription>
  <OriginalStyleDescription xmlns:xsd="http://www.w3.org/2001/XMLSchema" xmlns:xsi="http://www.w3.org/2001/XMLSchema-instance">
    <Name>011_Footer</Name>
    <Description>Font: (Default) Open Sans, 9 pt, Font color: Custom Color(RGB(65;64;66)), Left
    Line spacing:  Multiple 0,92 li, Priority: 100</Description>
  </OriginalStyleDescription>
  <OriginalStyleDescription xmlns:xsd="http://www.w3.org/2001/XMLSchema" xmlns:xsi="http://www.w3.org/2001/XMLSchema-instance">
    <Name>012_StayConnected</Name>
    <Description>Font: (Default) Open Sans SemiBold, 9 pt, Left
    Line spacing:  Multiple 1,14 li, Space
    Before:  6 pt
    After:  6 pt, Border:
    Top: (Single solid line, Custom Color(RGB(200;174;112)),  1 pt Line width, From text:  4 pt Border spacing: )
    Bottom: (Single solid line, Custom Color(RGB(200;174;112)),  1 pt Line width, From text:  4 pt Border spacing: )
    Left: (Single solid line, Custom Color(RGB(200;174;112)),  1 pt Line width)
    Right: (Single solid line, Custom Color(RGB(200;174;112)),  1 pt Line width), Priority: 100</Description>
  </OriginalStyleDescription>
  <OriginalStyleDescription xmlns:xsd="http://www.w3.org/2001/XMLSchema" xmlns:xsi="http://www.w3.org/2001/XMLSchema-instance">
    <Name>02_BoldCharacterStyle</Name>
    <Description>Font: Bold, Priority: 100</Description>
  </OriginalStyleDescription>
  <OriginalStyleDescription xmlns:xsd="http://www.w3.org/2001/XMLSchema" xmlns:xsi="http://www.w3.org/2001/XMLSchema-instance">
    <Name>102_ID</Name>
    <Description>Font: (Default) Open Sans, 14 pt, Font color: Custom Color(RGB(133;26;21)), Left
    Line spacing:  single, Priority: 100</Description>
  </OriginalStyleDescription>
  <OriginalStyleDescription xmlns:xsd="http://www.w3.org/2001/XMLSchema" xmlns:xsi="http://www.w3.org/2001/XMLSchema-instance">
    <Name>102_ID_C</Name>
    <Description>Font: (Default) Open Sans, 14 pt, Font color: Custom Color(RGB(133;26;21)), Left
    Line spacing:  single, Priority: 100</Description>
  </OriginalStyleDescription>
  <OriginalStyleDescription xmlns:xsd="http://www.w3.org/2001/XMLSchema" xmlns:xsi="http://www.w3.org/2001/XMLSchema-instance">
    <Name>102_ID_I</Name>
    <Description>Font: (Default) Open Sans, 14 pt, Font color: Custom Color(RGB(114;89;34)), Left
    Line spacing:  single, Priority: 100</Description>
  </OriginalStyleDescription>
  <OriginalStyleDescription xmlns:xsd="http://www.w3.org/2001/XMLSchema" xmlns:xsi="http://www.w3.org/2001/XMLSchema-instance">
    <Name>102_ID_T</Name>
    <Description>Font: (Default) Open Sans, 14 pt, Font color: Custom Color(RGB(62;81;110)), Left
    Line spacing:  single, Priority: 100</Description>
  </OriginalStyleDescription>
  <OriginalStyleDescription xmlns:xsd="http://www.w3.org/2001/XMLSchema" xmlns:xsi="http://www.w3.org/2001/XMLSchema-instance">
    <Name>103_Date_C</Name>
    <Description>Font: (Default) Open Sans, 9 pt, Font color: Custom Color(RGB(133;26;21)), Indent:
    Left:  0,08 cm, Left
    Line spacing:  single, Space
    Before:  6 pt
    After:  5 pt, Priority: 100</Description>
  </OriginalStyleDescription>
  <OriginalStyleDescription xmlns:xsd="http://www.w3.org/2001/XMLSchema" xmlns:xsi="http://www.w3.org/2001/XMLSchema-instance">
    <Name>103_Date_I</Name>
    <Description>Font: (Default) Open Sans, 9 pt, Font color: Custom Color(RGB(114;89;34)), Indent:
    Left:  0,08 cm, Left
    Line spacing:  single, Space
    Before:  6 pt
    After:  5 pt, Priority: 100</Description>
  </OriginalStyleDescription>
  <OriginalStyleDescription xmlns:xsd="http://www.w3.org/2001/XMLSchema" xmlns:xsi="http://www.w3.org/2001/XMLSchema-instance">
    <Name>103_Date_T</Name>
    <Description>Font: (Default) Open Sans, 9 pt, Font color: Custom Color(RGB(62;81;110)), Indent:
    Left:  0,08 cm, Left
    Line spacing:  single, Space
    Before:  6 pt
    After:  5 pt, Priority: 100</Description>
  </OriginalStyleDescription>
  <OriginalStyleDescription xmlns:xsd="http://www.w3.org/2001/XMLSchema" xmlns:xsi="http://www.w3.org/2001/XMLSchema-instance">
    <Name>103_Date_Titre_C</Name>
    <Description>Font: (Default) Open Sans, 11 pt, Font color: Custom Color(RGB(133;26;21)), Indent:
    Left:  0,08 cm, Left
    Line spacing:  single, Space
    Before:  2,7 pt, Priority: 100</Description>
  </OriginalStyleDescription>
  <OriginalStyleDescription xmlns:xsd="http://www.w3.org/2001/XMLSchema" xmlns:xsi="http://www.w3.org/2001/XMLSchema-instance">
    <Name>103_Date_Titre_I</Name>
    <Description>Font: (Default) Open Sans, 11 pt, Font color: Custom Color(RGB(114;89;34)), Indent:
    Left:  0,08 cm, Left
    Line spacing:  single, Space
    Before:  2,7 pt, Priority: 100</Description>
  </OriginalStyleDescription>
  <OriginalStyleDescription xmlns:xsd="http://www.w3.org/2001/XMLSchema" xmlns:xsi="http://www.w3.org/2001/XMLSchema-instance">
    <Name>103_Date_Titre_T</Name>
    <Description>Font: (Default) Open Sans, 11 pt, Font color: Custom Color(RGB(62;81;110)), Indent:
    Left:  0,08 cm, Left
    Line spacing:  single, Space
    Before:  2,7 pt, Priority: 100</Description>
  </OriginalStyleDescription>
  <OriginalStyleDescription xmlns:xsd="http://www.w3.org/2001/XMLSchema" xmlns:xsi="http://www.w3.org/2001/XMLSchema-instance">
    <Name>110_Rappel</Name>
    <Description>Font: (Default) Open Sans, 9 pt, Font color: Custom Color(RGB(35;31;32)), Left
    Line spacing:  Multiple 1,29 li, Space
    Before:  12 pt
    After:  12 pt, Border:
    Top: (Single solid line, Custom Color(RGB(209;211;212)),  1 pt Line width, From text:  4 pt Border spacing: )
    Bottom: (Single solid line, Custom Color(RGB(209;211;212)),  1 pt Line width, From text:  4 pt Border spacing: )
    Left: (Single solid line, Custom Color(RGB(209;211;212)),  1 pt Line width)
    Right: (Single solid line, Custom Color(RGB(209;211;212)),  1 pt Line width), Priority: 100</Description>
  </OriginalStyleDescription>
  <OriginalStyleDescription xmlns:xsd="http://www.w3.org/2001/XMLSchema" xmlns:xsi="http://www.w3.org/2001/XMLSchema-instance">
    <Name>50_Footnote_Nom_Fictif</Name>
    <Description>Font: 7,5 pt, Font color: Auto, Indent:
    Left:  0 cm
    Hanging:  0,25 cm, Justified
    Line spacing:  single, Space
    After:  15 pt, Priority: 100
    Based on: Footnote Text</Description>
  </OriginalStyleDescription>
  <OriginalStyleDescription xmlns:xsd="http://www.w3.org/2001/XMLSchema" xmlns:xsi="http://www.w3.org/2001/XMLSchema-instance">
    <Name>Footer</Name>
    <Description>Font: (Default) Times New Roman, 12,5 pt, Left
    Line spacing:  single, Widow/Orphan control
    Tab stops:  15,24 cm, Right +  7,62 cm, Centered, Priority: 100</Description>
  </OriginalStyleDescription>
  <OriginalStyleDescription xmlns:xsd="http://www.w3.org/2001/XMLSchema" xmlns:xsi="http://www.w3.org/2001/XMLSchema-instance">
    <Name>Footnote Reference</Name>
    <Description>Font: Not Bold, Not Italic, Font color: Auto, Superscript, Priority: 100</Description>
  </OriginalStyleDescription>
  <OriginalStyleDescription xmlns:xsd="http://www.w3.org/2001/XMLSchema" xmlns:xsi="http://www.w3.org/2001/XMLSchema-instance">
    <Name>Footnote Text</Name>
    <Description>Font: (Default) Open Sans, 7 pt, Font color: Custom Color(RGB(35;31;32)), Left
    Line spacing:  Multiple 1,2 li, Space
    After:  3 pt, Priority: 100</Description>
  </OriginalStyleDescription>
  <OriginalStyleDescription xmlns:xsd="http://www.w3.org/2001/XMLSchema" xmlns:xsi="http://www.w3.org/2001/XMLSchema-instance">
    <Name>Header</Name>
    <Description>Font: (Default) Open Sans, 11 pt, Left
    Line spacing:  single, Space
    After:  6 pt, Priority: 100</Description>
  </OriginalStyleDescription>
  <OriginalStyleDescription xmlns:xsd="http://www.w3.org/2001/XMLSchema" xmlns:xsi="http://www.w3.org/2001/XMLSchema-instance">
    <Name>Hyperlink</Name>
    <Description>Font: Not Bold, Not Italic, Underline, Underline color: Custom Color(RGB(32;94;158)), Font color: Custom Color(RGB(32;94;158)), Priority: 100</Description>
  </OriginalStyleDescription>
  <OriginalStyleDescription xmlns:xsd="http://www.w3.org/2001/XMLSchema" xmlns:xsi="http://www.w3.org/2001/XMLSchema-instance">
    <Name>TableNoBorder</Name>
    <Description>Font: (Default) Times New Roman, Left
    Line spacing:  Multiple 1,08 li, Space
    After:  8 pt, Widow/Orphan control</Description>
  </OriginalStyleDescription>
  <OriginalStyleDescription xmlns:xsd="http://www.w3.org/2001/XMLSchema" xmlns:xsi="http://www.w3.org/2001/XMLSchema-instance">
    <Name>WingdingsChar</Name>
    <Description>Font: (Default) Wingdings, 9 pt, Not Bold, Not Italic, Font color: Auto, Priority: 100</Description>
  </OriginalStyleDescription>
</OriginalStyleDescriptions>
</file>

<file path=customXml/itemProps1.xml><?xml version="1.0" encoding="utf-8"?>
<ds:datastoreItem xmlns:ds="http://schemas.openxmlformats.org/officeDocument/2006/customXml" ds:itemID="{397533B0-F1D7-4838-8098-EC560AA60586}">
  <ds:schemaRefs/>
</ds:datastoreItem>
</file>

<file path=customXml/itemProps10.xml><?xml version="1.0" encoding="utf-8"?>
<ds:datastoreItem xmlns:ds="http://schemas.openxmlformats.org/officeDocument/2006/customXml" ds:itemID="{3781D99A-6A91-4D49-8A9E-157EC068AC63}">
  <ds:schemaRefs/>
</ds:datastoreItem>
</file>

<file path=customXml/itemProps11.xml><?xml version="1.0" encoding="utf-8"?>
<ds:datastoreItem xmlns:ds="http://schemas.openxmlformats.org/officeDocument/2006/customXml" ds:itemID="{A3B7E589-61E7-46BE-A6EE-B2EBAE63ECFF}">
  <ds:schemaRefs/>
</ds:datastoreItem>
</file>

<file path=customXml/itemProps12.xml><?xml version="1.0" encoding="utf-8"?>
<ds:datastoreItem xmlns:ds="http://schemas.openxmlformats.org/officeDocument/2006/customXml" ds:itemID="{B13F0622-F731-43D9-9C3D-C6A3C2B8CDE9}">
  <ds:schemaRefs>
    <ds:schemaRef ds:uri="http://schemas.openxmlformats.org/wordprocessingml/2006/main"/>
  </ds:schemaRefs>
</ds:datastoreItem>
</file>

<file path=customXml/itemProps13.xml><?xml version="1.0" encoding="utf-8"?>
<ds:datastoreItem xmlns:ds="http://schemas.openxmlformats.org/officeDocument/2006/customXml" ds:itemID="{D9688E12-E00D-4ED8-84AA-3A1BABFECD40}">
  <ds:schemaRefs>
    <ds:schemaRef ds:uri="http://schemas.openxmlformats.org/wordprocessingml/2006/main"/>
  </ds:schemaRefs>
</ds:datastoreItem>
</file>

<file path=customXml/itemProps14.xml><?xml version="1.0" encoding="utf-8"?>
<ds:datastoreItem xmlns:ds="http://schemas.openxmlformats.org/officeDocument/2006/customXml" ds:itemID="{C477B951-48EE-4A50-8B9E-48954E22980D}">
  <ds:schemaRefs/>
</ds:datastoreItem>
</file>

<file path=customXml/itemProps2.xml><?xml version="1.0" encoding="utf-8"?>
<ds:datastoreItem xmlns:ds="http://schemas.openxmlformats.org/officeDocument/2006/customXml" ds:itemID="{F9ABD8ED-4B4D-4670-A4C1-6A1B6CC38DBE}">
  <ds:schemaRefs/>
</ds:datastoreItem>
</file>

<file path=customXml/itemProps3.xml><?xml version="1.0" encoding="utf-8"?>
<ds:datastoreItem xmlns:ds="http://schemas.openxmlformats.org/officeDocument/2006/customXml" ds:itemID="{62E71FCF-9699-4958-9FCB-A046C810B0FB}">
  <ds:schemaRefs/>
</ds:datastoreItem>
</file>

<file path=customXml/itemProps4.xml><?xml version="1.0" encoding="utf-8"?>
<ds:datastoreItem xmlns:ds="http://schemas.openxmlformats.org/officeDocument/2006/customXml" ds:itemID="{0D52F9A3-6BF8-45E2-8ECA-E66823815C03}">
  <ds:schemaRefs/>
</ds:datastoreItem>
</file>

<file path=customXml/itemProps5.xml><?xml version="1.0" encoding="utf-8"?>
<ds:datastoreItem xmlns:ds="http://schemas.openxmlformats.org/officeDocument/2006/customXml" ds:itemID="{49EB5C70-5479-4278-A3D9-78E7198A2554}">
  <ds:schemaRefs/>
</ds:datastoreItem>
</file>

<file path=customXml/itemProps6.xml><?xml version="1.0" encoding="utf-8"?>
<ds:datastoreItem xmlns:ds="http://schemas.openxmlformats.org/officeDocument/2006/customXml" ds:itemID="{2EEF2BEC-C4E5-4B59-A437-0EFF9CFACE15}">
  <ds:schemaRefs>
    <ds:schemaRef ds:uri="http://schemas.openxmlformats.org/wordprocessingml/2006/main"/>
  </ds:schemaRefs>
</ds:datastoreItem>
</file>

<file path=customXml/itemProps7.xml><?xml version="1.0" encoding="utf-8"?>
<ds:datastoreItem xmlns:ds="http://schemas.openxmlformats.org/officeDocument/2006/customXml" ds:itemID="{4D9AE2BA-FA95-4C6E-BDED-81E70730E1B5}">
  <ds:schemaRefs/>
</ds:datastoreItem>
</file>

<file path=customXml/itemProps8.xml><?xml version="1.0" encoding="utf-8"?>
<ds:datastoreItem xmlns:ds="http://schemas.openxmlformats.org/officeDocument/2006/customXml" ds:itemID="{C0C30DEB-816E-4A86-82EF-0A2A93844723}">
  <ds:schemaRefs>
    <ds:schemaRef ds:uri="http://schemas.openxmlformats.org/officeDocument/2006/bibliography"/>
  </ds:schemaRefs>
</ds:datastoreItem>
</file>

<file path=customXml/itemProps9.xml><?xml version="1.0" encoding="utf-8"?>
<ds:datastoreItem xmlns:ds="http://schemas.openxmlformats.org/officeDocument/2006/customXml" ds:itemID="{C80CD9B7-318C-4679-AF5C-AAE8D055975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1580</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dc:creator>
  <cp:lastModifiedBy>Leskiewicz Marguerite</cp:lastModifiedBy>
  <cp:revision>12</cp:revision>
  <cp:lastPrinted>2026-09-02T12:01:00Z</cp:lastPrinted>
  <dcterms:created xsi:type="dcterms:W3CDTF">2026-09-07T12:38:00Z</dcterms:created>
  <dcterms:modified xsi:type="dcterms:W3CDTF">2026-09-08T07:00:00Z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doc_User">
    <vt:lpwstr>lee</vt:lpwstr>
  </property>
  <property fmtid="{D5CDD505-2E9C-101B-9397-08002B2CF9AE}" pid="3" name="Gendoc_GenerationDate">
    <vt:filetime>2026-09-02T13:45:09Z</vt:filetime>
  </property>
  <property fmtid="{D5CDD505-2E9C-101B-9397-08002B2CF9AE}" pid="4" name="Created">
    <vt:lpwstr>GenDoc02-09-26 13:45:09</vt:lpwstr>
  </property>
  <property fmtid="{D5CDD505-2E9C-101B-9397-08002B2CF9AE}" pid="5" name="Gendoc_GendocTemplateType">
    <vt:lpwstr>COM_PRESS</vt:lpwstr>
  </property>
  <property fmtid="{D5CDD505-2E9C-101B-9397-08002B2CF9AE}" pid="6" name="Gendoc_Lang">
    <vt:lpwstr>da-DK</vt:lpwstr>
  </property>
  <property fmtid="{D5CDD505-2E9C-101B-9397-08002B2CF9AE}" pid="7" name="Gendoc_LangCode">
    <vt:lpwstr>da</vt:lpwstr>
  </property>
  <property fmtid="{D5CDD505-2E9C-101B-9397-08002B2CF9AE}" pid="8" name="Langue">
    <vt:lpwstr>DA</vt:lpwstr>
  </property>
  <property fmtid="{D5CDD505-2E9C-101B-9397-08002B2CF9AE}" pid="9" name="Gendoc_Juridiction">
    <vt:lpwstr>C</vt:lpwstr>
  </property>
  <property fmtid="{D5CDD505-2E9C-101B-9397-08002B2CF9AE}" pid="10" name="Juridiction">
    <vt:lpwstr>C</vt:lpwstr>
  </property>
  <property fmtid="{D5CDD505-2E9C-101B-9397-08002B2CF9AE}" pid="11" name="Gendoc_CaseNumber">
    <vt:lpwstr>0163</vt:lpwstr>
  </property>
  <property fmtid="{D5CDD505-2E9C-101B-9397-08002B2CF9AE}" pid="12" name="NumeroOrdre">
    <vt:lpwstr>0163</vt:lpwstr>
  </property>
  <property fmtid="{D5CDD505-2E9C-101B-9397-08002B2CF9AE}" pid="13" name="Gendoc_CaseYear">
    <vt:i4>2024</vt:i4>
  </property>
  <property fmtid="{D5CDD505-2E9C-101B-9397-08002B2CF9AE}" pid="14" name="Annee">
    <vt:lpwstr>2024</vt:lpwstr>
  </property>
  <property fmtid="{D5CDD505-2E9C-101B-9397-08002B2CF9AE}" pid="15" name="Gendoc_CaseNature">
    <vt:lpwstr>RP</vt:lpwstr>
  </property>
  <property fmtid="{D5CDD505-2E9C-101B-9397-08002B2CF9AE}" pid="16" name="NatureAff">
    <vt:lpwstr>RP</vt:lpwstr>
  </property>
  <property fmtid="{D5CDD505-2E9C-101B-9397-08002B2CF9AE}" pid="17" name="Gendoc_NumberSuite">
    <vt:lpwstr>0001</vt:lpwstr>
  </property>
  <property fmtid="{D5CDD505-2E9C-101B-9397-08002B2CF9AE}" pid="18" name="NumSuite">
    <vt:lpwstr>0001</vt:lpwstr>
  </property>
  <property fmtid="{D5CDD505-2E9C-101B-9397-08002B2CF9AE}" pid="19" name="Gendoc_ProcedureType">
    <vt:lpwstr>P</vt:lpwstr>
  </property>
  <property fmtid="{D5CDD505-2E9C-101B-9397-08002B2CF9AE}" pid="20" name="TypeProc">
    <vt:lpwstr>P</vt:lpwstr>
  </property>
  <property fmtid="{D5CDD505-2E9C-101B-9397-08002B2CF9AE}" pid="21" name="Gendoc_ProcedureNumber">
    <vt:i4>1</vt:i4>
  </property>
  <property fmtid="{D5CDD505-2E9C-101B-9397-08002B2CF9AE}" pid="22" name="NumProc">
    <vt:lpwstr>1</vt:lpwstr>
  </property>
  <property fmtid="{D5CDD505-2E9C-101B-9397-08002B2CF9AE}" pid="23" name="Gendoc_EditionType">
    <vt:lpwstr>Final</vt:lpwstr>
  </property>
  <property fmtid="{D5CDD505-2E9C-101B-9397-08002B2CF9AE}" pid="24" name="Gendoc_LastVerificationDate">
    <vt:lpwstr/>
  </property>
  <property fmtid="{D5CDD505-2E9C-101B-9397-08002B2CF9AE}" pid="25" name="Gendoc_LastVerificationStatus">
    <vt:lpwstr/>
  </property>
  <property fmtid="{D5CDD505-2E9C-101B-9397-08002B2CF9AE}" pid="26" name="Canevas3_Vademecum">
    <vt:i4>0</vt:i4>
  </property>
  <property fmtid="{D5CDD505-2E9C-101B-9397-08002B2CF9AE}" pid="27" name="ReadyToPublish">
    <vt:lpwstr/>
  </property>
  <property fmtid="{D5CDD505-2E9C-101B-9397-08002B2CF9AE}" pid="28" name="EP_Version">
    <vt:i4>0</vt:i4>
  </property>
  <property fmtid="{D5CDD505-2E9C-101B-9397-08002B2CF9AE}" pid="29" name="EP_Mode">
    <vt:i4>1</vt:i4>
  </property>
  <property fmtid="{D5CDD505-2E9C-101B-9397-08002B2CF9AE}" pid="30" name="DocumentIdentifier">
    <vt:lpwstr>66d8aad2ecd34e278a30509c8bf5e9cc</vt:lpwstr>
  </property>
  <property fmtid="{D5CDD505-2E9C-101B-9397-08002B2CF9AE}" pid="31" name="TypeDoc">
    <vt:lpwstr>ARR_C</vt:lpwstr>
  </property>
  <property fmtid="{D5CDD505-2E9C-101B-9397-08002B2CF9AE}" pid="32" name="Gendoc_Vademecum">
    <vt:i4>2016</vt:i4>
  </property>
  <property fmtid="{D5CDD505-2E9C-101B-9397-08002B2CF9AE}" pid="33" name="IsFlattened">
    <vt:bool>true</vt:bool>
  </property>
  <property fmtid="{D5CDD505-2E9C-101B-9397-08002B2CF9AE}" pid="34" name="WithoutAuthorBlock">
    <vt:lpwstr>TRUE</vt:lpwstr>
  </property>
  <property fmtid="{D5CDD505-2E9C-101B-9397-08002B2CF9AE}" pid="35" name="WithoutAuthorBlockFlatP">
    <vt:lpwstr>TRUE</vt:lpwstr>
  </property>
  <property fmtid="{D5CDD505-2E9C-101B-9397-08002B2CF9AE}" pid="36" name="Generation_In_Progress">
    <vt:lpwstr>false</vt:lpwstr>
  </property>
  <property fmtid="{D5CDD505-2E9C-101B-9397-08002B2CF9AE}" pid="37" name="CreateCustomParts">
    <vt:bool>false</vt:bool>
  </property>
  <property fmtid="{D5CDD505-2E9C-101B-9397-08002B2CF9AE}" pid="38" name="GeneratedGenDocVersion">
    <vt:lpwstr>5SWlgVAKsXY0XR+zN8+/VMUif2bU2c66w31tQG04mCg4r4yHEOFO5KM+fbc49sUbQ6SZS5vbIYF5v5xzaK2AQSC0Kv6JDxphoYK5Xa2qB5PvnXsdOmBby9HyKxXvwc/g</vt:lpwstr>
  </property>
</Properties>
</file>