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62008" w14:textId="77777777" w:rsidR="007A17E4" w:rsidRPr="00647EC9" w:rsidRDefault="007A17E4">
      <w:pPr>
        <w:pStyle w:val="BodyText"/>
        <w:rPr>
          <w:szCs w:val="18"/>
        </w:rPr>
      </w:pPr>
    </w:p>
    <w:p w14:paraId="461C9ABC" w14:textId="77777777" w:rsidR="00751E0E" w:rsidRPr="00711324" w:rsidRDefault="00751E0E" w:rsidP="00751E0E">
      <w:pPr>
        <w:pStyle w:val="102IDC"/>
        <w:rPr>
          <w:bCs/>
          <w:szCs w:val="28"/>
        </w:rPr>
      </w:pPr>
      <w:r w:rsidRPr="00502510">
        <w:rPr>
          <w:b/>
          <w:szCs w:val="28"/>
        </w:rPr>
        <w:t xml:space="preserve">Presude </w:t>
      </w:r>
      <w:r w:rsidRPr="00711324">
        <w:rPr>
          <w:bCs/>
          <w:szCs w:val="28"/>
        </w:rPr>
        <w:t>Suda</w:t>
      </w:r>
    </w:p>
    <w:p w14:paraId="6411CBA7" w14:textId="6179F84F" w:rsidR="00254562" w:rsidRPr="00647EC9" w:rsidRDefault="00751E0E" w:rsidP="00751E0E">
      <w:pPr>
        <w:pStyle w:val="102IDC"/>
        <w:rPr>
          <w:sz w:val="18"/>
          <w:szCs w:val="18"/>
        </w:rPr>
      </w:pPr>
      <w:r w:rsidRPr="00711324">
        <w:rPr>
          <w:bCs/>
          <w:szCs w:val="28"/>
        </w:rPr>
        <w:t>u predmetima C-163/24 | Statul Român – Ministerul Finanţelor Publice i Curtea de Apel Bucureşti i C-293/24 | Ferreira da Silva e Brito i dr.</w:t>
      </w:r>
    </w:p>
    <w:p w14:paraId="57649E33" w14:textId="77777777" w:rsidR="007A17E4" w:rsidRPr="00647EC9" w:rsidRDefault="007A17E4">
      <w:pPr>
        <w:pStyle w:val="102ID"/>
        <w:rPr>
          <w:sz w:val="18"/>
          <w:szCs w:val="18"/>
        </w:rPr>
      </w:pPr>
    </w:p>
    <w:p w14:paraId="650FF2D4" w14:textId="714F0CFB" w:rsidR="00467993" w:rsidRPr="00467993" w:rsidRDefault="00467993" w:rsidP="00467993">
      <w:pPr>
        <w:pStyle w:val="103DateTitreC"/>
        <w:rPr>
          <w:szCs w:val="22"/>
        </w:rPr>
      </w:pPr>
      <w:r w:rsidRPr="00467993">
        <w:rPr>
          <w:szCs w:val="22"/>
        </w:rPr>
        <w:t xml:space="preserve">Priopćenje za medije br. </w:t>
      </w:r>
      <w:r w:rsidR="00725920">
        <w:rPr>
          <w:szCs w:val="22"/>
        </w:rPr>
        <w:t>XXX/26</w:t>
      </w:r>
    </w:p>
    <w:p w14:paraId="093B4802" w14:textId="77777777" w:rsidR="00725920" w:rsidRPr="00647EC9" w:rsidRDefault="00725920" w:rsidP="005A39DB">
      <w:pPr>
        <w:pStyle w:val="103DateC"/>
      </w:pPr>
      <w:r w:rsidRPr="00647EC9">
        <w:t xml:space="preserve">U Luxembourgu </w:t>
      </w:r>
      <w:sdt>
        <w:sdtPr>
          <w:alias w:val="Date clôture"/>
          <w:tag w:val="DateTC_3sCkQBSRy0+QM76sNrBIkQ==|d MMMM yyyy|01-01-01"/>
          <w:id w:val="4"/>
        </w:sdtPr>
        <w:sdtEndPr/>
        <w:sdtContent>
          <w:bookmarkStart w:id="0" w:name="_GoBack"/>
          <w:r w:rsidRPr="00647EC9">
            <w:t>8. rujna 2026.</w:t>
          </w:r>
          <w:bookmarkEnd w:id="0"/>
        </w:sdtContent>
      </w:sdt>
    </w:p>
    <w:p w14:paraId="393B10F3" w14:textId="77777777" w:rsidR="007A17E4" w:rsidRPr="00647EC9" w:rsidRDefault="007A17E4">
      <w:pPr>
        <w:pStyle w:val="Footer"/>
        <w:rPr>
          <w:rFonts w:ascii="Open Sans" w:hAnsi="Open Sans" w:cs="Open Sans"/>
          <w:sz w:val="18"/>
          <w:szCs w:val="18"/>
        </w:rPr>
      </w:pPr>
    </w:p>
    <w:p w14:paraId="7E6EB1EE" w14:textId="17E9C92B" w:rsidR="00B34835" w:rsidRPr="00502510" w:rsidRDefault="00751E0E" w:rsidP="00B34835">
      <w:pPr>
        <w:pStyle w:val="005Titre"/>
        <w:rPr>
          <w:szCs w:val="26"/>
        </w:rPr>
      </w:pPr>
      <w:r w:rsidRPr="00502510">
        <w:rPr>
          <w:szCs w:val="26"/>
        </w:rPr>
        <w:t xml:space="preserve">Odgovornost za povredu prava Unije: Sud pojašnjava </w:t>
      </w:r>
      <w:r w:rsidR="00897269">
        <w:rPr>
          <w:szCs w:val="26"/>
        </w:rPr>
        <w:t>pretpostavke</w:t>
      </w:r>
      <w:r w:rsidRPr="00502510">
        <w:rPr>
          <w:szCs w:val="26"/>
        </w:rPr>
        <w:t xml:space="preserve"> pod kojima pojedinac može dobiti naknadu štete </w:t>
      </w:r>
      <w:r w:rsidR="00897269">
        <w:rPr>
          <w:szCs w:val="26"/>
        </w:rPr>
        <w:t xml:space="preserve">slijedom </w:t>
      </w:r>
      <w:r w:rsidRPr="00502510">
        <w:rPr>
          <w:szCs w:val="26"/>
        </w:rPr>
        <w:t>sudske odluke protivne pravu Unije</w:t>
      </w:r>
    </w:p>
    <w:p w14:paraId="77ACF7F6" w14:textId="7B19F7B4" w:rsidR="00B34835" w:rsidRPr="00502510" w:rsidRDefault="004A296F" w:rsidP="00B34835">
      <w:pPr>
        <w:pStyle w:val="006SousTitre"/>
        <w:rPr>
          <w:szCs w:val="20"/>
        </w:rPr>
      </w:pPr>
      <w:r>
        <w:rPr>
          <w:szCs w:val="20"/>
        </w:rPr>
        <w:t>On, m</w:t>
      </w:r>
      <w:r w:rsidR="00751E0E" w:rsidRPr="00502510">
        <w:rPr>
          <w:szCs w:val="20"/>
        </w:rPr>
        <w:t>eđu ostalim, potvrđuje da</w:t>
      </w:r>
      <w:r w:rsidR="00A649BE">
        <w:rPr>
          <w:szCs w:val="20"/>
        </w:rPr>
        <w:t xml:space="preserve"> se</w:t>
      </w:r>
      <w:r w:rsidR="00751E0E" w:rsidRPr="00502510">
        <w:rPr>
          <w:szCs w:val="20"/>
        </w:rPr>
        <w:t xml:space="preserve"> povrijeđen</w:t>
      </w:r>
      <w:r w:rsidR="00A649BE">
        <w:rPr>
          <w:szCs w:val="20"/>
        </w:rPr>
        <w:t>im</w:t>
      </w:r>
      <w:r w:rsidR="00751E0E" w:rsidRPr="00502510">
        <w:rPr>
          <w:szCs w:val="20"/>
        </w:rPr>
        <w:t xml:space="preserve"> pravn</w:t>
      </w:r>
      <w:r w:rsidR="00A649BE">
        <w:rPr>
          <w:szCs w:val="20"/>
        </w:rPr>
        <w:t>im</w:t>
      </w:r>
      <w:r w:rsidR="00751E0E" w:rsidRPr="00502510">
        <w:rPr>
          <w:szCs w:val="20"/>
        </w:rPr>
        <w:t xml:space="preserve"> pravilo</w:t>
      </w:r>
      <w:r w:rsidR="00A649BE">
        <w:rPr>
          <w:szCs w:val="20"/>
        </w:rPr>
        <w:t>m</w:t>
      </w:r>
      <w:r w:rsidR="00751E0E" w:rsidRPr="00502510">
        <w:rPr>
          <w:szCs w:val="20"/>
        </w:rPr>
        <w:t xml:space="preserve"> pojedincima</w:t>
      </w:r>
      <w:r w:rsidR="00A649BE">
        <w:rPr>
          <w:szCs w:val="20"/>
        </w:rPr>
        <w:t xml:space="preserve"> moraju</w:t>
      </w:r>
      <w:r w:rsidR="00751E0E" w:rsidRPr="00502510">
        <w:rPr>
          <w:szCs w:val="20"/>
        </w:rPr>
        <w:t xml:space="preserve"> </w:t>
      </w:r>
      <w:r w:rsidR="00A6043F" w:rsidRPr="00502510">
        <w:rPr>
          <w:szCs w:val="20"/>
        </w:rPr>
        <w:t>dodjelj</w:t>
      </w:r>
      <w:r w:rsidR="00A6043F">
        <w:rPr>
          <w:szCs w:val="20"/>
        </w:rPr>
        <w:t>ivati</w:t>
      </w:r>
      <w:r w:rsidR="00751E0E" w:rsidRPr="00502510">
        <w:rPr>
          <w:szCs w:val="20"/>
        </w:rPr>
        <w:t xml:space="preserve"> prava </w:t>
      </w:r>
      <w:r w:rsidR="00A649BE">
        <w:rPr>
          <w:szCs w:val="20"/>
        </w:rPr>
        <w:t>te</w:t>
      </w:r>
      <w:r w:rsidR="00751E0E" w:rsidRPr="00502510">
        <w:rPr>
          <w:szCs w:val="20"/>
        </w:rPr>
        <w:t xml:space="preserve"> da </w:t>
      </w:r>
      <w:r w:rsidR="002A3D81">
        <w:rPr>
          <w:szCs w:val="20"/>
        </w:rPr>
        <w:t>pogreška</w:t>
      </w:r>
      <w:r w:rsidR="00751E0E" w:rsidRPr="00502510">
        <w:rPr>
          <w:szCs w:val="20"/>
        </w:rPr>
        <w:t xml:space="preserve"> nacionaln</w:t>
      </w:r>
      <w:r w:rsidR="002A3D81">
        <w:rPr>
          <w:szCs w:val="20"/>
        </w:rPr>
        <w:t>og</w:t>
      </w:r>
      <w:r w:rsidR="00751E0E" w:rsidRPr="00502510">
        <w:rPr>
          <w:szCs w:val="20"/>
        </w:rPr>
        <w:t xml:space="preserve"> sud</w:t>
      </w:r>
      <w:r w:rsidR="002A3D81">
        <w:rPr>
          <w:szCs w:val="20"/>
        </w:rPr>
        <w:t>a</w:t>
      </w:r>
      <w:r w:rsidR="00A649BE">
        <w:rPr>
          <w:szCs w:val="20"/>
        </w:rPr>
        <w:t xml:space="preserve"> </w:t>
      </w:r>
      <w:r w:rsidR="002A3D81">
        <w:rPr>
          <w:szCs w:val="20"/>
        </w:rPr>
        <w:t xml:space="preserve">zbog </w:t>
      </w:r>
      <w:r w:rsidR="008E3D6B">
        <w:rPr>
          <w:szCs w:val="20"/>
        </w:rPr>
        <w:t>ne</w:t>
      </w:r>
      <w:r w:rsidR="002A3D81">
        <w:rPr>
          <w:szCs w:val="20"/>
        </w:rPr>
        <w:t>upućivanja Sudu</w:t>
      </w:r>
      <w:r w:rsidR="00751E0E" w:rsidRPr="00502510">
        <w:rPr>
          <w:szCs w:val="20"/>
        </w:rPr>
        <w:t xml:space="preserve"> pitanj</w:t>
      </w:r>
      <w:r w:rsidR="002A3D81">
        <w:rPr>
          <w:szCs w:val="20"/>
        </w:rPr>
        <w:t>a</w:t>
      </w:r>
      <w:r w:rsidR="00751E0E" w:rsidRPr="00502510">
        <w:rPr>
          <w:szCs w:val="20"/>
        </w:rPr>
        <w:t xml:space="preserve"> o tumačenju </w:t>
      </w:r>
      <w:r w:rsidR="000B5DAB">
        <w:rPr>
          <w:szCs w:val="20"/>
        </w:rPr>
        <w:t>tog pravila</w:t>
      </w:r>
      <w:r w:rsidR="00751E0E" w:rsidRPr="00502510">
        <w:rPr>
          <w:szCs w:val="20"/>
        </w:rPr>
        <w:t xml:space="preserve"> može pridonijeti utvrđivanju odgovornosti</w:t>
      </w:r>
    </w:p>
    <w:p w14:paraId="3D78978C" w14:textId="0DF824D9" w:rsidR="007A17E4" w:rsidRPr="00647EC9" w:rsidRDefault="00647EC9">
      <w:pPr>
        <w:pStyle w:val="110Rappel"/>
        <w:rPr>
          <w:bCs/>
          <w:szCs w:val="18"/>
        </w:rPr>
      </w:pPr>
      <w:r w:rsidRPr="00647EC9">
        <w:rPr>
          <w:bCs/>
          <w:szCs w:val="18"/>
        </w:rPr>
        <w:t xml:space="preserve">U dvjema danas donesenim presudama Sud </w:t>
      </w:r>
      <w:r w:rsidR="00D91437">
        <w:rPr>
          <w:bCs/>
          <w:szCs w:val="18"/>
        </w:rPr>
        <w:t>razrađuje</w:t>
      </w:r>
      <w:r w:rsidRPr="00647EC9">
        <w:rPr>
          <w:bCs/>
          <w:szCs w:val="18"/>
        </w:rPr>
        <w:t xml:space="preserve"> svoju sudsku praksu u području odgovornosti država članica za povrede prava Unije koje je počinio nacionalni sud koji odlučuje u posljednjem stupnju</w:t>
      </w:r>
      <w:r w:rsidR="00010EE7">
        <w:rPr>
          <w:bCs/>
          <w:szCs w:val="18"/>
        </w:rPr>
        <w:t>,</w:t>
      </w:r>
      <w:r w:rsidRPr="00647EC9">
        <w:rPr>
          <w:bCs/>
          <w:szCs w:val="18"/>
        </w:rPr>
        <w:t xml:space="preserve"> pojašnjavajući ulogu koju ima povreda obveze upućivanja zahtjeva za prethodnu odluku. Tako se u rumunjskom predmetu navodi da takva odgovornost može nastati samo ako je uz povred</w:t>
      </w:r>
      <w:r w:rsidR="00E90006">
        <w:rPr>
          <w:bCs/>
          <w:szCs w:val="18"/>
        </w:rPr>
        <w:t>u</w:t>
      </w:r>
      <w:r w:rsidRPr="00647EC9">
        <w:rPr>
          <w:bCs/>
          <w:szCs w:val="18"/>
        </w:rPr>
        <w:t xml:space="preserve"> obveze upućivanja zahtjeva za prethodnu odluku povrijeđeno </w:t>
      </w:r>
      <w:r w:rsidR="00010EE7">
        <w:rPr>
          <w:bCs/>
          <w:szCs w:val="18"/>
        </w:rPr>
        <w:t xml:space="preserve">i </w:t>
      </w:r>
      <w:r w:rsidRPr="00647EC9">
        <w:rPr>
          <w:bCs/>
          <w:szCs w:val="18"/>
        </w:rPr>
        <w:t xml:space="preserve">drugo </w:t>
      </w:r>
      <w:r w:rsidR="00E90006">
        <w:rPr>
          <w:bCs/>
          <w:szCs w:val="18"/>
        </w:rPr>
        <w:t xml:space="preserve">pravno </w:t>
      </w:r>
      <w:r w:rsidRPr="00647EC9">
        <w:rPr>
          <w:bCs/>
          <w:szCs w:val="18"/>
        </w:rPr>
        <w:t xml:space="preserve">pravilo Unije kojim se dodjeljuju prava pojedincima. Međutim, to ovdje nije bio slučaj, s obzirom na to da se predmetnim pravilima o točnom utvrđivanju poljoprivrednih površina nastoji postići cilj </w:t>
      </w:r>
      <w:r w:rsidR="00E90006">
        <w:rPr>
          <w:bCs/>
          <w:szCs w:val="18"/>
        </w:rPr>
        <w:t>u</w:t>
      </w:r>
      <w:r w:rsidRPr="00647EC9">
        <w:rPr>
          <w:bCs/>
          <w:szCs w:val="18"/>
        </w:rPr>
        <w:t xml:space="preserve"> opće</w:t>
      </w:r>
      <w:r w:rsidR="00E90006">
        <w:rPr>
          <w:bCs/>
          <w:szCs w:val="18"/>
        </w:rPr>
        <w:t>m</w:t>
      </w:r>
      <w:r w:rsidRPr="00647EC9">
        <w:rPr>
          <w:bCs/>
          <w:szCs w:val="18"/>
        </w:rPr>
        <w:t xml:space="preserve"> javno</w:t>
      </w:r>
      <w:r w:rsidR="00E90006">
        <w:rPr>
          <w:bCs/>
          <w:szCs w:val="18"/>
        </w:rPr>
        <w:t>m</w:t>
      </w:r>
      <w:r w:rsidRPr="00647EC9">
        <w:rPr>
          <w:bCs/>
          <w:szCs w:val="18"/>
        </w:rPr>
        <w:t xml:space="preserve"> interes</w:t>
      </w:r>
      <w:r w:rsidR="00E90006">
        <w:rPr>
          <w:bCs/>
          <w:szCs w:val="18"/>
        </w:rPr>
        <w:t>u</w:t>
      </w:r>
      <w:r w:rsidRPr="00647EC9">
        <w:rPr>
          <w:bCs/>
          <w:szCs w:val="18"/>
        </w:rPr>
        <w:t xml:space="preserve">, </w:t>
      </w:r>
      <w:r w:rsidR="00320212">
        <w:rPr>
          <w:bCs/>
          <w:szCs w:val="18"/>
        </w:rPr>
        <w:t>odnosno</w:t>
      </w:r>
      <w:r w:rsidRPr="00647EC9">
        <w:rPr>
          <w:bCs/>
          <w:szCs w:val="18"/>
        </w:rPr>
        <w:t xml:space="preserve"> zaštita financijskih interesa Unije. U portugalskom predmetu pravila o kojima je riječ, pogrešno primijenjena u presudi </w:t>
      </w:r>
      <w:r w:rsidR="00E90006">
        <w:rPr>
          <w:bCs/>
          <w:szCs w:val="18"/>
        </w:rPr>
        <w:t>V</w:t>
      </w:r>
      <w:r w:rsidRPr="00647EC9">
        <w:rPr>
          <w:bCs/>
          <w:szCs w:val="18"/>
        </w:rPr>
        <w:t xml:space="preserve">rhovnog suda iz 2009., imala </w:t>
      </w:r>
      <w:r w:rsidR="00A9126F">
        <w:rPr>
          <w:bCs/>
          <w:szCs w:val="18"/>
        </w:rPr>
        <w:t xml:space="preserve">su </w:t>
      </w:r>
      <w:r w:rsidRPr="00647EC9">
        <w:rPr>
          <w:bCs/>
          <w:szCs w:val="18"/>
        </w:rPr>
        <w:t>takav cilj jer štite zaposlenike u slučaju prijenosa poduzeća. Sud navodi da je na sudu koji je uputio zahtjev da provjeri čini li ta presuda dovoljno ozbiljnu povredu prava Unije, što je jed</w:t>
      </w:r>
      <w:r w:rsidR="00E90006">
        <w:rPr>
          <w:bCs/>
          <w:szCs w:val="18"/>
        </w:rPr>
        <w:t>na</w:t>
      </w:r>
      <w:r w:rsidRPr="00647EC9">
        <w:rPr>
          <w:bCs/>
          <w:szCs w:val="18"/>
        </w:rPr>
        <w:t xml:space="preserve"> od </w:t>
      </w:r>
      <w:r w:rsidR="00E90006">
        <w:rPr>
          <w:bCs/>
          <w:szCs w:val="18"/>
        </w:rPr>
        <w:t>pretpostavki</w:t>
      </w:r>
      <w:r w:rsidRPr="00647EC9">
        <w:rPr>
          <w:bCs/>
          <w:szCs w:val="18"/>
        </w:rPr>
        <w:t xml:space="preserve"> za </w:t>
      </w:r>
      <w:r w:rsidR="00E90006">
        <w:rPr>
          <w:bCs/>
          <w:szCs w:val="18"/>
        </w:rPr>
        <w:t>nastanak</w:t>
      </w:r>
      <w:r w:rsidRPr="00647EC9">
        <w:rPr>
          <w:bCs/>
          <w:szCs w:val="18"/>
        </w:rPr>
        <w:t xml:space="preserve"> odgovornosti države članice za povredu navedenog prava od strane jednog od njezinih sudova koji odlučuje u posljednjem stupnju. Međutim, </w:t>
      </w:r>
      <w:r w:rsidR="001D0896">
        <w:rPr>
          <w:bCs/>
          <w:szCs w:val="18"/>
        </w:rPr>
        <w:t xml:space="preserve">Sud </w:t>
      </w:r>
      <w:r w:rsidRPr="00647EC9">
        <w:rPr>
          <w:bCs/>
          <w:szCs w:val="18"/>
        </w:rPr>
        <w:t xml:space="preserve">ističe određene elemente koje </w:t>
      </w:r>
      <w:r w:rsidR="007E5703">
        <w:rPr>
          <w:bCs/>
          <w:szCs w:val="18"/>
        </w:rPr>
        <w:t>smatra</w:t>
      </w:r>
      <w:r w:rsidRPr="00647EC9">
        <w:rPr>
          <w:bCs/>
          <w:szCs w:val="18"/>
        </w:rPr>
        <w:t xml:space="preserve"> odlučujuć</w:t>
      </w:r>
      <w:r w:rsidR="007E5703">
        <w:rPr>
          <w:bCs/>
          <w:szCs w:val="18"/>
        </w:rPr>
        <w:t>ima</w:t>
      </w:r>
      <w:r w:rsidRPr="00647EC9">
        <w:rPr>
          <w:bCs/>
          <w:szCs w:val="18"/>
        </w:rPr>
        <w:t xml:space="preserve"> za to </w:t>
      </w:r>
      <w:r w:rsidR="001D0896" w:rsidRPr="00647EC9">
        <w:rPr>
          <w:bCs/>
          <w:szCs w:val="18"/>
        </w:rPr>
        <w:t>ispitivanje,</w:t>
      </w:r>
      <w:r w:rsidR="001D0896">
        <w:rPr>
          <w:bCs/>
          <w:szCs w:val="18"/>
        </w:rPr>
        <w:t xml:space="preserve"> upućuju</w:t>
      </w:r>
      <w:r w:rsidR="001D0896" w:rsidRPr="00647EC9">
        <w:rPr>
          <w:bCs/>
          <w:szCs w:val="18"/>
        </w:rPr>
        <w:t>ći</w:t>
      </w:r>
      <w:r w:rsidRPr="00647EC9">
        <w:rPr>
          <w:bCs/>
          <w:szCs w:val="18"/>
        </w:rPr>
        <w:t xml:space="preserve"> na to da je ta </w:t>
      </w:r>
      <w:r w:rsidR="00E90006">
        <w:rPr>
          <w:bCs/>
          <w:szCs w:val="18"/>
        </w:rPr>
        <w:t>pretpostavka</w:t>
      </w:r>
      <w:r w:rsidR="001D0896">
        <w:rPr>
          <w:bCs/>
          <w:szCs w:val="18"/>
        </w:rPr>
        <w:t xml:space="preserve"> doista</w:t>
      </w:r>
      <w:r w:rsidRPr="00647EC9">
        <w:rPr>
          <w:bCs/>
          <w:szCs w:val="18"/>
        </w:rPr>
        <w:t xml:space="preserve"> ispunjen</w:t>
      </w:r>
      <w:r w:rsidR="00E90006">
        <w:rPr>
          <w:bCs/>
          <w:szCs w:val="18"/>
        </w:rPr>
        <w:t>a</w:t>
      </w:r>
      <w:r w:rsidRPr="00647EC9">
        <w:rPr>
          <w:bCs/>
          <w:szCs w:val="18"/>
        </w:rPr>
        <w:t xml:space="preserve"> u glavnom predmetu</w:t>
      </w:r>
      <w:r w:rsidR="00282196" w:rsidRPr="00647EC9">
        <w:rPr>
          <w:bCs/>
          <w:szCs w:val="18"/>
        </w:rPr>
        <w:t>.</w:t>
      </w:r>
    </w:p>
    <w:p w14:paraId="7A9D33C4" w14:textId="4E3C65F9" w:rsidR="00B34835" w:rsidRPr="00647EC9" w:rsidRDefault="00647EC9" w:rsidP="00B34835">
      <w:pPr>
        <w:pStyle w:val="008CorpsDuTexte"/>
        <w:rPr>
          <w:szCs w:val="18"/>
        </w:rPr>
      </w:pPr>
      <w:r w:rsidRPr="00647EC9">
        <w:rPr>
          <w:b/>
          <w:bCs/>
          <w:szCs w:val="18"/>
        </w:rPr>
        <w:t xml:space="preserve">U predmetu C-163/24 </w:t>
      </w:r>
      <w:r w:rsidRPr="00647EC9">
        <w:rPr>
          <w:szCs w:val="18"/>
        </w:rPr>
        <w:t>rumunjski poljoprivrednik zatražio je 2007. poljoprivrednu potporu za površinu od 264,71 ha. Nakon kontrole, nadležno rumunjsko tijelo ocijenilo je da je stvarno prihvatljiva površina iznosila samo 180,62 ha te je odbilo njegov zahtjev. Tužbe podnesene protiv te odluke odbijene su</w:t>
      </w:r>
      <w:r w:rsidR="009365FB">
        <w:rPr>
          <w:szCs w:val="18"/>
        </w:rPr>
        <w:t xml:space="preserve">, </w:t>
      </w:r>
      <w:r w:rsidR="00792939">
        <w:rPr>
          <w:szCs w:val="18"/>
        </w:rPr>
        <w:t>pri čemu je</w:t>
      </w:r>
      <w:r w:rsidRPr="00647EC9">
        <w:rPr>
          <w:szCs w:val="18"/>
        </w:rPr>
        <w:t xml:space="preserve"> Žalbeni sud u Bukureštu 2012. odbio pokrenuti postupak pred Sudom radi tumačenja Uredbe o integriranom administrativnom i kontrolnom sustavu </w:t>
      </w:r>
      <w:r w:rsidR="009930E3">
        <w:rPr>
          <w:szCs w:val="18"/>
        </w:rPr>
        <w:t xml:space="preserve">za </w:t>
      </w:r>
      <w:r w:rsidRPr="00647EC9">
        <w:rPr>
          <w:szCs w:val="18"/>
        </w:rPr>
        <w:t>poljoprivredn</w:t>
      </w:r>
      <w:r w:rsidR="009930E3">
        <w:rPr>
          <w:szCs w:val="18"/>
        </w:rPr>
        <w:t>e</w:t>
      </w:r>
      <w:r w:rsidRPr="00647EC9">
        <w:rPr>
          <w:szCs w:val="18"/>
        </w:rPr>
        <w:t xml:space="preserve"> potpor</w:t>
      </w:r>
      <w:r w:rsidR="009930E3">
        <w:rPr>
          <w:szCs w:val="18"/>
        </w:rPr>
        <w:t>e</w:t>
      </w:r>
      <w:r>
        <w:rPr>
          <w:rStyle w:val="EndnoteReference"/>
          <w:szCs w:val="18"/>
        </w:rPr>
        <w:endnoteReference w:id="1"/>
      </w:r>
      <w:r w:rsidRPr="00647EC9">
        <w:rPr>
          <w:szCs w:val="18"/>
        </w:rPr>
        <w:t xml:space="preserve">. Poljoprivrednik je zatim podnio tužbu za utvrđivanje odgovornosti protiv Rumunjske Države </w:t>
      </w:r>
      <w:r w:rsidR="00404179">
        <w:rPr>
          <w:szCs w:val="18"/>
        </w:rPr>
        <w:t>zbog</w:t>
      </w:r>
      <w:r w:rsidR="00404179" w:rsidRPr="00647EC9">
        <w:rPr>
          <w:szCs w:val="18"/>
        </w:rPr>
        <w:t xml:space="preserve"> </w:t>
      </w:r>
      <w:r w:rsidRPr="00647EC9">
        <w:rPr>
          <w:szCs w:val="18"/>
        </w:rPr>
        <w:t>povred</w:t>
      </w:r>
      <w:r w:rsidR="00404179">
        <w:rPr>
          <w:szCs w:val="18"/>
        </w:rPr>
        <w:t>e</w:t>
      </w:r>
      <w:r w:rsidRPr="00647EC9">
        <w:rPr>
          <w:szCs w:val="18"/>
        </w:rPr>
        <w:t xml:space="preserve"> prava Unije. Odlučujući povodom žalbe</w:t>
      </w:r>
      <w:r w:rsidR="00E96DAD">
        <w:rPr>
          <w:szCs w:val="18"/>
        </w:rPr>
        <w:t>,</w:t>
      </w:r>
      <w:r w:rsidRPr="00647EC9">
        <w:rPr>
          <w:szCs w:val="18"/>
        </w:rPr>
        <w:t xml:space="preserve"> isti je Žalbeni sud u Bukureštu naposljetku uputio pitanje Sudu, </w:t>
      </w:r>
      <w:r w:rsidR="007E5703">
        <w:rPr>
          <w:szCs w:val="18"/>
        </w:rPr>
        <w:t>među ostalim,</w:t>
      </w:r>
      <w:r w:rsidRPr="00647EC9">
        <w:rPr>
          <w:szCs w:val="18"/>
        </w:rPr>
        <w:t xml:space="preserve"> o tome može li </w:t>
      </w:r>
      <w:r w:rsidR="00A02037">
        <w:rPr>
          <w:szCs w:val="18"/>
        </w:rPr>
        <w:t xml:space="preserve">zbog </w:t>
      </w:r>
      <w:r w:rsidRPr="00647EC9">
        <w:rPr>
          <w:szCs w:val="18"/>
        </w:rPr>
        <w:t>prvotno</w:t>
      </w:r>
      <w:r w:rsidR="00A02037">
        <w:rPr>
          <w:szCs w:val="18"/>
        </w:rPr>
        <w:t>g</w:t>
      </w:r>
      <w:r w:rsidRPr="00647EC9">
        <w:rPr>
          <w:szCs w:val="18"/>
        </w:rPr>
        <w:t xml:space="preserve"> odbijanj</w:t>
      </w:r>
      <w:r w:rsidR="00A02037">
        <w:rPr>
          <w:szCs w:val="18"/>
        </w:rPr>
        <w:t>a</w:t>
      </w:r>
      <w:r w:rsidRPr="00647EC9">
        <w:rPr>
          <w:szCs w:val="18"/>
        </w:rPr>
        <w:t xml:space="preserve"> upućivanja zahtjeva za prethodnu odluku </w:t>
      </w:r>
      <w:r w:rsidR="00A02037">
        <w:rPr>
          <w:szCs w:val="18"/>
        </w:rPr>
        <w:t>nastati odgovornost</w:t>
      </w:r>
      <w:r w:rsidRPr="00647EC9">
        <w:rPr>
          <w:szCs w:val="18"/>
        </w:rPr>
        <w:t xml:space="preserve"> Rumunjske Države</w:t>
      </w:r>
      <w:r w:rsidR="00B34835" w:rsidRPr="00647EC9">
        <w:rPr>
          <w:szCs w:val="18"/>
        </w:rPr>
        <w:t>.</w:t>
      </w:r>
    </w:p>
    <w:p w14:paraId="7BD7E919" w14:textId="33683638" w:rsidR="00B34835" w:rsidRPr="00647EC9" w:rsidRDefault="00647EC9" w:rsidP="00B34835">
      <w:pPr>
        <w:pStyle w:val="008CorpsDuTexte"/>
        <w:rPr>
          <w:szCs w:val="18"/>
        </w:rPr>
      </w:pPr>
      <w:r w:rsidRPr="00647EC9">
        <w:rPr>
          <w:b/>
          <w:bCs/>
          <w:szCs w:val="18"/>
        </w:rPr>
        <w:t xml:space="preserve">U predmetu C-293/24 </w:t>
      </w:r>
      <w:r w:rsidRPr="00647EC9">
        <w:rPr>
          <w:szCs w:val="18"/>
        </w:rPr>
        <w:t>zaposlenici portugalskog zračnog prijevoznika Air Atlantis, kojima su otkazani ugovori o radu zbog prestanka poslovanja tog društva 1993., tvrdili su da je, u okviru „prijenosa pogona” u smislu Direktive o prijenosu poduzeća</w:t>
      </w:r>
      <w:r>
        <w:rPr>
          <w:rStyle w:val="EndnoteReference"/>
          <w:szCs w:val="18"/>
        </w:rPr>
        <w:endnoteReference w:id="2"/>
      </w:r>
      <w:r w:rsidRPr="00647EC9">
        <w:rPr>
          <w:szCs w:val="18"/>
        </w:rPr>
        <w:t>, Transportes Aéreos Portugueses preuzeo dio djelatnosti</w:t>
      </w:r>
      <w:r w:rsidR="007770C9">
        <w:rPr>
          <w:szCs w:val="18"/>
        </w:rPr>
        <w:t xml:space="preserve"> društva </w:t>
      </w:r>
      <w:r w:rsidR="007770C9" w:rsidRPr="007770C9">
        <w:rPr>
          <w:szCs w:val="18"/>
        </w:rPr>
        <w:t>Air Atlantis</w:t>
      </w:r>
      <w:r w:rsidRPr="00647EC9">
        <w:rPr>
          <w:szCs w:val="18"/>
        </w:rPr>
        <w:t>. Stoga su tražili da ih se vrati na posao unutar društva</w:t>
      </w:r>
      <w:r w:rsidR="007923A1">
        <w:rPr>
          <w:szCs w:val="18"/>
        </w:rPr>
        <w:t xml:space="preserve"> </w:t>
      </w:r>
      <w:r w:rsidR="007923A1" w:rsidRPr="00647EC9">
        <w:rPr>
          <w:szCs w:val="18"/>
        </w:rPr>
        <w:t>Transportes Aéreos Portugueses</w:t>
      </w:r>
      <w:r w:rsidRPr="00647EC9">
        <w:rPr>
          <w:szCs w:val="18"/>
        </w:rPr>
        <w:t>. Portugalski Vrhovni sud 2009. odbio je uputiti Sudu prethodno pitanje koje se odnosi na pojam „prijenos pogona”</w:t>
      </w:r>
      <w:r w:rsidR="00E96DAD">
        <w:rPr>
          <w:szCs w:val="18"/>
        </w:rPr>
        <w:t>,</w:t>
      </w:r>
      <w:r w:rsidRPr="00647EC9">
        <w:rPr>
          <w:szCs w:val="18"/>
        </w:rPr>
        <w:t xml:space="preserve"> prije nego što je potvrdio odbijanje tužbe zaposlenik</w:t>
      </w:r>
      <w:r w:rsidR="002A24D1">
        <w:rPr>
          <w:szCs w:val="18"/>
        </w:rPr>
        <w:t>â</w:t>
      </w:r>
      <w:r w:rsidRPr="00647EC9">
        <w:rPr>
          <w:szCs w:val="18"/>
        </w:rPr>
        <w:t xml:space="preserve"> od strane nižih portugalskih sudova. Zaposlenici su zatim pred </w:t>
      </w:r>
      <w:r w:rsidR="00856C55">
        <w:rPr>
          <w:szCs w:val="18"/>
        </w:rPr>
        <w:t>prvostupanjskim sudo</w:t>
      </w:r>
      <w:r w:rsidR="00C37A38">
        <w:rPr>
          <w:szCs w:val="18"/>
        </w:rPr>
        <w:t>m</w:t>
      </w:r>
      <w:r w:rsidRPr="00647EC9">
        <w:rPr>
          <w:szCs w:val="18"/>
        </w:rPr>
        <w:t xml:space="preserve"> u Lisabonu pokrenuli postupak za utvrđivanje odgovornosti protiv Portugalske Države </w:t>
      </w:r>
      <w:r w:rsidR="00E96DAD">
        <w:rPr>
          <w:szCs w:val="18"/>
        </w:rPr>
        <w:t>zbog</w:t>
      </w:r>
      <w:r w:rsidR="00E96DAD" w:rsidRPr="00647EC9">
        <w:rPr>
          <w:szCs w:val="18"/>
        </w:rPr>
        <w:t xml:space="preserve"> </w:t>
      </w:r>
      <w:r w:rsidRPr="00647EC9">
        <w:rPr>
          <w:szCs w:val="18"/>
        </w:rPr>
        <w:t>povred</w:t>
      </w:r>
      <w:r w:rsidR="00E96DAD">
        <w:rPr>
          <w:szCs w:val="18"/>
        </w:rPr>
        <w:t>e</w:t>
      </w:r>
      <w:r w:rsidRPr="00647EC9">
        <w:rPr>
          <w:szCs w:val="18"/>
        </w:rPr>
        <w:t xml:space="preserve"> prava Unije koja se može </w:t>
      </w:r>
      <w:r w:rsidRPr="00647EC9">
        <w:rPr>
          <w:szCs w:val="18"/>
        </w:rPr>
        <w:lastRenderedPageBreak/>
        <w:t xml:space="preserve">pripisati Vrhovnom sudu. Budući da je taj prvostupanjski sud uputio Sudu zahtjev za prethodnu odluku, potonji je 2015. presudio, s jedne strane, da je u </w:t>
      </w:r>
      <w:r w:rsidR="007F5BAA">
        <w:rPr>
          <w:szCs w:val="18"/>
        </w:rPr>
        <w:t>predmetno</w:t>
      </w:r>
      <w:r w:rsidRPr="00647EC9">
        <w:rPr>
          <w:szCs w:val="18"/>
        </w:rPr>
        <w:t>m slučaju doista došlo do prijenosa poduzeća i, s druge strane, da je Vrhovni sud trebao uputiti zahtjev za prethodnu odluku</w:t>
      </w:r>
      <w:r>
        <w:rPr>
          <w:rStyle w:val="EndnoteReference"/>
          <w:szCs w:val="18"/>
        </w:rPr>
        <w:endnoteReference w:id="3"/>
      </w:r>
      <w:r w:rsidRPr="00647EC9">
        <w:rPr>
          <w:szCs w:val="18"/>
        </w:rPr>
        <w:t>. Unatoč toj presudi, portugalski sudovi koji odlučuju o meritumu odbili su tužbu zaposlenik</w:t>
      </w:r>
      <w:r w:rsidR="007F5BAA">
        <w:rPr>
          <w:szCs w:val="18"/>
        </w:rPr>
        <w:t>â,</w:t>
      </w:r>
      <w:r w:rsidRPr="00647EC9">
        <w:rPr>
          <w:szCs w:val="18"/>
        </w:rPr>
        <w:t xml:space="preserve"> među ostalim</w:t>
      </w:r>
      <w:r w:rsidR="007F5BAA">
        <w:rPr>
          <w:szCs w:val="18"/>
        </w:rPr>
        <w:t>,</w:t>
      </w:r>
      <w:r w:rsidRPr="00647EC9">
        <w:rPr>
          <w:szCs w:val="18"/>
        </w:rPr>
        <w:t xml:space="preserve"> zato što se Sud u svojoj presudi oslonio na sudsku praksu </w:t>
      </w:r>
      <w:r w:rsidR="00B11F43">
        <w:rPr>
          <w:szCs w:val="18"/>
        </w:rPr>
        <w:t>u pogledu</w:t>
      </w:r>
      <w:r w:rsidRPr="00647EC9">
        <w:rPr>
          <w:szCs w:val="18"/>
        </w:rPr>
        <w:t xml:space="preserve"> poj</w:t>
      </w:r>
      <w:r w:rsidR="00B11F43">
        <w:rPr>
          <w:szCs w:val="18"/>
        </w:rPr>
        <w:t>ma</w:t>
      </w:r>
      <w:r w:rsidRPr="00647EC9">
        <w:rPr>
          <w:szCs w:val="18"/>
        </w:rPr>
        <w:t xml:space="preserve"> „prijenos pogona” </w:t>
      </w:r>
      <w:r w:rsidR="00B11F43">
        <w:rPr>
          <w:szCs w:val="18"/>
        </w:rPr>
        <w:t>koja je donesena nakon</w:t>
      </w:r>
      <w:r w:rsidRPr="00647EC9">
        <w:rPr>
          <w:szCs w:val="18"/>
        </w:rPr>
        <w:t xml:space="preserve"> presude portugalskog Vrhovnog suda iz 2009. Vrhovni sud, kojem je podnesena izvanredna revizija, naposljetku je također pokrenuo postupak pred Sudom</w:t>
      </w:r>
      <w:r w:rsidR="00E96DAD">
        <w:rPr>
          <w:szCs w:val="18"/>
        </w:rPr>
        <w:t>,</w:t>
      </w:r>
      <w:r w:rsidRPr="00647EC9">
        <w:rPr>
          <w:szCs w:val="18"/>
        </w:rPr>
        <w:t xml:space="preserve"> kako bi utvrdio čini li stajalište koje je zauzeo 2009. dovoljno ozbiljnu povredu prava Unije zbog koje može nastati odgovornost Portugalske Države</w:t>
      </w:r>
      <w:r w:rsidR="00B34835" w:rsidRPr="00647EC9">
        <w:rPr>
          <w:szCs w:val="18"/>
        </w:rPr>
        <w:t>.</w:t>
      </w:r>
    </w:p>
    <w:p w14:paraId="251670E0" w14:textId="4EA71ED7" w:rsidR="00B34835" w:rsidRPr="00647EC9" w:rsidRDefault="00647EC9" w:rsidP="00B34835">
      <w:pPr>
        <w:pStyle w:val="008CorpsDuTexte"/>
        <w:rPr>
          <w:szCs w:val="18"/>
        </w:rPr>
      </w:pPr>
      <w:r w:rsidRPr="00647EC9">
        <w:t xml:space="preserve">Kad je riječ o pretpostavkama za nastanak odgovornosti države članice za povredu prava Unije, Sud podsjeća na to da navodno oštećeni pojedinci imaju pravo na naknadu štete ako su ispunjene tri kumulativne pretpostavke: povrijeđeno pravno pravilo Unije </w:t>
      </w:r>
      <w:r w:rsidR="00536110">
        <w:t xml:space="preserve">mora </w:t>
      </w:r>
      <w:r w:rsidR="00B11F43">
        <w:t>ima</w:t>
      </w:r>
      <w:r w:rsidR="00536110">
        <w:t>ti</w:t>
      </w:r>
      <w:r w:rsidRPr="00647EC9">
        <w:t xml:space="preserve"> za cilj dod</w:t>
      </w:r>
      <w:r w:rsidR="004162B9">
        <w:t>jelu</w:t>
      </w:r>
      <w:r w:rsidRPr="00647EC9">
        <w:t xml:space="preserve"> prava pojedincima, povreda tog pravila </w:t>
      </w:r>
      <w:r w:rsidR="00536110">
        <w:t>mora biti</w:t>
      </w:r>
      <w:r w:rsidRPr="00647EC9">
        <w:t xml:space="preserve"> dovoljno ozbiljna i </w:t>
      </w:r>
      <w:r w:rsidR="00536110">
        <w:t xml:space="preserve">mora </w:t>
      </w:r>
      <w:r w:rsidRPr="00647EC9">
        <w:t>postoj</w:t>
      </w:r>
      <w:r w:rsidR="00536110">
        <w:t>ati</w:t>
      </w:r>
      <w:r w:rsidRPr="00647EC9">
        <w:t xml:space="preserve"> izravna uzročna veza između te povrede i pretrpljene štete. To je načelo primjenjivo i kada povreda proizlazi iz odluke suda protiv čijih odluka prema nacionalnom pravu nema pravnog lijeka</w:t>
      </w:r>
      <w:r w:rsidR="00B34835" w:rsidRPr="00647EC9">
        <w:rPr>
          <w:szCs w:val="18"/>
        </w:rPr>
        <w:t>.</w:t>
      </w:r>
    </w:p>
    <w:p w14:paraId="68F5008A" w14:textId="162FA26E" w:rsidR="00B34835" w:rsidRPr="00647EC9" w:rsidRDefault="00647EC9" w:rsidP="00B34835">
      <w:pPr>
        <w:pStyle w:val="008CorpsDuTexte"/>
        <w:rPr>
          <w:szCs w:val="18"/>
        </w:rPr>
      </w:pPr>
      <w:r w:rsidRPr="00647EC9">
        <w:rPr>
          <w:szCs w:val="18"/>
        </w:rPr>
        <w:t xml:space="preserve">U predmetu C-163/24 Sud stoga ističe da, u slučaju u kojem je riječ o povredi obveze upućivanja zahtjeva za prethodnu odluku, odgovornost države članice može nastati </w:t>
      </w:r>
      <w:r w:rsidRPr="00647EC9">
        <w:rPr>
          <w:b/>
          <w:bCs/>
          <w:szCs w:val="18"/>
        </w:rPr>
        <w:t xml:space="preserve">samo ako je uz tu povredu povrijeđeno i drugo </w:t>
      </w:r>
      <w:r w:rsidR="009E3252">
        <w:rPr>
          <w:b/>
          <w:bCs/>
          <w:szCs w:val="18"/>
        </w:rPr>
        <w:t xml:space="preserve">pravno </w:t>
      </w:r>
      <w:r w:rsidRPr="00647EC9">
        <w:rPr>
          <w:b/>
          <w:bCs/>
          <w:szCs w:val="18"/>
        </w:rPr>
        <w:t>pravilo Unije kojim se dodjeljuju prava pojedincima. Naime, povreda te obveze upućivanja zahtjeva za prethodnu odluku sama po sebi ne može biti dovoljna za nastanak odgovornosti države članice</w:t>
      </w:r>
      <w:r w:rsidRPr="00647EC9">
        <w:rPr>
          <w:szCs w:val="18"/>
        </w:rPr>
        <w:t>. Međutim, u ovom slučaju, s jedne strane, predmetna odredba Uredbe o integriranom administrativnom i kontrol</w:t>
      </w:r>
      <w:r w:rsidR="000C196B">
        <w:rPr>
          <w:szCs w:val="18"/>
        </w:rPr>
        <w:t>n</w:t>
      </w:r>
      <w:r w:rsidRPr="00647EC9">
        <w:rPr>
          <w:szCs w:val="18"/>
        </w:rPr>
        <w:t xml:space="preserve">om sustavu </w:t>
      </w:r>
      <w:r w:rsidR="009E3252">
        <w:rPr>
          <w:szCs w:val="18"/>
        </w:rPr>
        <w:t xml:space="preserve">za </w:t>
      </w:r>
      <w:r w:rsidRPr="00647EC9">
        <w:rPr>
          <w:szCs w:val="18"/>
        </w:rPr>
        <w:t>poljoprivredn</w:t>
      </w:r>
      <w:r w:rsidR="009E3252">
        <w:rPr>
          <w:szCs w:val="18"/>
        </w:rPr>
        <w:t>e</w:t>
      </w:r>
      <w:r w:rsidRPr="00647EC9">
        <w:rPr>
          <w:szCs w:val="18"/>
        </w:rPr>
        <w:t xml:space="preserve"> potpor</w:t>
      </w:r>
      <w:r w:rsidR="009E3252">
        <w:rPr>
          <w:szCs w:val="18"/>
        </w:rPr>
        <w:t>e</w:t>
      </w:r>
      <w:r w:rsidRPr="00647EC9">
        <w:rPr>
          <w:szCs w:val="18"/>
        </w:rPr>
        <w:t xml:space="preserve"> ne dodjeljuje nikakvo pravo poljoprivredniku koji je podnio zahtjev za poljoprivrednu potporu, s obzirom na to da je jedini cilj te odredbe zaštita financijskih interesa Unije. S druge strane, uvjeti u kojima je djelovao dotični rumunjski poljoprivrednik ne omogućuju mu da se pozove na odredbu prava Unije sadržanu u drugoj uredbi, koja obuhvaća </w:t>
      </w:r>
      <w:r w:rsidR="0054789F">
        <w:rPr>
          <w:szCs w:val="18"/>
        </w:rPr>
        <w:t>situaciju</w:t>
      </w:r>
      <w:r w:rsidRPr="00647EC9">
        <w:rPr>
          <w:szCs w:val="18"/>
        </w:rPr>
        <w:t xml:space="preserve"> ispričive pogreške</w:t>
      </w:r>
      <w:r w:rsidR="00B34835" w:rsidRPr="00647EC9">
        <w:rPr>
          <w:szCs w:val="18"/>
        </w:rPr>
        <w:t>.</w:t>
      </w:r>
    </w:p>
    <w:p w14:paraId="1A228CB2" w14:textId="3FF4CEB2" w:rsidR="00B34835" w:rsidRPr="00647EC9" w:rsidRDefault="00647EC9" w:rsidP="00B34835">
      <w:pPr>
        <w:pStyle w:val="008CorpsDuTexte"/>
        <w:rPr>
          <w:szCs w:val="18"/>
        </w:rPr>
      </w:pPr>
      <w:r w:rsidRPr="00647EC9">
        <w:t>U predmetu C-293/24 Sud utvrđuje da se predmetnim odredbama Direktive o prijenosu poduzeća dodjeljuju prava pojedincima, tako da je prva pretpostavka za nastanak odgovornosti Portugalske Države zbog odluke Vrhovnog suda iz 2009. ispunjena. Kad je riječ o drugoj pretpostavci, koja se odnosi na postojanje dovoljno ozbiljne povrede prava Unije od strane predmetnog suda, Sud ističe tri elementa koja smatra odlučujućima. Tako, kao prvo, utvrđuje da je rješenje prihvaćeno u njegovoj presudi iz 2015</w:t>
      </w:r>
      <w:r w:rsidRPr="007E5703">
        <w:rPr>
          <w:i/>
          <w:iCs/>
        </w:rPr>
        <w:t>.</w:t>
      </w:r>
      <w:r w:rsidRPr="007E5703">
        <w:rPr>
          <w:rStyle w:val="Emphasis"/>
          <w:i w:val="0"/>
        </w:rPr>
        <w:t xml:space="preserve"> već proizlazilo iz sudske prakse koja je prethodila odluci o odbijanju portugalskog Vrhovnog suda</w:t>
      </w:r>
      <w:r w:rsidR="000C196B" w:rsidRPr="000C196B">
        <w:rPr>
          <w:rStyle w:val="Emphasis"/>
          <w:i w:val="0"/>
        </w:rPr>
        <w:t xml:space="preserve"> </w:t>
      </w:r>
      <w:r w:rsidR="000C196B" w:rsidRPr="00883B14">
        <w:rPr>
          <w:rStyle w:val="Emphasis"/>
          <w:i w:val="0"/>
        </w:rPr>
        <w:t>iz 2009.</w:t>
      </w:r>
      <w:r w:rsidRPr="007E5703">
        <w:rPr>
          <w:i/>
          <w:iCs/>
        </w:rPr>
        <w:t>,</w:t>
      </w:r>
      <w:r w:rsidRPr="00647EC9">
        <w:t xml:space="preserve"> s obzirom na to da ona sadržava niz pogrešaka u tumačenju prava Unije. Kao drugo, indiciju dovoljno ozbiljne povrede prava Unije u ovom slučaju </w:t>
      </w:r>
      <w:r w:rsidR="00E96DAD">
        <w:t xml:space="preserve">također </w:t>
      </w:r>
      <w:r w:rsidRPr="00647EC9">
        <w:t xml:space="preserve">predstavlja okolnost da je portugalski Vrhovni sud odstupio od naznaka koje proizlaze iz sudske prakse koja je prethodila toj odluci iz 2009. a da Sudu nije uputio zahtjev za prethodnu odluku, unatoč obvezi koju ima </w:t>
      </w:r>
      <w:r w:rsidR="00122BA4">
        <w:t>u tom pogledu</w:t>
      </w:r>
      <w:r w:rsidRPr="00647EC9">
        <w:t xml:space="preserve">. Kao treće, taj Vrhovni sud nije </w:t>
      </w:r>
      <w:r w:rsidR="00F3762C" w:rsidRPr="00F3762C">
        <w:t xml:space="preserve">mogao ne znati da je upravo usklađenost metodološkog pristupa iz navedene </w:t>
      </w:r>
      <w:r w:rsidR="00CF2BEA">
        <w:t>odluk</w:t>
      </w:r>
      <w:r w:rsidR="00F3762C" w:rsidRPr="00F3762C">
        <w:t>e s pravom Unije bila predmet zahtjeva za prethodnu odluku koji je</w:t>
      </w:r>
      <w:r w:rsidR="00CF2BEA">
        <w:t xml:space="preserve"> tada bio</w:t>
      </w:r>
      <w:r w:rsidR="00F3762C" w:rsidRPr="00F3762C">
        <w:t xml:space="preserve"> u tijeku pred Sudom</w:t>
      </w:r>
      <w:r w:rsidRPr="00647EC9">
        <w:t xml:space="preserve">, što upućuje na neispričivost povrede navedenog prava koju je počinio taj nacionalni sud. S obzirom na te različite elemente, </w:t>
      </w:r>
      <w:r w:rsidRPr="00647EC9">
        <w:rPr>
          <w:b/>
          <w:bCs/>
        </w:rPr>
        <w:t>čini se da presuda iz 2009. stoga sadržava dovoljno ozbiljnu povredu prava Unije, što je ipak na sudu koji je uputio zahtjev da provjeri,</w:t>
      </w:r>
      <w:r w:rsidRPr="00647EC9">
        <w:t xml:space="preserve"> kao i </w:t>
      </w:r>
      <w:r w:rsidRPr="00647EC9">
        <w:rPr>
          <w:b/>
          <w:bCs/>
        </w:rPr>
        <w:t>uzročnu vezu između te povrede i šteta čiju naknadu traže bivši zaposlenici društva Air Atlantis u glavnom predmetu</w:t>
      </w:r>
      <w:r w:rsidR="00B34835" w:rsidRPr="00647EC9">
        <w:rPr>
          <w:szCs w:val="18"/>
        </w:rPr>
        <w:t>.</w:t>
      </w:r>
      <w:bookmarkStart w:id="1" w:name="_Hlk233290145"/>
    </w:p>
    <w:bookmarkEnd w:id="1"/>
    <w:p w14:paraId="7FA7061C" w14:textId="77777777" w:rsidR="00647EC9" w:rsidRPr="00647EC9" w:rsidRDefault="00647EC9" w:rsidP="00647EC9">
      <w:pPr>
        <w:pStyle w:val="110Rappel"/>
      </w:pPr>
      <w:r w:rsidRPr="00647EC9">
        <w:rPr>
          <w:b/>
        </w:rPr>
        <w:t>NAPOMENA:</w:t>
      </w:r>
      <w:r w:rsidRPr="00647EC9">
        <w:t xml:space="preserve"> Prethodni postupak omogućuje sudovima država članica da u okviru postupka koji se pred njima vodi upute Sudu Europske unije pitanja o tumačenju prava Unije ili o valjanosti nekog akta Unije.</w:t>
      </w:r>
    </w:p>
    <w:p w14:paraId="0954D897" w14:textId="45A26A44" w:rsidR="00A76E25" w:rsidRPr="00647EC9" w:rsidRDefault="00647EC9" w:rsidP="00647EC9">
      <w:pPr>
        <w:pStyle w:val="110Rappel"/>
        <w:rPr>
          <w:szCs w:val="18"/>
        </w:rPr>
      </w:pPr>
      <w:r w:rsidRPr="00647EC9">
        <w:t>Opći sud nadležan je za postupanje sa zahtjevima za prethodnu odluku koji su obuhvaćeni isključivo 1.) zajedničkim sustavom poreza na dodanu vrijednost (PDV), 2.) trošarinama, 3.) Carinskim zakonikom, 4.) razvrstavanjem robe u carinsku tarifu na temelju kombinirane nomenklature, 5.) odštetom i pomoći putnicima u slučaju uskraćenog ukrcaja ili kašnjenja ili otkazivanja usluga prijevoza ili 6.) sustavom trgovanja emisijskim jedinicama stakleničkih plinova. Sud je nadležan za postupanje sa svim ostalim zahtjevima za prethodnu odluku</w:t>
      </w:r>
      <w:r w:rsidR="00A76E25" w:rsidRPr="00647EC9">
        <w:rPr>
          <w:szCs w:val="18"/>
        </w:rPr>
        <w:t>.</w:t>
      </w:r>
    </w:p>
    <w:p w14:paraId="1705C43E" w14:textId="3E8B8650" w:rsidR="00A76E25" w:rsidRPr="00647EC9" w:rsidRDefault="00647EC9" w:rsidP="00A76E25">
      <w:pPr>
        <w:pStyle w:val="110Rappel"/>
        <w:rPr>
          <w:szCs w:val="18"/>
        </w:rPr>
      </w:pPr>
      <w:r w:rsidRPr="00647EC9">
        <w:lastRenderedPageBreak/>
        <w:t>Ni Sud ni Opći sud ne rješavaju spor koji se vodi pred nacionalnim sudom. Na nacionalnom je sudu da predmet riješi u skladu s odlukom Suda ili Općeg suda. Ta odluka jednako obvezuje i druge nacionalne sudove pred kojima bi se moglo postaviti slično pitanje</w:t>
      </w:r>
      <w:r w:rsidR="00A76E25" w:rsidRPr="00647EC9">
        <w:rPr>
          <w:szCs w:val="18"/>
        </w:rPr>
        <w:t>.</w:t>
      </w:r>
    </w:p>
    <w:p w14:paraId="53463884" w14:textId="437DCFA1" w:rsidR="00A76E25" w:rsidRPr="00647EC9" w:rsidRDefault="00647EC9" w:rsidP="00A76E25">
      <w:pPr>
        <w:pStyle w:val="009Boite"/>
        <w:rPr>
          <w:szCs w:val="18"/>
        </w:rPr>
      </w:pPr>
      <w:r w:rsidRPr="00647EC9">
        <w:t>Neslužbeni dokument za medije koji ne obvezuje Sud. Prikaz činjenica i pravnog okvira odnosi se na relevantno razdoblje i temelji se na spisima predmetâ</w:t>
      </w:r>
      <w:r w:rsidR="00A76E25" w:rsidRPr="00647EC9">
        <w:rPr>
          <w:szCs w:val="18"/>
        </w:rPr>
        <w:t>.</w:t>
      </w:r>
    </w:p>
    <w:p w14:paraId="3E7D8D52" w14:textId="62F1BC27" w:rsidR="00A76E25" w:rsidRPr="00647EC9" w:rsidRDefault="00647EC9" w:rsidP="00A76E25">
      <w:pPr>
        <w:pStyle w:val="009Boite"/>
        <w:rPr>
          <w:szCs w:val="18"/>
        </w:rPr>
      </w:pPr>
      <w:r w:rsidRPr="00647EC9">
        <w:t>Cjelovit tekst i, ovisno o slučaju, kratak prikaz presuda (</w:t>
      </w:r>
      <w:hyperlink r:id="rId21" w:history="1">
        <w:r w:rsidRPr="00647EC9">
          <w:rPr>
            <w:rStyle w:val="Hyperlink"/>
          </w:rPr>
          <w:t>C-163/24</w:t>
        </w:r>
      </w:hyperlink>
      <w:r w:rsidRPr="00647EC9">
        <w:t xml:space="preserve"> i </w:t>
      </w:r>
      <w:hyperlink r:id="rId22" w:history="1">
        <w:r w:rsidRPr="00647EC9">
          <w:rPr>
            <w:rStyle w:val="Hyperlink"/>
          </w:rPr>
          <w:t>C-293/24</w:t>
        </w:r>
      </w:hyperlink>
      <w:r w:rsidRPr="00647EC9">
        <w:t>) objavljuju se na stranici CURIA na dan objave</w:t>
      </w:r>
      <w:r w:rsidR="00A76E25" w:rsidRPr="00647EC9">
        <w:rPr>
          <w:szCs w:val="18"/>
        </w:rPr>
        <w:t>.</w:t>
      </w:r>
    </w:p>
    <w:p w14:paraId="7CB5742C" w14:textId="71A34E17" w:rsidR="007A17E4" w:rsidRPr="00647EC9" w:rsidRDefault="00282196">
      <w:pPr>
        <w:pStyle w:val="009Boite"/>
        <w:rPr>
          <w:szCs w:val="18"/>
        </w:rPr>
      </w:pPr>
      <w:r w:rsidRPr="00647EC9">
        <w:rPr>
          <w:szCs w:val="18"/>
        </w:rPr>
        <w:t xml:space="preserve">Osoba za kontakt: Iliana Paliova </w:t>
      </w:r>
      <w:r w:rsidRPr="00647EC9">
        <w:rPr>
          <w:rFonts w:ascii="Segoe UI Symbol" w:hAnsi="Segoe UI Symbol" w:cs="Segoe UI Symbol"/>
          <w:szCs w:val="18"/>
        </w:rPr>
        <w:t>✆</w:t>
      </w:r>
      <w:r w:rsidRPr="00647EC9">
        <w:rPr>
          <w:szCs w:val="18"/>
        </w:rPr>
        <w:t xml:space="preserve"> (+352) 4303 4293</w:t>
      </w:r>
    </w:p>
    <w:p w14:paraId="18251F5E" w14:textId="4F146DFF" w:rsidR="00A76E25" w:rsidRPr="00647EC9" w:rsidRDefault="00282196" w:rsidP="00A76E25">
      <w:pPr>
        <w:pStyle w:val="009Boite"/>
        <w:rPr>
          <w:szCs w:val="18"/>
        </w:rPr>
      </w:pPr>
      <w:r w:rsidRPr="00647EC9">
        <w:rPr>
          <w:szCs w:val="18"/>
        </w:rPr>
        <w:t>Snimke s objave presuda nalaze se na „</w:t>
      </w:r>
      <w:hyperlink r:id="rId23" w:history="1">
        <w:r w:rsidR="00A76E25" w:rsidRPr="00647EC9">
          <w:rPr>
            <w:rStyle w:val="Hyperlink"/>
            <w:szCs w:val="18"/>
          </w:rPr>
          <w:t>Curia Web TV</w:t>
        </w:r>
      </w:hyperlink>
      <w:r w:rsidR="00647EC9" w:rsidRPr="00647EC9">
        <w:t>”</w:t>
      </w:r>
      <w:r w:rsidR="00A76E25" w:rsidRPr="00647EC9">
        <w:rPr>
          <w:szCs w:val="18"/>
        </w:rPr>
        <w:t xml:space="preserve"> </w:t>
      </w:r>
      <w:r w:rsidR="00647EC9" w:rsidRPr="00647EC9">
        <w:rPr>
          <w:szCs w:val="18"/>
        </w:rPr>
        <w:t>i na</w:t>
      </w:r>
      <w:r w:rsidR="00A76E25" w:rsidRPr="00647EC9">
        <w:rPr>
          <w:szCs w:val="18"/>
        </w:rPr>
        <w:t xml:space="preserve"> </w:t>
      </w:r>
      <w:r w:rsidR="00647EC9" w:rsidRPr="00647EC9">
        <w:rPr>
          <w:szCs w:val="18"/>
        </w:rPr>
        <w:t>„</w:t>
      </w:r>
      <w:hyperlink r:id="rId24" w:history="1">
        <w:r w:rsidR="00C32FF7">
          <w:rPr>
            <w:rStyle w:val="Hyperlink"/>
            <w:szCs w:val="18"/>
          </w:rPr>
          <w:t>European Broadcasting Service</w:t>
        </w:r>
      </w:hyperlink>
      <w:r w:rsidR="00647EC9" w:rsidRPr="00647EC9">
        <w:t>”</w:t>
      </w:r>
      <w:r w:rsidR="00A76E25" w:rsidRPr="00647EC9">
        <w:rPr>
          <w:szCs w:val="18"/>
        </w:rPr>
        <w:t xml:space="preserve"> </w:t>
      </w:r>
      <w:r w:rsidR="00A76E25" w:rsidRPr="00647EC9">
        <w:rPr>
          <w:rFonts w:ascii="Segoe UI Symbol" w:hAnsi="Segoe UI Symbol" w:cs="Segoe UI Symbol"/>
          <w:szCs w:val="18"/>
        </w:rPr>
        <w:t>✆</w:t>
      </w:r>
      <w:r w:rsidR="00A76E25" w:rsidRPr="00647EC9">
        <w:rPr>
          <w:szCs w:val="18"/>
        </w:rPr>
        <w:t> (+32) 2 2964106.</w:t>
      </w:r>
    </w:p>
    <w:p w14:paraId="7B995B03" w14:textId="77777777" w:rsidR="007A17E4" w:rsidRPr="00647EC9" w:rsidRDefault="00282196">
      <w:pPr>
        <w:pStyle w:val="012StayConnected"/>
        <w:rPr>
          <w:rFonts w:ascii="Open Sans" w:hAnsi="Open Sans" w:cs="Open Sans"/>
          <w:szCs w:val="18"/>
        </w:rPr>
      </w:pPr>
      <w:r w:rsidRPr="00647EC9">
        <w:rPr>
          <w:rFonts w:ascii="Open Sans" w:hAnsi="Open Sans" w:cs="Open Sans"/>
          <w:szCs w:val="18"/>
        </w:rPr>
        <w:t>Ostanite povezani!</w:t>
      </w:r>
      <w:r w:rsidRPr="00647EC9">
        <w:rPr>
          <w:rFonts w:ascii="Open Sans" w:hAnsi="Open Sans" w:cs="Open Sans"/>
          <w:noProof/>
          <w:szCs w:val="18"/>
          <w:lang w:val="fr-BE" w:eastAsia="fr-BE" w:bidi="ar-SA"/>
        </w:rPr>
        <w:drawing>
          <wp:anchor distT="0" distB="0" distL="114300" distR="114300" simplePos="0" relativeHeight="251657216" behindDoc="0" locked="0" layoutInCell="1" allowOverlap="1" wp14:anchorId="45457601" wp14:editId="14CCDE35">
            <wp:simplePos x="0" y="0"/>
            <wp:positionH relativeFrom="column">
              <wp:posOffset>6010910</wp:posOffset>
            </wp:positionH>
            <wp:positionV relativeFrom="paragraph">
              <wp:posOffset>144145</wp:posOffset>
            </wp:positionV>
            <wp:extent cx="179705" cy="179705"/>
            <wp:effectExtent l="0" t="0" r="0" b="0"/>
            <wp:wrapNone/>
            <wp:docPr id="230" name="CP_Pic_YouTube" descr="Youtub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CP_Pic_YouTube" descr="Youtube"/>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647EC9">
        <w:rPr>
          <w:rFonts w:ascii="Open Sans" w:hAnsi="Open Sans" w:cs="Open Sans"/>
          <w:noProof/>
          <w:szCs w:val="18"/>
          <w:lang w:val="fr-BE" w:eastAsia="fr-BE" w:bidi="ar-SA"/>
        </w:rPr>
        <w:drawing>
          <wp:anchor distT="0" distB="0" distL="114300" distR="114300" simplePos="0" relativeHeight="251580416" behindDoc="0" locked="0" layoutInCell="1" allowOverlap="1" wp14:anchorId="12754291" wp14:editId="378767B4">
            <wp:simplePos x="0" y="0"/>
            <wp:positionH relativeFrom="column">
              <wp:posOffset>4102100</wp:posOffset>
            </wp:positionH>
            <wp:positionV relativeFrom="paragraph">
              <wp:posOffset>144145</wp:posOffset>
            </wp:positionV>
            <wp:extent cx="179705" cy="179705"/>
            <wp:effectExtent l="0" t="0" r="0" b="0"/>
            <wp:wrapNone/>
            <wp:docPr id="231" name="CP_Pic_LinkedIn" descr="Linkedin">
              <a:hlinkClick xmlns:a="http://schemas.openxmlformats.org/drawingml/2006/main" r:id="rId27"/>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CP_Pic_LinkedIn" descr="Linkedin"/>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647EC9">
        <w:rPr>
          <w:rFonts w:ascii="Open Sans" w:hAnsi="Open Sans" w:cs="Open Sans"/>
          <w:noProof/>
          <w:szCs w:val="18"/>
          <w:lang w:val="fr-BE" w:eastAsia="fr-BE" w:bidi="ar-SA"/>
        </w:rPr>
        <w:drawing>
          <wp:anchor distT="0" distB="0" distL="114300" distR="114300" simplePos="0" relativeHeight="251682816" behindDoc="0" locked="0" layoutInCell="1" allowOverlap="1" wp14:anchorId="60A2329D" wp14:editId="497CA327">
            <wp:simplePos x="0" y="0"/>
            <wp:positionH relativeFrom="column">
              <wp:posOffset>4374515</wp:posOffset>
            </wp:positionH>
            <wp:positionV relativeFrom="paragraph">
              <wp:posOffset>143510</wp:posOffset>
            </wp:positionV>
            <wp:extent cx="179705" cy="179705"/>
            <wp:effectExtent l="0" t="0" r="0" b="0"/>
            <wp:wrapNone/>
            <wp:docPr id="232" name="CP_Pic_BlueSky" descr="BlueSky">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CP_Pic_BlueSky" descr="BlueSky"/>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647EC9">
        <w:rPr>
          <w:rFonts w:ascii="Open Sans" w:hAnsi="Open Sans" w:cs="Open Sans"/>
          <w:noProof/>
          <w:szCs w:val="18"/>
          <w:lang w:val="fr-BE" w:eastAsia="fr-BE" w:bidi="ar-SA"/>
        </w:rPr>
        <w:drawing>
          <wp:anchor distT="0" distB="0" distL="114300" distR="114300" simplePos="0" relativeHeight="251708416" behindDoc="0" locked="0" layoutInCell="1" allowOverlap="1" wp14:anchorId="4D8BDB25" wp14:editId="0962FB54">
            <wp:simplePos x="0" y="0"/>
            <wp:positionH relativeFrom="column">
              <wp:posOffset>4646930</wp:posOffset>
            </wp:positionH>
            <wp:positionV relativeFrom="paragraph">
              <wp:posOffset>143510</wp:posOffset>
            </wp:positionV>
            <wp:extent cx="179705" cy="179705"/>
            <wp:effectExtent l="0" t="0" r="0" b="0"/>
            <wp:wrapNone/>
            <wp:docPr id="233" name="CP_Pic_Instagram" descr="Instagram">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P_Pic_Instagram" descr="Instagram"/>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647EC9">
        <w:rPr>
          <w:rFonts w:ascii="Open Sans" w:hAnsi="Open Sans" w:cs="Open Sans"/>
          <w:noProof/>
          <w:szCs w:val="18"/>
          <w:lang w:val="fr-BE" w:eastAsia="fr-BE" w:bidi="ar-SA"/>
        </w:rPr>
        <w:drawing>
          <wp:anchor distT="0" distB="0" distL="114300" distR="114300" simplePos="0" relativeHeight="251734016" behindDoc="0" locked="0" layoutInCell="1" allowOverlap="1" wp14:anchorId="355073AC" wp14:editId="6A726320">
            <wp:simplePos x="0" y="0"/>
            <wp:positionH relativeFrom="column">
              <wp:posOffset>4919345</wp:posOffset>
            </wp:positionH>
            <wp:positionV relativeFrom="paragraph">
              <wp:posOffset>143510</wp:posOffset>
            </wp:positionV>
            <wp:extent cx="179705" cy="179705"/>
            <wp:effectExtent l="0" t="0" r="0" b="0"/>
            <wp:wrapNone/>
            <wp:docPr id="234" name="CP_Pic_Threads" descr="Thread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CP_Pic_Threads" descr="Threads"/>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647EC9">
        <w:rPr>
          <w:rFonts w:ascii="Open Sans" w:hAnsi="Open Sans" w:cs="Open Sans"/>
          <w:noProof/>
          <w:szCs w:val="18"/>
          <w:lang w:val="fr-BE" w:eastAsia="fr-BE" w:bidi="ar-SA"/>
        </w:rPr>
        <w:drawing>
          <wp:anchor distT="0" distB="0" distL="114300" distR="114300" simplePos="0" relativeHeight="251631616" behindDoc="0" locked="0" layoutInCell="1" allowOverlap="1" wp14:anchorId="4151B411" wp14:editId="7675CA29">
            <wp:simplePos x="0" y="0"/>
            <wp:positionH relativeFrom="column">
              <wp:posOffset>5189855</wp:posOffset>
            </wp:positionH>
            <wp:positionV relativeFrom="paragraph">
              <wp:posOffset>143510</wp:posOffset>
            </wp:positionV>
            <wp:extent cx="179705" cy="179705"/>
            <wp:effectExtent l="0" t="0" r="0" b="0"/>
            <wp:wrapNone/>
            <wp:docPr id="235" name="CP_Pic_Mastodon" descr="Mastodon">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CP_Pic_Mastodon" descr="Mastodon"/>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647EC9">
        <w:rPr>
          <w:rFonts w:ascii="Open Sans" w:hAnsi="Open Sans" w:cs="Open Sans"/>
          <w:noProof/>
          <w:szCs w:val="18"/>
          <w:lang w:val="fr-BE" w:eastAsia="fr-BE" w:bidi="ar-SA"/>
        </w:rPr>
        <w:drawing>
          <wp:anchor distT="0" distB="0" distL="114300" distR="114300" simplePos="0" relativeHeight="251606016" behindDoc="0" locked="0" layoutInCell="1" allowOverlap="1" wp14:anchorId="1FD98CDE" wp14:editId="77FDF1CB">
            <wp:simplePos x="0" y="0"/>
            <wp:positionH relativeFrom="column">
              <wp:posOffset>5464175</wp:posOffset>
            </wp:positionH>
            <wp:positionV relativeFrom="paragraph">
              <wp:posOffset>143510</wp:posOffset>
            </wp:positionV>
            <wp:extent cx="179705" cy="179705"/>
            <wp:effectExtent l="0" t="0" r="0" b="0"/>
            <wp:wrapNone/>
            <wp:docPr id="236" name="CP_Pic_Twitter" descr="X (Twitter)">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CP_Pic_Twitter" descr="X (Twitte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647EC9">
        <w:rPr>
          <w:rFonts w:ascii="Open Sans" w:hAnsi="Open Sans" w:cs="Open Sans"/>
          <w:noProof/>
          <w:szCs w:val="18"/>
          <w:lang w:val="fr-BE" w:eastAsia="fr-BE" w:bidi="ar-SA"/>
        </w:rPr>
        <w:drawing>
          <wp:anchor distT="0" distB="0" distL="114300" distR="114300" simplePos="0" relativeHeight="251759616" behindDoc="0" locked="0" layoutInCell="1" allowOverlap="1" wp14:anchorId="6431EE15" wp14:editId="6A8786D9">
            <wp:simplePos x="0" y="0"/>
            <wp:positionH relativeFrom="column">
              <wp:posOffset>5736367</wp:posOffset>
            </wp:positionH>
            <wp:positionV relativeFrom="paragraph">
              <wp:posOffset>142875</wp:posOffset>
            </wp:positionV>
            <wp:extent cx="179705" cy="179705"/>
            <wp:effectExtent l="0" t="0" r="0" b="0"/>
            <wp:wrapNone/>
            <wp:docPr id="237" name="CP_Pic_Whatsapp" descr="Whatsapp">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CP_Pic_Whatsapp" descr="Whatsapp"/>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p>
    <w:sectPr w:rsidR="007A17E4" w:rsidRPr="00647EC9">
      <w:footerReference w:type="default" r:id="rId41"/>
      <w:headerReference w:type="first" r:id="rId42"/>
      <w:footerReference w:type="first" r:id="rId43"/>
      <w:endnotePr>
        <w:numFmt w:val="decimal"/>
      </w:endnotePr>
      <w:pgSz w:w="11906" w:h="16838"/>
      <w:pgMar w:top="1440" w:right="1080" w:bottom="144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4FEC6" w14:textId="77777777" w:rsidR="00A51619" w:rsidRDefault="00A51619">
      <w:pPr>
        <w:pStyle w:val="Footer"/>
      </w:pPr>
    </w:p>
  </w:endnote>
  <w:endnote w:type="continuationSeparator" w:id="0">
    <w:p w14:paraId="4DF759A8" w14:textId="77777777" w:rsidR="00A51619" w:rsidRDefault="00A51619">
      <w:pPr>
        <w:pStyle w:val="Footer"/>
      </w:pPr>
    </w:p>
  </w:endnote>
  <w:endnote w:id="1">
    <w:p w14:paraId="01096E7D" w14:textId="333030BA" w:rsidR="00647EC9" w:rsidRPr="005C68E0" w:rsidRDefault="00647EC9" w:rsidP="00C32FF7">
      <w:pPr>
        <w:pStyle w:val="EndnoteText"/>
        <w:spacing w:line="276" w:lineRule="auto"/>
        <w:rPr>
          <w:rFonts w:ascii="Open Sans" w:hAnsi="Open Sans" w:cs="Open Sans"/>
          <w:sz w:val="14"/>
          <w:szCs w:val="14"/>
        </w:rPr>
      </w:pPr>
      <w:r w:rsidRPr="007E5703">
        <w:rPr>
          <w:rStyle w:val="EndnoteReference"/>
          <w:rFonts w:ascii="Open Sans" w:hAnsi="Open Sans" w:cs="Open Sans"/>
          <w:sz w:val="14"/>
          <w:szCs w:val="14"/>
        </w:rPr>
        <w:endnoteRef/>
      </w:r>
      <w:r w:rsidRPr="007E5703">
        <w:rPr>
          <w:rFonts w:ascii="Open Sans" w:hAnsi="Open Sans" w:cs="Open Sans"/>
          <w:sz w:val="14"/>
          <w:szCs w:val="14"/>
        </w:rPr>
        <w:t xml:space="preserve"> </w:t>
      </w:r>
      <w:hyperlink r:id="rId1" w:history="1">
        <w:r w:rsidRPr="004F72D6">
          <w:rPr>
            <w:rStyle w:val="Hyperlink"/>
            <w:rFonts w:ascii="Open Sans" w:hAnsi="Open Sans" w:cs="Open Sans"/>
            <w:sz w:val="14"/>
            <w:szCs w:val="14"/>
          </w:rPr>
          <w:t>Uredba Komisije (EZ) br. 796/2004</w:t>
        </w:r>
      </w:hyperlink>
      <w:r w:rsidRPr="005C68E0">
        <w:rPr>
          <w:rFonts w:ascii="Open Sans" w:hAnsi="Open Sans" w:cs="Open Sans"/>
          <w:sz w:val="14"/>
          <w:szCs w:val="14"/>
        </w:rPr>
        <w:t xml:space="preserve"> od 21. travnja 2004. o detaljnim pravilima za provedbu višestruke sukladnosti, modulacije i integriranog administrativnog i kontrolnog sustava predviđenih Uredbom Vijeća (EZ) br. 1782/2003 o utvrđivanju zajedničkih pravila za programe izravne potpore u okviru zajedničke poljoprivredne politike i utvrđivanju određenih programa potpore za poljoprivrednike</w:t>
      </w:r>
    </w:p>
  </w:endnote>
  <w:endnote w:id="2">
    <w:p w14:paraId="3D3AE411" w14:textId="04CAB725" w:rsidR="00647EC9" w:rsidRPr="005C68E0" w:rsidRDefault="00647EC9" w:rsidP="00C32FF7">
      <w:pPr>
        <w:pStyle w:val="EndnoteText"/>
        <w:spacing w:line="276" w:lineRule="auto"/>
        <w:rPr>
          <w:rFonts w:ascii="Open Sans" w:hAnsi="Open Sans" w:cs="Open Sans"/>
          <w:sz w:val="14"/>
          <w:szCs w:val="14"/>
        </w:rPr>
      </w:pPr>
      <w:r w:rsidRPr="005C68E0">
        <w:rPr>
          <w:rStyle w:val="EndnoteReference"/>
          <w:rFonts w:ascii="Open Sans" w:hAnsi="Open Sans" w:cs="Open Sans"/>
          <w:sz w:val="14"/>
          <w:szCs w:val="14"/>
        </w:rPr>
        <w:endnoteRef/>
      </w:r>
      <w:r w:rsidRPr="005C68E0">
        <w:rPr>
          <w:rFonts w:ascii="Open Sans" w:hAnsi="Open Sans" w:cs="Open Sans"/>
          <w:sz w:val="14"/>
          <w:szCs w:val="14"/>
        </w:rPr>
        <w:t xml:space="preserve"> </w:t>
      </w:r>
      <w:hyperlink r:id="rId2" w:history="1">
        <w:r w:rsidRPr="004F72D6">
          <w:rPr>
            <w:rStyle w:val="Hyperlink"/>
            <w:rFonts w:ascii="Open Sans" w:hAnsi="Open Sans" w:cs="Open Sans"/>
            <w:sz w:val="14"/>
            <w:szCs w:val="14"/>
          </w:rPr>
          <w:t>Direktiva Vijeća 77/187/EEZ</w:t>
        </w:r>
      </w:hyperlink>
      <w:r w:rsidRPr="005C68E0">
        <w:rPr>
          <w:rFonts w:ascii="Open Sans" w:hAnsi="Open Sans" w:cs="Open Sans"/>
          <w:sz w:val="14"/>
          <w:szCs w:val="14"/>
        </w:rPr>
        <w:t xml:space="preserve"> od 14. veljače 1977. o usklađivanju zakonodavstava država članica u odnosu na zaštitu prava zaposlenika kod prijenosa poduzeća, pogona ili dijelova pogona</w:t>
      </w:r>
    </w:p>
  </w:endnote>
  <w:endnote w:id="3">
    <w:p w14:paraId="6230A8F2" w14:textId="72D3824D" w:rsidR="00647EC9" w:rsidRDefault="00647EC9" w:rsidP="00C32FF7">
      <w:pPr>
        <w:pStyle w:val="EndnoteText"/>
        <w:spacing w:line="276" w:lineRule="auto"/>
      </w:pPr>
      <w:r w:rsidRPr="005C68E0">
        <w:rPr>
          <w:rStyle w:val="EndnoteReference"/>
          <w:rFonts w:ascii="Open Sans" w:hAnsi="Open Sans" w:cs="Open Sans"/>
          <w:sz w:val="14"/>
          <w:szCs w:val="14"/>
        </w:rPr>
        <w:endnoteRef/>
      </w:r>
      <w:r w:rsidRPr="005C68E0">
        <w:rPr>
          <w:rFonts w:ascii="Open Sans" w:hAnsi="Open Sans" w:cs="Open Sans"/>
          <w:sz w:val="14"/>
          <w:szCs w:val="14"/>
        </w:rPr>
        <w:t xml:space="preserve"> Presuda Suda od 9</w:t>
      </w:r>
      <w:r w:rsidR="005C68E0">
        <w:rPr>
          <w:rFonts w:ascii="Open Sans" w:hAnsi="Open Sans" w:cs="Open Sans"/>
          <w:sz w:val="14"/>
          <w:szCs w:val="14"/>
        </w:rPr>
        <w:t>.</w:t>
      </w:r>
      <w:r w:rsidRPr="005C68E0">
        <w:rPr>
          <w:rFonts w:ascii="Open Sans" w:hAnsi="Open Sans" w:cs="Open Sans"/>
          <w:sz w:val="14"/>
          <w:szCs w:val="14"/>
        </w:rPr>
        <w:t xml:space="preserve"> rujna 2015. u predmetu Ferreira da Silva e Brito i dr.,</w:t>
      </w:r>
      <w:hyperlink r:id="rId3" w:history="1">
        <w:r w:rsidRPr="00C32FF7">
          <w:rPr>
            <w:rStyle w:val="Hyperlink"/>
            <w:rFonts w:ascii="Open Sans" w:hAnsi="Open Sans" w:cs="Open Sans"/>
            <w:sz w:val="14"/>
            <w:szCs w:val="14"/>
          </w:rPr>
          <w:t xml:space="preserve"> C-160/14</w:t>
        </w:r>
      </w:hyperlink>
      <w:r w:rsidRPr="005C68E0">
        <w:rPr>
          <w:rFonts w:ascii="Open Sans" w:hAnsi="Open Sans" w:cs="Open Sans"/>
          <w:sz w:val="14"/>
          <w:szCs w:val="14"/>
        </w:rPr>
        <w:t xml:space="preserve"> (vidjeti također priopćenje za medije br. </w:t>
      </w:r>
      <w:hyperlink r:id="rId4" w:history="1">
        <w:r w:rsidRPr="00C32FF7">
          <w:rPr>
            <w:rStyle w:val="Hyperlink"/>
            <w:rFonts w:ascii="Open Sans" w:hAnsi="Open Sans" w:cs="Open Sans"/>
            <w:sz w:val="14"/>
            <w:szCs w:val="14"/>
          </w:rPr>
          <w:t>96/15</w:t>
        </w:r>
      </w:hyperlink>
      <w:r w:rsidRPr="005C68E0">
        <w:rPr>
          <w:rFonts w:ascii="Open Sans" w:hAnsi="Open Sans" w:cs="Open Sans"/>
          <w:sz w:val="14"/>
          <w:szCs w:val="1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SemiBold">
    <w:altName w:val="Segoe UI"/>
    <w:panose1 w:val="020B07060308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
      <w:tag w:val="ccTag16"/>
      <w:id w:val="16"/>
    </w:sdtPr>
    <w:sdtEndPr/>
    <w:sdtContent>
      <w:p w14:paraId="7B8BB77A" w14:textId="77777777" w:rsidR="007A17E4" w:rsidRDefault="00282196">
        <w:pPr>
          <w:pStyle w:val="011Footer"/>
        </w:pPr>
        <w:r>
          <w:t>Uprava za komunikaciju</w:t>
        </w:r>
        <w:r>
          <w:br/>
          <w:t>Odjel za medije i informiranje</w:t>
        </w:r>
        <w:r>
          <w:ptab w:relativeTo="margin" w:alignment="right" w:leader="none"/>
        </w:r>
        <w:r>
          <w:t>curia.europa.eu</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
      <w:tag w:val="ccTag17"/>
      <w:id w:val="17"/>
    </w:sdtPr>
    <w:sdtEndPr/>
    <w:sdtContent>
      <w:p w14:paraId="616E2A47" w14:textId="77777777" w:rsidR="007A17E4" w:rsidRDefault="00282196">
        <w:pPr>
          <w:pStyle w:val="011Footer"/>
        </w:pPr>
        <w:r>
          <w:t>Uprava za komunikaciju</w:t>
        </w:r>
        <w:r>
          <w:br/>
          <w:t>Odjel za medije i informiranje</w:t>
        </w:r>
        <w:r>
          <w:ptab w:relativeTo="margin" w:alignment="right" w:leader="none"/>
        </w:r>
        <w:r>
          <w:t>curia.europa.eu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E5804" w14:textId="77777777" w:rsidR="00A51619" w:rsidRDefault="00A51619">
      <w:pPr>
        <w:pStyle w:val="Footer"/>
      </w:pPr>
      <w:r>
        <w:separator/>
      </w:r>
    </w:p>
  </w:footnote>
  <w:footnote w:type="continuationSeparator" w:id="0">
    <w:sdt>
      <w:sdtPr>
        <w:alias w:val=""/>
        <w:tag w:val="ccTag24"/>
        <w:id w:val="23"/>
        <w:showingPlcHdr/>
      </w:sdtPr>
      <w:sdtContent>
        <w:p w14:paraId="2529A35F" w14:textId="77777777" w:rsidR="00A51619" w:rsidRDefault="00A51619">
          <w:pPr>
            <w:pStyle w:val="Footer"/>
          </w:pPr>
          <w:r>
            <w:t xml:space="preserve">     </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
      <w:tag w:val="ccTag18"/>
      <w:id w:val="18"/>
    </w:sdtPr>
    <w:sdtEndPr/>
    <w:sdtContent>
      <w:p w14:paraId="469D6439" w14:textId="77777777" w:rsidR="007A17E4" w:rsidRDefault="00282196">
        <w:pPr>
          <w:pStyle w:val="Header"/>
        </w:pPr>
        <w:r>
          <w:rPr>
            <w:noProof/>
            <w:lang w:val="fr-BE" w:eastAsia="fr-BE" w:bidi="ar-SA"/>
          </w:rPr>
          <mc:AlternateContent>
            <mc:Choice Requires="wps">
              <w:drawing>
                <wp:anchor distT="0" distB="0" distL="114300" distR="114300" simplePos="0" relativeHeight="251657728" behindDoc="1" locked="0" layoutInCell="1" allowOverlap="1" wp14:anchorId="7E7014E6" wp14:editId="2CDEAC9F">
                  <wp:simplePos x="0" y="0"/>
                  <wp:positionH relativeFrom="column">
                    <wp:posOffset>-688975</wp:posOffset>
                  </wp:positionH>
                  <wp:positionV relativeFrom="paragraph">
                    <wp:posOffset>-449580</wp:posOffset>
                  </wp:positionV>
                  <wp:extent cx="7560310" cy="107950"/>
                  <wp:effectExtent l="0" t="0" r="0" b="0"/>
                  <wp:wrapNone/>
                  <wp:docPr id="12922238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560310" cy="107950"/>
                          </a:xfrm>
                          <a:prstGeom prst="rect">
                            <a:avLst/>
                          </a:prstGeom>
                          <a:solidFill>
                            <a:srgbClr val="851A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BDD944" id="docshape19" o:spid="_x0000_s1026" style="position:absolute;margin-left:-54.25pt;margin-top:-35.4pt;width:595.3pt;height:8.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" fillcolor="#851a15" stroked="f"/>
              </w:pict>
            </mc:Fallback>
          </mc:AlternateContent>
        </w:r>
        <w:r>
          <w:rPr>
            <w:noProof/>
            <w:lang w:val="fr-BE" w:eastAsia="fr-BE" w:bidi="ar-SA"/>
          </w:rPr>
          <w:drawing>
            <wp:inline distT="0" distB="0" distL="0" distR="0" wp14:anchorId="75912D58" wp14:editId="5D858426">
              <wp:extent cx="2009140" cy="467995"/>
              <wp:effectExtent l="0" t="0" r="0" b="0"/>
              <wp:docPr id="2" name="HR_logo_Beige_re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R_logo_Beige_regular.png"/>
                      <pic:cNvPicPr/>
                    </pic:nvPicPr>
                    <pic:blipFill>
                      <a:blip r:embed="rId1" cstate="print"/>
                      <a:stretch>
                        <a:fillRect/>
                      </a:stretch>
                    </pic:blipFill>
                    <pic:spPr>
                      <a:xfrm>
                        <a:off x="0" y="0"/>
                        <a:ext cx="2009140" cy="467995"/>
                      </a:xfrm>
                      <a:prstGeom prst="rect">
                        <a:avLst/>
                      </a:prstGeom>
                    </pic:spPr>
                  </pic:pic>
                </a:graphicData>
              </a:graphic>
            </wp:inline>
          </w:drawing>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7E4"/>
    <w:rsid w:val="00010EE7"/>
    <w:rsid w:val="0002100B"/>
    <w:rsid w:val="00074F99"/>
    <w:rsid w:val="000B5DAB"/>
    <w:rsid w:val="000C196B"/>
    <w:rsid w:val="000E63A8"/>
    <w:rsid w:val="00122BA4"/>
    <w:rsid w:val="00133EF5"/>
    <w:rsid w:val="0014122D"/>
    <w:rsid w:val="001649DD"/>
    <w:rsid w:val="0019655C"/>
    <w:rsid w:val="001B08B6"/>
    <w:rsid w:val="001D0896"/>
    <w:rsid w:val="001E01D2"/>
    <w:rsid w:val="001F31C8"/>
    <w:rsid w:val="00254562"/>
    <w:rsid w:val="002665C8"/>
    <w:rsid w:val="00282196"/>
    <w:rsid w:val="00296F86"/>
    <w:rsid w:val="00297D68"/>
    <w:rsid w:val="002A24D1"/>
    <w:rsid w:val="002A3D81"/>
    <w:rsid w:val="002B5781"/>
    <w:rsid w:val="00320212"/>
    <w:rsid w:val="00320B63"/>
    <w:rsid w:val="003E2AB9"/>
    <w:rsid w:val="003F7EA0"/>
    <w:rsid w:val="00404179"/>
    <w:rsid w:val="004162B9"/>
    <w:rsid w:val="00437CD6"/>
    <w:rsid w:val="00456A99"/>
    <w:rsid w:val="0046437A"/>
    <w:rsid w:val="00467993"/>
    <w:rsid w:val="004766D5"/>
    <w:rsid w:val="004A296F"/>
    <w:rsid w:val="004F72D6"/>
    <w:rsid w:val="00502510"/>
    <w:rsid w:val="00536110"/>
    <w:rsid w:val="0054789F"/>
    <w:rsid w:val="00583F26"/>
    <w:rsid w:val="005977FC"/>
    <w:rsid w:val="005A39DB"/>
    <w:rsid w:val="005B07B3"/>
    <w:rsid w:val="005C68E0"/>
    <w:rsid w:val="0062510A"/>
    <w:rsid w:val="006349FF"/>
    <w:rsid w:val="00647EC9"/>
    <w:rsid w:val="006759A1"/>
    <w:rsid w:val="00685DE8"/>
    <w:rsid w:val="00686748"/>
    <w:rsid w:val="006A4DA1"/>
    <w:rsid w:val="006B6754"/>
    <w:rsid w:val="006F55DF"/>
    <w:rsid w:val="00711324"/>
    <w:rsid w:val="00725920"/>
    <w:rsid w:val="00751E0E"/>
    <w:rsid w:val="007770C9"/>
    <w:rsid w:val="007923A1"/>
    <w:rsid w:val="00792939"/>
    <w:rsid w:val="007A17E4"/>
    <w:rsid w:val="007E5703"/>
    <w:rsid w:val="007E68D0"/>
    <w:rsid w:val="007F5BAA"/>
    <w:rsid w:val="00856C55"/>
    <w:rsid w:val="0089081C"/>
    <w:rsid w:val="00897269"/>
    <w:rsid w:val="008E3D6B"/>
    <w:rsid w:val="009365FB"/>
    <w:rsid w:val="009629D4"/>
    <w:rsid w:val="009930E3"/>
    <w:rsid w:val="009A4469"/>
    <w:rsid w:val="009B2FA9"/>
    <w:rsid w:val="009E3252"/>
    <w:rsid w:val="009F73D7"/>
    <w:rsid w:val="00A02037"/>
    <w:rsid w:val="00A42D18"/>
    <w:rsid w:val="00A51619"/>
    <w:rsid w:val="00A6043F"/>
    <w:rsid w:val="00A649BE"/>
    <w:rsid w:val="00A719F6"/>
    <w:rsid w:val="00A76E25"/>
    <w:rsid w:val="00A9126F"/>
    <w:rsid w:val="00AB56CC"/>
    <w:rsid w:val="00B11F43"/>
    <w:rsid w:val="00B12567"/>
    <w:rsid w:val="00B34835"/>
    <w:rsid w:val="00BF0262"/>
    <w:rsid w:val="00BF2D42"/>
    <w:rsid w:val="00C32FF7"/>
    <w:rsid w:val="00C37A38"/>
    <w:rsid w:val="00C84CD1"/>
    <w:rsid w:val="00CD13F0"/>
    <w:rsid w:val="00CF2BEA"/>
    <w:rsid w:val="00D62448"/>
    <w:rsid w:val="00D91437"/>
    <w:rsid w:val="00DE49FA"/>
    <w:rsid w:val="00E73AC4"/>
    <w:rsid w:val="00E90006"/>
    <w:rsid w:val="00E96DAD"/>
    <w:rsid w:val="00EB5D19"/>
    <w:rsid w:val="00EB5FAB"/>
    <w:rsid w:val="00ED31EE"/>
    <w:rsid w:val="00F05AF2"/>
    <w:rsid w:val="00F3762C"/>
    <w:rsid w:val="00F95CBA"/>
    <w:rsid w:val="00FD54BD"/>
    <w:rsid w:val="00FD7EAF"/>
    <w:rsid w:val="00FE0F58"/>
  </w:rsids>
  <m:mathPr>
    <m:mathFont m:val="Cambria Math"/>
    <m:brkBin m:val="before"/>
    <m:brkBinSub m:val="--"/>
    <m:smallFrac m:val="0"/>
    <m:dispDef/>
    <m:lMargin m:val="0"/>
    <m:rMargin m:val="0"/>
    <m:defJc m:val="centerGroup"/>
    <m:wrapIndent m:val="1440"/>
    <m:intLim m:val="subSup"/>
    <m:naryLim m:val="undOvr"/>
  </m:mathPr>
  <w:themeFontLang w:val="hr-HR" w:eastAsia="hr-HR" w:bidi="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905BF"/>
  <w15:docId w15:val="{34E271F2-BC07-4C72-9A01-BA390907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hr-HR"/>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Pr>
      <w:b w:val="0"/>
      <w:bCs w:val="0"/>
      <w:i w:val="0"/>
      <w:iCs w:val="0"/>
      <w:color w:val="auto"/>
      <w:vertAlign w:val="superscript"/>
    </w:rPr>
  </w:style>
  <w:style w:type="character" w:customStyle="1" w:styleId="GendocOriginalFootnoteReference">
    <w:name w:val="Gendoc_Original_Footnote Reference"/>
    <w:uiPriority w:val="99"/>
    <w:semiHidden/>
    <w:rPr>
      <w:b w:val="0"/>
      <w:bCs w:val="0"/>
      <w:i w:val="0"/>
      <w:iCs w:val="0"/>
      <w:color w:val="auto"/>
      <w:vertAlign w:val="superscript"/>
    </w:rPr>
  </w:style>
  <w:style w:type="character" w:styleId="Hyperlink">
    <w:name w:val="Hyperlink"/>
    <w:uiPriority w:val="99"/>
    <w:rPr>
      <w:b w:val="0"/>
      <w:bCs w:val="0"/>
      <w:i w:val="0"/>
      <w:iCs w:val="0"/>
      <w:color w:val="205E9E"/>
      <w:u w:val="single" w:color="205E9E"/>
    </w:rPr>
  </w:style>
  <w:style w:type="character" w:customStyle="1" w:styleId="GendocOriginalHyperlink">
    <w:name w:val="Gendoc_Original_Hyperlink"/>
    <w:uiPriority w:val="99"/>
    <w:semiHidden/>
    <w:rPr>
      <w:b w:val="0"/>
      <w:bCs w:val="0"/>
      <w:i w:val="0"/>
      <w:iCs w:val="0"/>
      <w:color w:val="205E9E"/>
      <w:u w:val="single" w:color="205E9E"/>
    </w:rPr>
  </w:style>
  <w:style w:type="character" w:customStyle="1" w:styleId="WingdingsChar">
    <w:name w:val="WingdingsChar"/>
    <w:uiPriority w:val="99"/>
    <w:rPr>
      <w:rFonts w:ascii="Wingdings" w:hAnsi="Wingdings" w:cs="Wingdings"/>
      <w:b w:val="0"/>
      <w:bCs w:val="0"/>
      <w:i w:val="0"/>
      <w:iCs w:val="0"/>
      <w:color w:val="auto"/>
      <w:sz w:val="18"/>
      <w:szCs w:val="17"/>
    </w:rPr>
  </w:style>
  <w:style w:type="character" w:customStyle="1" w:styleId="GendocOriginalWingdingsChar">
    <w:name w:val="Gendoc_Original_WingdingsChar"/>
    <w:uiPriority w:val="99"/>
    <w:semiHidden/>
    <w:rPr>
      <w:rFonts w:ascii="Wingdings" w:hAnsi="Wingdings" w:cs="Wingdings"/>
      <w:b w:val="0"/>
      <w:bCs w:val="0"/>
      <w:i w:val="0"/>
      <w:iCs w:val="0"/>
      <w:color w:val="auto"/>
      <w:sz w:val="18"/>
      <w:szCs w:val="17"/>
    </w:rPr>
  </w:style>
  <w:style w:type="character" w:customStyle="1" w:styleId="02BoldCharacterStyle">
    <w:name w:val="02_BoldCharacterStyle"/>
    <w:uiPriority w:val="99"/>
    <w:rPr>
      <w:b/>
      <w:bCs/>
    </w:rPr>
  </w:style>
  <w:style w:type="character" w:customStyle="1" w:styleId="GendocOriginal02BoldCharacterStyle">
    <w:name w:val="Gendoc_Original_02_BoldCharacterStyle"/>
    <w:uiPriority w:val="99"/>
    <w:semiHidden/>
    <w:rPr>
      <w:b/>
      <w:bCs/>
    </w:rPr>
  </w:style>
  <w:style w:type="paragraph" w:styleId="Footer">
    <w:name w:val="footer"/>
    <w:uiPriority w:val="99"/>
    <w:pPr>
      <w:tabs>
        <w:tab w:val="center" w:pos="4320"/>
        <w:tab w:val="right" w:pos="8640"/>
      </w:tabs>
      <w:spacing w:after="0" w:line="240" w:lineRule="auto"/>
    </w:pPr>
    <w:rPr>
      <w:sz w:val="25"/>
      <w:szCs w:val="24"/>
    </w:rPr>
  </w:style>
  <w:style w:type="paragraph" w:customStyle="1" w:styleId="GendocOriginalFooter">
    <w:name w:val="Gendoc_Original_Footer"/>
    <w:next w:val="Footer"/>
    <w:uiPriority w:val="99"/>
    <w:semiHidden/>
    <w:pPr>
      <w:tabs>
        <w:tab w:val="center" w:pos="4320"/>
        <w:tab w:val="right" w:pos="8640"/>
      </w:tabs>
      <w:spacing w:after="0" w:line="240" w:lineRule="auto"/>
    </w:pPr>
    <w:rPr>
      <w:sz w:val="25"/>
      <w:szCs w:val="24"/>
    </w:rPr>
  </w:style>
  <w:style w:type="paragraph" w:customStyle="1" w:styleId="000Intitule">
    <w:name w:val="000_Intitule"/>
    <w:uiPriority w:val="99"/>
    <w:pPr>
      <w:widowControl w:val="0"/>
      <w:spacing w:after="60" w:line="240" w:lineRule="auto"/>
    </w:pPr>
    <w:rPr>
      <w:rFonts w:ascii="Open Sans" w:hAnsi="Open Sans" w:cs="Open Sans"/>
      <w:sz w:val="24"/>
      <w:szCs w:val="23"/>
    </w:rPr>
  </w:style>
  <w:style w:type="paragraph" w:customStyle="1" w:styleId="GendocOriginal000Intitule">
    <w:name w:val="Gendoc_Original_000_Intitule"/>
    <w:uiPriority w:val="99"/>
    <w:semiHidden/>
    <w:pPr>
      <w:widowControl w:val="0"/>
      <w:spacing w:after="60" w:line="240" w:lineRule="auto"/>
    </w:pPr>
    <w:rPr>
      <w:rFonts w:ascii="Open Sans" w:hAnsi="Open Sans" w:cs="Open Sans"/>
      <w:sz w:val="24"/>
      <w:szCs w:val="23"/>
    </w:rPr>
  </w:style>
  <w:style w:type="paragraph" w:customStyle="1" w:styleId="001Auteur">
    <w:name w:val="001_Auteur"/>
    <w:uiPriority w:val="99"/>
    <w:pPr>
      <w:widowControl w:val="0"/>
      <w:spacing w:before="60" w:after="0" w:line="310" w:lineRule="exact"/>
      <w:contextualSpacing/>
    </w:pPr>
    <w:rPr>
      <w:rFonts w:ascii="Open Sans" w:hAnsi="Open Sans" w:cs="Open Sans"/>
      <w:caps/>
      <w:color w:val="CDA878"/>
      <w:sz w:val="24"/>
      <w:szCs w:val="23"/>
    </w:rPr>
  </w:style>
  <w:style w:type="paragraph" w:customStyle="1" w:styleId="GendocOriginal001Auteur">
    <w:name w:val="Gendoc_Original_001_Auteur"/>
    <w:uiPriority w:val="99"/>
    <w:semiHidden/>
    <w:pPr>
      <w:widowControl w:val="0"/>
      <w:spacing w:before="60" w:after="0" w:line="310" w:lineRule="exact"/>
      <w:contextualSpacing/>
    </w:pPr>
    <w:rPr>
      <w:rFonts w:ascii="Open Sans" w:hAnsi="Open Sans" w:cs="Open Sans"/>
      <w:caps/>
      <w:color w:val="CDA878"/>
      <w:sz w:val="24"/>
      <w:szCs w:val="23"/>
    </w:rPr>
  </w:style>
  <w:style w:type="paragraph" w:customStyle="1" w:styleId="002ID">
    <w:name w:val="002_ID"/>
    <w:uiPriority w:val="99"/>
    <w:pPr>
      <w:widowControl w:val="0"/>
      <w:spacing w:after="60" w:line="240" w:lineRule="auto"/>
    </w:pPr>
    <w:rPr>
      <w:rFonts w:ascii="Open Sans" w:hAnsi="Open Sans" w:cs="Open Sans"/>
      <w:b/>
      <w:bCs/>
      <w:color w:val="D4A167"/>
      <w:sz w:val="28"/>
      <w:szCs w:val="27"/>
    </w:rPr>
  </w:style>
  <w:style w:type="paragraph" w:customStyle="1" w:styleId="GendocOriginal002ID">
    <w:name w:val="Gendoc_Original_002_ID"/>
    <w:uiPriority w:val="99"/>
    <w:semiHidden/>
    <w:pPr>
      <w:widowControl w:val="0"/>
      <w:spacing w:after="60" w:line="240" w:lineRule="auto"/>
    </w:pPr>
    <w:rPr>
      <w:rFonts w:ascii="Open Sans" w:hAnsi="Open Sans" w:cs="Open Sans"/>
      <w:b/>
      <w:bCs/>
      <w:color w:val="D4A167"/>
      <w:sz w:val="28"/>
      <w:szCs w:val="27"/>
    </w:rPr>
  </w:style>
  <w:style w:type="paragraph" w:customStyle="1" w:styleId="003Date">
    <w:name w:val="003_Date"/>
    <w:uiPriority w:val="99"/>
    <w:pPr>
      <w:widowControl w:val="0"/>
      <w:spacing w:before="54" w:after="60" w:line="240" w:lineRule="auto"/>
    </w:pPr>
    <w:rPr>
      <w:rFonts w:ascii="Open Sans" w:hAnsi="Open Sans" w:cs="Open Sans"/>
      <w:b/>
      <w:bCs/>
      <w:color w:val="FFFFFF"/>
      <w:sz w:val="19"/>
      <w:szCs w:val="18"/>
    </w:rPr>
  </w:style>
  <w:style w:type="paragraph" w:customStyle="1" w:styleId="GendocOriginal003Date">
    <w:name w:val="Gendoc_Original_003_Date"/>
    <w:uiPriority w:val="99"/>
    <w:semiHidden/>
    <w:pPr>
      <w:widowControl w:val="0"/>
      <w:spacing w:before="54" w:after="60" w:line="240" w:lineRule="auto"/>
    </w:pPr>
    <w:rPr>
      <w:rFonts w:ascii="Open Sans" w:hAnsi="Open Sans" w:cs="Open Sans"/>
      <w:b/>
      <w:bCs/>
      <w:color w:val="FFFFFF"/>
      <w:sz w:val="19"/>
      <w:szCs w:val="18"/>
    </w:rPr>
  </w:style>
  <w:style w:type="paragraph" w:customStyle="1" w:styleId="004Objet">
    <w:name w:val="004_Objet"/>
    <w:uiPriority w:val="99"/>
    <w:pPr>
      <w:widowControl w:val="0"/>
      <w:spacing w:before="480" w:after="240" w:line="288" w:lineRule="auto"/>
    </w:pPr>
    <w:rPr>
      <w:rFonts w:ascii="Open Sans" w:hAnsi="Open Sans" w:cs="Open Sans"/>
      <w:szCs w:val="19"/>
    </w:rPr>
  </w:style>
  <w:style w:type="paragraph" w:customStyle="1" w:styleId="GendocOriginal004Objet">
    <w:name w:val="Gendoc_Original_004_Objet"/>
    <w:uiPriority w:val="99"/>
    <w:semiHidden/>
    <w:pPr>
      <w:widowControl w:val="0"/>
      <w:spacing w:before="480" w:after="240" w:line="288" w:lineRule="auto"/>
    </w:pPr>
    <w:rPr>
      <w:rFonts w:ascii="Open Sans" w:hAnsi="Open Sans" w:cs="Open Sans"/>
      <w:szCs w:val="19"/>
    </w:rPr>
  </w:style>
  <w:style w:type="paragraph" w:customStyle="1" w:styleId="005Titre">
    <w:name w:val="005_Titre"/>
    <w:uiPriority w:val="99"/>
    <w:pPr>
      <w:widowControl w:val="0"/>
      <w:spacing w:after="240" w:line="264" w:lineRule="auto"/>
    </w:pPr>
    <w:rPr>
      <w:rFonts w:ascii="Open Sans" w:hAnsi="Open Sans" w:cs="Open Sans"/>
      <w:b/>
      <w:bCs/>
      <w:color w:val="231F20"/>
      <w:sz w:val="26"/>
      <w:szCs w:val="25"/>
    </w:rPr>
  </w:style>
  <w:style w:type="paragraph" w:customStyle="1" w:styleId="GendocOriginal005Titre">
    <w:name w:val="Gendoc_Original_005_Titre"/>
    <w:uiPriority w:val="99"/>
    <w:semiHidden/>
    <w:pPr>
      <w:widowControl w:val="0"/>
      <w:spacing w:after="240" w:line="264" w:lineRule="auto"/>
    </w:pPr>
    <w:rPr>
      <w:rFonts w:ascii="Open Sans" w:hAnsi="Open Sans" w:cs="Open Sans"/>
      <w:b/>
      <w:bCs/>
      <w:color w:val="231F20"/>
      <w:sz w:val="26"/>
      <w:szCs w:val="25"/>
    </w:rPr>
  </w:style>
  <w:style w:type="paragraph" w:customStyle="1" w:styleId="006SousTitre">
    <w:name w:val="006_SousTitre"/>
    <w:uiPriority w:val="99"/>
    <w:pPr>
      <w:widowControl w:val="0"/>
      <w:spacing w:after="240" w:line="264" w:lineRule="auto"/>
    </w:pPr>
    <w:rPr>
      <w:rFonts w:ascii="Open Sans" w:hAnsi="Open Sans" w:cs="Open Sans"/>
      <w:i/>
      <w:iCs/>
      <w:color w:val="231F20"/>
      <w:szCs w:val="19"/>
    </w:rPr>
  </w:style>
  <w:style w:type="paragraph" w:customStyle="1" w:styleId="GendocOriginal006SousTitre">
    <w:name w:val="Gendoc_Original_006_SousTitre"/>
    <w:uiPriority w:val="99"/>
    <w:semiHidden/>
    <w:pPr>
      <w:widowControl w:val="0"/>
      <w:spacing w:after="240" w:line="264" w:lineRule="auto"/>
    </w:pPr>
    <w:rPr>
      <w:rFonts w:ascii="Open Sans" w:hAnsi="Open Sans" w:cs="Open Sans"/>
      <w:i/>
      <w:iCs/>
      <w:color w:val="231F20"/>
      <w:szCs w:val="19"/>
    </w:rPr>
  </w:style>
  <w:style w:type="paragraph" w:customStyle="1" w:styleId="007NomDesParties">
    <w:name w:val="007_NomDesParties"/>
    <w:uiPriority w:val="99"/>
    <w:pPr>
      <w:widowControl w:val="0"/>
      <w:spacing w:after="0" w:line="240" w:lineRule="auto"/>
    </w:pPr>
    <w:rPr>
      <w:rFonts w:ascii="Open Sans" w:hAnsi="Open Sans" w:cs="Open Sans"/>
      <w:szCs w:val="19"/>
    </w:rPr>
  </w:style>
  <w:style w:type="paragraph" w:customStyle="1" w:styleId="GendocOriginal007NomDesParties">
    <w:name w:val="Gendoc_Original_007_NomDesParties"/>
    <w:uiPriority w:val="99"/>
    <w:semiHidden/>
    <w:pPr>
      <w:widowControl w:val="0"/>
      <w:spacing w:after="0" w:line="240" w:lineRule="auto"/>
    </w:pPr>
    <w:rPr>
      <w:rFonts w:ascii="Open Sans" w:hAnsi="Open Sans" w:cs="Open Sans"/>
      <w:szCs w:val="19"/>
    </w:rPr>
  </w:style>
  <w:style w:type="paragraph" w:customStyle="1" w:styleId="008CorpsDuTexte">
    <w:name w:val="008_CorpsDuTexte"/>
    <w:uiPriority w:val="99"/>
    <w:pPr>
      <w:widowControl w:val="0"/>
      <w:spacing w:before="172" w:after="0" w:line="274" w:lineRule="auto"/>
    </w:pPr>
    <w:rPr>
      <w:rFonts w:ascii="Open Sans" w:hAnsi="Open Sans" w:cs="Open Sans"/>
      <w:color w:val="231F20"/>
      <w:sz w:val="18"/>
      <w:szCs w:val="17"/>
    </w:rPr>
  </w:style>
  <w:style w:type="paragraph" w:customStyle="1" w:styleId="GendocOriginal008CorpsDuTexte">
    <w:name w:val="Gendoc_Original_008_CorpsDuTexte"/>
    <w:uiPriority w:val="99"/>
    <w:semiHidden/>
    <w:pPr>
      <w:widowControl w:val="0"/>
      <w:spacing w:before="172" w:after="0" w:line="274" w:lineRule="auto"/>
    </w:pPr>
    <w:rPr>
      <w:rFonts w:ascii="Open Sans" w:hAnsi="Open Sans" w:cs="Open Sans"/>
      <w:color w:val="231F20"/>
      <w:sz w:val="18"/>
      <w:szCs w:val="17"/>
    </w:rPr>
  </w:style>
  <w:style w:type="paragraph" w:customStyle="1" w:styleId="009Boite">
    <w:name w:val="009_Boite"/>
    <w:uiPriority w:val="99"/>
    <w:pPr>
      <w:widowControl w:val="0"/>
      <w:spacing w:before="100" w:after="0" w:line="240" w:lineRule="auto"/>
    </w:pPr>
    <w:rPr>
      <w:rFonts w:ascii="Open Sans" w:hAnsi="Open Sans" w:cs="Open Sans"/>
      <w:color w:val="231F20"/>
      <w:sz w:val="18"/>
      <w:szCs w:val="17"/>
    </w:rPr>
  </w:style>
  <w:style w:type="paragraph" w:customStyle="1" w:styleId="GendocOriginal009Boite">
    <w:name w:val="Gendoc_Original_009_Boite"/>
    <w:uiPriority w:val="99"/>
    <w:semiHidden/>
    <w:pPr>
      <w:widowControl w:val="0"/>
      <w:spacing w:before="100" w:after="0" w:line="240" w:lineRule="auto"/>
    </w:pPr>
    <w:rPr>
      <w:rFonts w:ascii="Open Sans" w:hAnsi="Open Sans" w:cs="Open Sans"/>
      <w:color w:val="231F20"/>
      <w:sz w:val="18"/>
      <w:szCs w:val="17"/>
    </w:rPr>
  </w:style>
  <w:style w:type="paragraph" w:customStyle="1" w:styleId="110Rappel">
    <w:name w:val="110_Rappel"/>
    <w:uiPriority w:val="99"/>
    <w:pPr>
      <w:widowControl w:val="0"/>
      <w:pBdr>
        <w:top w:val="single" w:sz="8" w:space="4" w:color="D1D3D4"/>
        <w:left w:val="single" w:sz="8" w:space="4" w:color="D1D3D4"/>
        <w:bottom w:val="single" w:sz="8" w:space="4" w:color="D1D3D4"/>
        <w:right w:val="single" w:sz="8" w:space="4" w:color="D1D3D4"/>
      </w:pBdr>
      <w:spacing w:before="240" w:after="240" w:line="310" w:lineRule="auto"/>
    </w:pPr>
    <w:rPr>
      <w:rFonts w:ascii="Open Sans" w:hAnsi="Open Sans" w:cs="Open Sans"/>
      <w:color w:val="231F20"/>
      <w:sz w:val="18"/>
      <w:szCs w:val="17"/>
    </w:rPr>
  </w:style>
  <w:style w:type="paragraph" w:customStyle="1" w:styleId="GendocOriginal110Rappel">
    <w:name w:val="Gendoc_Original_110_Rappel"/>
    <w:uiPriority w:val="99"/>
    <w:semiHidden/>
    <w:pPr>
      <w:widowControl w:val="0"/>
      <w:pBdr>
        <w:top w:val="single" w:sz="8" w:space="4" w:color="D1D3D4"/>
        <w:left w:val="single" w:sz="8" w:space="4" w:color="D1D3D4"/>
        <w:bottom w:val="single" w:sz="8" w:space="4" w:color="D1D3D4"/>
        <w:right w:val="single" w:sz="8" w:space="4" w:color="D1D3D4"/>
      </w:pBdr>
      <w:spacing w:before="240" w:after="240" w:line="310" w:lineRule="auto"/>
    </w:pPr>
    <w:rPr>
      <w:rFonts w:ascii="Open Sans" w:hAnsi="Open Sans" w:cs="Open Sans"/>
      <w:color w:val="231F20"/>
      <w:sz w:val="18"/>
      <w:szCs w:val="17"/>
    </w:rPr>
  </w:style>
  <w:style w:type="paragraph" w:styleId="Header">
    <w:name w:val="header"/>
    <w:uiPriority w:val="99"/>
    <w:pPr>
      <w:widowControl w:val="0"/>
      <w:spacing w:after="120" w:line="240" w:lineRule="auto"/>
    </w:pPr>
    <w:rPr>
      <w:rFonts w:ascii="Open Sans" w:hAnsi="Open Sans" w:cs="Open Sans"/>
      <w:sz w:val="22"/>
      <w:szCs w:val="21"/>
    </w:rPr>
  </w:style>
  <w:style w:type="paragraph" w:customStyle="1" w:styleId="GendocOriginalHeader">
    <w:name w:val="Gendoc_Original_Header"/>
    <w:uiPriority w:val="99"/>
    <w:semiHidden/>
    <w:pPr>
      <w:widowControl w:val="0"/>
      <w:spacing w:after="120" w:line="240" w:lineRule="auto"/>
    </w:pPr>
    <w:rPr>
      <w:rFonts w:ascii="Open Sans" w:hAnsi="Open Sans" w:cs="Open Sans"/>
      <w:sz w:val="22"/>
      <w:szCs w:val="21"/>
    </w:rPr>
  </w:style>
  <w:style w:type="paragraph" w:customStyle="1" w:styleId="002IDBig">
    <w:name w:val="002_ID_Big"/>
    <w:uiPriority w:val="99"/>
    <w:pPr>
      <w:widowControl w:val="0"/>
      <w:spacing w:after="0" w:line="240" w:lineRule="auto"/>
    </w:pPr>
    <w:rPr>
      <w:rFonts w:ascii="Open Sans" w:hAnsi="Open Sans" w:cs="Open Sans"/>
      <w:color w:val="D4A167"/>
      <w:sz w:val="48"/>
      <w:szCs w:val="47"/>
    </w:rPr>
  </w:style>
  <w:style w:type="paragraph" w:customStyle="1" w:styleId="GendocOriginal002IDBig">
    <w:name w:val="Gendoc_Original_002_ID_Big"/>
    <w:uiPriority w:val="99"/>
    <w:semiHidden/>
    <w:pPr>
      <w:widowControl w:val="0"/>
      <w:spacing w:after="0" w:line="240" w:lineRule="auto"/>
    </w:pPr>
    <w:rPr>
      <w:rFonts w:ascii="Open Sans" w:hAnsi="Open Sans" w:cs="Open Sans"/>
      <w:color w:val="D4A167"/>
      <w:sz w:val="48"/>
      <w:szCs w:val="47"/>
    </w:rPr>
  </w:style>
  <w:style w:type="paragraph" w:styleId="BodyText">
    <w:name w:val="Body Text"/>
    <w:uiPriority w:val="99"/>
    <w:pPr>
      <w:widowControl w:val="0"/>
      <w:spacing w:after="0" w:line="240" w:lineRule="auto"/>
    </w:pPr>
    <w:rPr>
      <w:rFonts w:ascii="Open Sans" w:hAnsi="Open Sans" w:cs="Open Sans"/>
      <w:sz w:val="18"/>
      <w:szCs w:val="17"/>
    </w:rPr>
  </w:style>
  <w:style w:type="paragraph" w:customStyle="1" w:styleId="GendocOriginalBodytext">
    <w:name w:val="Gendoc_Original_Body text"/>
    <w:uiPriority w:val="99"/>
    <w:semiHidden/>
    <w:pPr>
      <w:widowControl w:val="0"/>
      <w:spacing w:after="0" w:line="240" w:lineRule="auto"/>
    </w:pPr>
    <w:rPr>
      <w:rFonts w:ascii="Open Sans" w:hAnsi="Open Sans" w:cs="Open Sans"/>
      <w:sz w:val="18"/>
      <w:szCs w:val="17"/>
    </w:rPr>
  </w:style>
  <w:style w:type="paragraph" w:customStyle="1" w:styleId="012StayConnected">
    <w:name w:val="012_StayConnected"/>
    <w:uiPriority w:val="99"/>
    <w:pPr>
      <w:widowControl w:val="0"/>
      <w:pBdr>
        <w:top w:val="single" w:sz="8" w:space="4" w:color="C8AE70"/>
        <w:left w:val="single" w:sz="8" w:space="4" w:color="C8AE70"/>
        <w:bottom w:val="single" w:sz="8" w:space="4" w:color="C8AE70"/>
        <w:right w:val="single" w:sz="8" w:space="4" w:color="C8AE70"/>
      </w:pBdr>
      <w:spacing w:before="120" w:after="120" w:line="274" w:lineRule="auto"/>
    </w:pPr>
    <w:rPr>
      <w:rFonts w:ascii="Open Sans SemiBold" w:hAnsi="Open Sans SemiBold" w:cs="Open Sans SemiBold"/>
      <w:sz w:val="18"/>
      <w:szCs w:val="17"/>
    </w:rPr>
  </w:style>
  <w:style w:type="paragraph" w:customStyle="1" w:styleId="GendocOriginal012StayConnected">
    <w:name w:val="Gendoc_Original_012_StayConnected"/>
    <w:uiPriority w:val="99"/>
    <w:semiHidden/>
    <w:pPr>
      <w:widowControl w:val="0"/>
      <w:pBdr>
        <w:top w:val="single" w:sz="8" w:space="4" w:color="C8AE70"/>
        <w:left w:val="single" w:sz="8" w:space="4" w:color="C8AE70"/>
        <w:bottom w:val="single" w:sz="8" w:space="4" w:color="C8AE70"/>
        <w:right w:val="single" w:sz="8" w:space="4" w:color="C8AE70"/>
      </w:pBdr>
      <w:spacing w:before="120" w:after="120" w:line="274" w:lineRule="auto"/>
    </w:pPr>
    <w:rPr>
      <w:rFonts w:ascii="Open Sans SemiBold" w:hAnsi="Open Sans SemiBold" w:cs="Open Sans SemiBold"/>
      <w:sz w:val="18"/>
      <w:szCs w:val="17"/>
    </w:rPr>
  </w:style>
  <w:style w:type="paragraph" w:customStyle="1" w:styleId="50FootnoteNomFictif">
    <w:name w:val="50_Footnote_Nom_Fictif"/>
    <w:basedOn w:val="FootnoteText"/>
    <w:uiPriority w:val="99"/>
    <w:pPr>
      <w:spacing w:after="300" w:line="240" w:lineRule="auto"/>
      <w:ind w:left="142" w:hanging="142"/>
      <w:jc w:val="both"/>
    </w:pPr>
    <w:rPr>
      <w:color w:val="auto"/>
      <w:sz w:val="15"/>
      <w:szCs w:val="14"/>
    </w:rPr>
  </w:style>
  <w:style w:type="paragraph" w:customStyle="1" w:styleId="GendocOriginal50FootnoteNomFictif">
    <w:name w:val="Gendoc_Original_50_Footnote_Nom_Fictif"/>
    <w:basedOn w:val="FootnoteText"/>
    <w:next w:val="50FootnoteNomFictif"/>
    <w:uiPriority w:val="99"/>
    <w:semiHidden/>
    <w:pPr>
      <w:spacing w:after="300" w:line="240" w:lineRule="auto"/>
      <w:ind w:left="142" w:hanging="142"/>
      <w:jc w:val="both"/>
    </w:pPr>
    <w:rPr>
      <w:color w:val="auto"/>
      <w:sz w:val="15"/>
      <w:szCs w:val="14"/>
    </w:rPr>
  </w:style>
  <w:style w:type="paragraph" w:styleId="FootnoteText">
    <w:name w:val="footnote text"/>
    <w:uiPriority w:val="99"/>
    <w:pPr>
      <w:widowControl w:val="0"/>
      <w:spacing w:after="60" w:line="288" w:lineRule="auto"/>
    </w:pPr>
    <w:rPr>
      <w:rFonts w:ascii="Open Sans" w:hAnsi="Open Sans" w:cs="Open Sans"/>
      <w:color w:val="231F20"/>
      <w:sz w:val="14"/>
      <w:szCs w:val="13"/>
    </w:rPr>
  </w:style>
  <w:style w:type="paragraph" w:customStyle="1" w:styleId="GendocOriginalFootnoteText">
    <w:name w:val="Gendoc_Original_Footnote Text"/>
    <w:uiPriority w:val="99"/>
    <w:semiHidden/>
    <w:pPr>
      <w:widowControl w:val="0"/>
      <w:spacing w:after="60" w:line="288" w:lineRule="auto"/>
    </w:pPr>
    <w:rPr>
      <w:rFonts w:ascii="Open Sans" w:hAnsi="Open Sans" w:cs="Open Sans"/>
      <w:color w:val="231F20"/>
      <w:sz w:val="14"/>
      <w:szCs w:val="13"/>
    </w:rPr>
  </w:style>
  <w:style w:type="paragraph" w:customStyle="1" w:styleId="011Footer">
    <w:name w:val="011_Footer"/>
    <w:uiPriority w:val="99"/>
    <w:pPr>
      <w:widowControl w:val="0"/>
      <w:spacing w:after="0" w:line="221" w:lineRule="auto"/>
    </w:pPr>
    <w:rPr>
      <w:rFonts w:ascii="Open Sans" w:hAnsi="Open Sans" w:cs="Open Sans"/>
      <w:color w:val="414042"/>
      <w:sz w:val="18"/>
      <w:szCs w:val="17"/>
    </w:rPr>
  </w:style>
  <w:style w:type="paragraph" w:customStyle="1" w:styleId="GendocOriginal011Footer">
    <w:name w:val="Gendoc_Original_011_Footer"/>
    <w:uiPriority w:val="99"/>
    <w:semiHidden/>
    <w:pPr>
      <w:widowControl w:val="0"/>
      <w:spacing w:after="0" w:line="221" w:lineRule="auto"/>
    </w:pPr>
    <w:rPr>
      <w:rFonts w:ascii="Open Sans" w:hAnsi="Open Sans" w:cs="Open Sans"/>
      <w:color w:val="414042"/>
      <w:sz w:val="18"/>
      <w:szCs w:val="17"/>
    </w:rPr>
  </w:style>
  <w:style w:type="paragraph" w:customStyle="1" w:styleId="102ID">
    <w:name w:val="102_ID"/>
    <w:uiPriority w:val="99"/>
    <w:pPr>
      <w:widowControl w:val="0"/>
      <w:spacing w:after="0" w:line="240" w:lineRule="auto"/>
    </w:pPr>
    <w:rPr>
      <w:rFonts w:ascii="Open Sans" w:hAnsi="Open Sans" w:cs="Open Sans"/>
      <w:color w:val="851A15"/>
      <w:sz w:val="28"/>
      <w:szCs w:val="27"/>
    </w:rPr>
  </w:style>
  <w:style w:type="paragraph" w:customStyle="1" w:styleId="GendocOriginal102ID">
    <w:name w:val="Gendoc_Original_102_ID"/>
    <w:uiPriority w:val="99"/>
    <w:semiHidden/>
    <w:pPr>
      <w:widowControl w:val="0"/>
      <w:spacing w:after="0" w:line="240" w:lineRule="auto"/>
    </w:pPr>
    <w:rPr>
      <w:rFonts w:ascii="Open Sans" w:hAnsi="Open Sans" w:cs="Open Sans"/>
      <w:color w:val="851A15"/>
      <w:sz w:val="28"/>
      <w:szCs w:val="27"/>
    </w:rPr>
  </w:style>
  <w:style w:type="paragraph" w:customStyle="1" w:styleId="102IDC">
    <w:name w:val="102_ID_C"/>
    <w:uiPriority w:val="99"/>
    <w:pPr>
      <w:widowControl w:val="0"/>
      <w:spacing w:after="0" w:line="240" w:lineRule="auto"/>
    </w:pPr>
    <w:rPr>
      <w:rFonts w:ascii="Open Sans" w:hAnsi="Open Sans" w:cs="Open Sans"/>
      <w:color w:val="851A15"/>
      <w:sz w:val="28"/>
      <w:szCs w:val="27"/>
    </w:rPr>
  </w:style>
  <w:style w:type="paragraph" w:customStyle="1" w:styleId="GendocOriginal102IDC">
    <w:name w:val="Gendoc_Original_102_ID_C"/>
    <w:uiPriority w:val="99"/>
    <w:semiHidden/>
    <w:pPr>
      <w:widowControl w:val="0"/>
      <w:spacing w:after="0" w:line="240" w:lineRule="auto"/>
    </w:pPr>
    <w:rPr>
      <w:rFonts w:ascii="Open Sans" w:hAnsi="Open Sans" w:cs="Open Sans"/>
      <w:color w:val="851A15"/>
      <w:sz w:val="28"/>
      <w:szCs w:val="27"/>
    </w:rPr>
  </w:style>
  <w:style w:type="paragraph" w:customStyle="1" w:styleId="103DateC">
    <w:name w:val="103_Date_C"/>
    <w:uiPriority w:val="99"/>
    <w:pPr>
      <w:widowControl w:val="0"/>
      <w:spacing w:before="120" w:after="100" w:line="240" w:lineRule="auto"/>
      <w:ind w:left="45"/>
    </w:pPr>
    <w:rPr>
      <w:rFonts w:ascii="Open Sans" w:hAnsi="Open Sans" w:cs="Open Sans"/>
      <w:color w:val="851A15"/>
      <w:sz w:val="18"/>
      <w:szCs w:val="17"/>
    </w:rPr>
  </w:style>
  <w:style w:type="paragraph" w:customStyle="1" w:styleId="GendocOriginal103DateC">
    <w:name w:val="Gendoc_Original_103_Date_C"/>
    <w:uiPriority w:val="99"/>
    <w:semiHidden/>
    <w:pPr>
      <w:widowControl w:val="0"/>
      <w:spacing w:before="120" w:after="100" w:line="240" w:lineRule="auto"/>
      <w:ind w:left="45"/>
    </w:pPr>
    <w:rPr>
      <w:rFonts w:ascii="Open Sans" w:hAnsi="Open Sans" w:cs="Open Sans"/>
      <w:color w:val="851A15"/>
      <w:sz w:val="18"/>
      <w:szCs w:val="17"/>
    </w:rPr>
  </w:style>
  <w:style w:type="paragraph" w:customStyle="1" w:styleId="103DateTitreC">
    <w:name w:val="103_Date_Titre_C"/>
    <w:uiPriority w:val="99"/>
    <w:pPr>
      <w:widowControl w:val="0"/>
      <w:spacing w:before="54" w:after="0" w:line="240" w:lineRule="auto"/>
      <w:ind w:left="45"/>
    </w:pPr>
    <w:rPr>
      <w:rFonts w:ascii="Open Sans" w:hAnsi="Open Sans" w:cs="Open Sans"/>
      <w:color w:val="851A15"/>
      <w:sz w:val="22"/>
      <w:szCs w:val="21"/>
    </w:rPr>
  </w:style>
  <w:style w:type="paragraph" w:customStyle="1" w:styleId="GendocOriginal103DateTitreC">
    <w:name w:val="Gendoc_Original_103_Date_Titre_C"/>
    <w:uiPriority w:val="99"/>
    <w:semiHidden/>
    <w:pPr>
      <w:widowControl w:val="0"/>
      <w:spacing w:before="54" w:after="0" w:line="240" w:lineRule="auto"/>
      <w:ind w:left="45"/>
    </w:pPr>
    <w:rPr>
      <w:rFonts w:ascii="Open Sans" w:hAnsi="Open Sans" w:cs="Open Sans"/>
      <w:color w:val="851A15"/>
      <w:sz w:val="22"/>
      <w:szCs w:val="21"/>
    </w:rPr>
  </w:style>
  <w:style w:type="paragraph" w:customStyle="1" w:styleId="102IDT">
    <w:name w:val="102_ID_T"/>
    <w:uiPriority w:val="99"/>
    <w:pPr>
      <w:widowControl w:val="0"/>
      <w:spacing w:after="0" w:line="240" w:lineRule="auto"/>
    </w:pPr>
    <w:rPr>
      <w:rFonts w:ascii="Open Sans" w:hAnsi="Open Sans" w:cs="Open Sans"/>
      <w:color w:val="3E516E"/>
      <w:sz w:val="28"/>
      <w:szCs w:val="27"/>
    </w:rPr>
  </w:style>
  <w:style w:type="paragraph" w:customStyle="1" w:styleId="GendocOriginal102IDT">
    <w:name w:val="Gendoc_Original_102_ID_T"/>
    <w:uiPriority w:val="99"/>
    <w:semiHidden/>
    <w:pPr>
      <w:widowControl w:val="0"/>
      <w:spacing w:after="0" w:line="240" w:lineRule="auto"/>
    </w:pPr>
    <w:rPr>
      <w:rFonts w:ascii="Open Sans" w:hAnsi="Open Sans" w:cs="Open Sans"/>
      <w:color w:val="3E516E"/>
      <w:sz w:val="28"/>
      <w:szCs w:val="27"/>
    </w:rPr>
  </w:style>
  <w:style w:type="paragraph" w:customStyle="1" w:styleId="103DateT">
    <w:name w:val="103_Date_T"/>
    <w:uiPriority w:val="99"/>
    <w:pPr>
      <w:widowControl w:val="0"/>
      <w:spacing w:before="120" w:after="100" w:line="240" w:lineRule="auto"/>
      <w:ind w:left="45"/>
    </w:pPr>
    <w:rPr>
      <w:rFonts w:ascii="Open Sans" w:hAnsi="Open Sans" w:cs="Open Sans"/>
      <w:color w:val="3E516E"/>
      <w:sz w:val="18"/>
      <w:szCs w:val="17"/>
    </w:rPr>
  </w:style>
  <w:style w:type="paragraph" w:customStyle="1" w:styleId="GendocOriginal103DateT">
    <w:name w:val="Gendoc_Original_103_Date_T"/>
    <w:uiPriority w:val="99"/>
    <w:semiHidden/>
    <w:pPr>
      <w:widowControl w:val="0"/>
      <w:spacing w:before="120" w:after="100" w:line="240" w:lineRule="auto"/>
      <w:ind w:left="45"/>
    </w:pPr>
    <w:rPr>
      <w:rFonts w:ascii="Open Sans" w:hAnsi="Open Sans" w:cs="Open Sans"/>
      <w:color w:val="3E516E"/>
      <w:sz w:val="18"/>
      <w:szCs w:val="17"/>
    </w:rPr>
  </w:style>
  <w:style w:type="paragraph" w:customStyle="1" w:styleId="103DateTitreT">
    <w:name w:val="103_Date_Titre_T"/>
    <w:uiPriority w:val="99"/>
    <w:pPr>
      <w:widowControl w:val="0"/>
      <w:spacing w:before="54" w:after="0" w:line="240" w:lineRule="auto"/>
      <w:ind w:left="45"/>
    </w:pPr>
    <w:rPr>
      <w:rFonts w:ascii="Open Sans" w:hAnsi="Open Sans" w:cs="Open Sans"/>
      <w:color w:val="3E516E"/>
      <w:sz w:val="22"/>
      <w:szCs w:val="21"/>
    </w:rPr>
  </w:style>
  <w:style w:type="paragraph" w:customStyle="1" w:styleId="GendocOriginal103DateTitreT">
    <w:name w:val="Gendoc_Original_103_Date_Titre_T"/>
    <w:uiPriority w:val="99"/>
    <w:semiHidden/>
    <w:pPr>
      <w:widowControl w:val="0"/>
      <w:spacing w:before="54" w:after="0" w:line="240" w:lineRule="auto"/>
      <w:ind w:left="45"/>
    </w:pPr>
    <w:rPr>
      <w:rFonts w:ascii="Open Sans" w:hAnsi="Open Sans" w:cs="Open Sans"/>
      <w:color w:val="3E516E"/>
      <w:sz w:val="22"/>
      <w:szCs w:val="21"/>
    </w:rPr>
  </w:style>
  <w:style w:type="paragraph" w:customStyle="1" w:styleId="102IDI">
    <w:name w:val="102_ID_I"/>
    <w:uiPriority w:val="99"/>
    <w:pPr>
      <w:widowControl w:val="0"/>
      <w:spacing w:after="0" w:line="240" w:lineRule="auto"/>
    </w:pPr>
    <w:rPr>
      <w:rFonts w:ascii="Open Sans" w:hAnsi="Open Sans" w:cs="Open Sans"/>
      <w:color w:val="725922"/>
      <w:sz w:val="28"/>
      <w:szCs w:val="27"/>
    </w:rPr>
  </w:style>
  <w:style w:type="paragraph" w:customStyle="1" w:styleId="GendocOriginal102IDI">
    <w:name w:val="Gendoc_Original_102_ID_I"/>
    <w:uiPriority w:val="99"/>
    <w:semiHidden/>
    <w:pPr>
      <w:widowControl w:val="0"/>
      <w:spacing w:after="0" w:line="240" w:lineRule="auto"/>
    </w:pPr>
    <w:rPr>
      <w:rFonts w:ascii="Open Sans" w:hAnsi="Open Sans" w:cs="Open Sans"/>
      <w:color w:val="725922"/>
      <w:sz w:val="28"/>
      <w:szCs w:val="27"/>
    </w:rPr>
  </w:style>
  <w:style w:type="paragraph" w:customStyle="1" w:styleId="103DateI">
    <w:name w:val="103_Date_I"/>
    <w:uiPriority w:val="99"/>
    <w:pPr>
      <w:widowControl w:val="0"/>
      <w:spacing w:before="120" w:after="100" w:line="240" w:lineRule="auto"/>
      <w:ind w:left="45"/>
    </w:pPr>
    <w:rPr>
      <w:rFonts w:ascii="Open Sans" w:hAnsi="Open Sans" w:cs="Open Sans"/>
      <w:color w:val="725922"/>
      <w:sz w:val="18"/>
      <w:szCs w:val="17"/>
    </w:rPr>
  </w:style>
  <w:style w:type="paragraph" w:customStyle="1" w:styleId="GendocOriginal103DateI">
    <w:name w:val="Gendoc_Original_103_Date_I"/>
    <w:uiPriority w:val="99"/>
    <w:semiHidden/>
    <w:pPr>
      <w:widowControl w:val="0"/>
      <w:spacing w:before="120" w:after="100" w:line="240" w:lineRule="auto"/>
      <w:ind w:left="45"/>
    </w:pPr>
    <w:rPr>
      <w:rFonts w:ascii="Open Sans" w:hAnsi="Open Sans" w:cs="Open Sans"/>
      <w:color w:val="725922"/>
      <w:sz w:val="18"/>
      <w:szCs w:val="17"/>
    </w:rPr>
  </w:style>
  <w:style w:type="paragraph" w:customStyle="1" w:styleId="103DateTitreI">
    <w:name w:val="103_Date_Titre_I"/>
    <w:uiPriority w:val="99"/>
    <w:pPr>
      <w:widowControl w:val="0"/>
      <w:spacing w:before="54" w:after="0" w:line="240" w:lineRule="auto"/>
      <w:ind w:left="45"/>
    </w:pPr>
    <w:rPr>
      <w:rFonts w:ascii="Open Sans" w:hAnsi="Open Sans" w:cs="Open Sans"/>
      <w:color w:val="725922"/>
      <w:sz w:val="22"/>
      <w:szCs w:val="21"/>
    </w:rPr>
  </w:style>
  <w:style w:type="paragraph" w:customStyle="1" w:styleId="GendocOriginal103DateTitreI">
    <w:name w:val="Gendoc_Original_103_Date_Titre_I"/>
    <w:uiPriority w:val="99"/>
    <w:semiHidden/>
    <w:pPr>
      <w:widowControl w:val="0"/>
      <w:spacing w:before="54" w:after="0" w:line="240" w:lineRule="auto"/>
      <w:ind w:left="45"/>
    </w:pPr>
    <w:rPr>
      <w:rFonts w:ascii="Open Sans" w:hAnsi="Open Sans" w:cs="Open Sans"/>
      <w:color w:val="725922"/>
      <w:sz w:val="22"/>
      <w:szCs w:val="21"/>
    </w:rPr>
  </w:style>
  <w:style w:type="table" w:customStyle="1" w:styleId="TableNoBorder">
    <w:name w:val="TableNoBorder"/>
    <w:uiPriority w:val="99"/>
    <w:tblPr>
      <w:tblCellSpacing w:w="0" w:type="auto"/>
      <w:tblInd w:w="0" w:type="dxa"/>
      <w:tblBorders>
        <w:top w:val="none" w:sz="2" w:space="0" w:color="auto"/>
        <w:left w:val="none" w:sz="2" w:space="0" w:color="auto"/>
        <w:bottom w:val="none" w:sz="2" w:space="0" w:color="auto"/>
        <w:right w:val="none" w:sz="2" w:space="0" w:color="auto"/>
        <w:insideH w:val="none" w:sz="2" w:space="0" w:color="auto"/>
        <w:insideV w:val="none" w:sz="2" w:space="0" w:color="auto"/>
      </w:tblBorders>
      <w:tblCellMar>
        <w:top w:w="0" w:type="dxa"/>
        <w:left w:w="108" w:type="dxa"/>
        <w:bottom w:w="0" w:type="dxa"/>
        <w:right w:w="108" w:type="dxa"/>
      </w:tblCellMar>
    </w:tblPr>
    <w:trPr>
      <w:tblCellSpacing w:w="0" w:type="auto"/>
    </w:trPr>
  </w:style>
  <w:style w:type="table" w:customStyle="1" w:styleId="GendocOriginalTableNoBorder">
    <w:name w:val="Gendoc_Original_TableNoBorder"/>
    <w:uiPriority w:val="99"/>
    <w:semiHidden/>
    <w:tblPr>
      <w:tblCellSpacing w:w="0" w:type="auto"/>
      <w:tblInd w:w="0" w:type="dxa"/>
      <w:tblBorders>
        <w:top w:val="none" w:sz="2" w:space="0" w:color="auto"/>
        <w:left w:val="none" w:sz="2" w:space="0" w:color="auto"/>
        <w:bottom w:val="none" w:sz="2" w:space="0" w:color="auto"/>
        <w:right w:val="none" w:sz="2" w:space="0" w:color="auto"/>
        <w:insideH w:val="none" w:sz="2" w:space="0" w:color="auto"/>
        <w:insideV w:val="none" w:sz="2" w:space="0" w:color="auto"/>
      </w:tblBorders>
      <w:tblCellMar>
        <w:top w:w="0" w:type="dxa"/>
        <w:left w:w="108" w:type="dxa"/>
        <w:bottom w:w="0" w:type="dxa"/>
        <w:right w:w="108" w:type="dxa"/>
      </w:tblCellMar>
    </w:tblPr>
    <w:trPr>
      <w:tblCellSpacing w:w="0" w:type="auto"/>
    </w:trPr>
  </w:style>
  <w:style w:type="character" w:styleId="EndnoteReference">
    <w:name w:val="endnote reference"/>
    <w:basedOn w:val="DefaultParagraphFont"/>
    <w:uiPriority w:val="99"/>
    <w:semiHidden/>
    <w:unhideWhenUsed/>
    <w:rsid w:val="00B34835"/>
    <w:rPr>
      <w:vertAlign w:val="superscript"/>
    </w:rPr>
  </w:style>
  <w:style w:type="character" w:styleId="Emphasis">
    <w:name w:val="Emphasis"/>
    <w:basedOn w:val="DefaultParagraphFont"/>
    <w:uiPriority w:val="20"/>
    <w:qFormat/>
    <w:rsid w:val="00B34835"/>
    <w:rPr>
      <w:i/>
      <w:iCs/>
    </w:rPr>
  </w:style>
  <w:style w:type="character" w:styleId="CommentReference">
    <w:name w:val="annotation reference"/>
    <w:basedOn w:val="DefaultParagraphFont"/>
    <w:uiPriority w:val="99"/>
    <w:semiHidden/>
    <w:unhideWhenUsed/>
    <w:rsid w:val="00647EC9"/>
    <w:rPr>
      <w:sz w:val="16"/>
      <w:szCs w:val="16"/>
    </w:rPr>
  </w:style>
  <w:style w:type="paragraph" w:styleId="CommentText">
    <w:name w:val="annotation text"/>
    <w:basedOn w:val="Normal"/>
    <w:link w:val="CommentTextChar"/>
    <w:uiPriority w:val="99"/>
    <w:semiHidden/>
    <w:unhideWhenUsed/>
    <w:rsid w:val="00647EC9"/>
    <w:pPr>
      <w:spacing w:line="240" w:lineRule="auto"/>
    </w:pPr>
  </w:style>
  <w:style w:type="character" w:customStyle="1" w:styleId="CommentTextChar">
    <w:name w:val="Comment Text Char"/>
    <w:basedOn w:val="DefaultParagraphFont"/>
    <w:link w:val="CommentText"/>
    <w:uiPriority w:val="99"/>
    <w:semiHidden/>
    <w:rsid w:val="00647EC9"/>
  </w:style>
  <w:style w:type="paragraph" w:styleId="CommentSubject">
    <w:name w:val="annotation subject"/>
    <w:basedOn w:val="CommentText"/>
    <w:next w:val="CommentText"/>
    <w:link w:val="CommentSubjectChar"/>
    <w:uiPriority w:val="99"/>
    <w:semiHidden/>
    <w:unhideWhenUsed/>
    <w:rsid w:val="00647EC9"/>
    <w:rPr>
      <w:b/>
      <w:bCs/>
    </w:rPr>
  </w:style>
  <w:style w:type="character" w:customStyle="1" w:styleId="CommentSubjectChar">
    <w:name w:val="Comment Subject Char"/>
    <w:basedOn w:val="CommentTextChar"/>
    <w:link w:val="CommentSubject"/>
    <w:uiPriority w:val="99"/>
    <w:semiHidden/>
    <w:rsid w:val="00647EC9"/>
    <w:rPr>
      <w:b/>
      <w:bCs/>
    </w:rPr>
  </w:style>
  <w:style w:type="character" w:customStyle="1" w:styleId="UnresolvedMention">
    <w:name w:val="Unresolved Mention"/>
    <w:basedOn w:val="DefaultParagraphFont"/>
    <w:uiPriority w:val="99"/>
    <w:semiHidden/>
    <w:unhideWhenUsed/>
    <w:rsid w:val="00647EC9"/>
    <w:rPr>
      <w:color w:val="605E5C"/>
      <w:shd w:val="clear" w:color="auto" w:fill="E1DFDD"/>
    </w:rPr>
  </w:style>
  <w:style w:type="paragraph" w:styleId="EndnoteText">
    <w:name w:val="endnote text"/>
    <w:basedOn w:val="Normal"/>
    <w:link w:val="EndnoteTextChar"/>
    <w:uiPriority w:val="99"/>
    <w:semiHidden/>
    <w:unhideWhenUsed/>
    <w:rsid w:val="00647EC9"/>
    <w:pPr>
      <w:spacing w:after="0" w:line="240" w:lineRule="auto"/>
    </w:pPr>
  </w:style>
  <w:style w:type="character" w:customStyle="1" w:styleId="EndnoteTextChar">
    <w:name w:val="Endnote Text Char"/>
    <w:basedOn w:val="DefaultParagraphFont"/>
    <w:link w:val="EndnoteText"/>
    <w:uiPriority w:val="99"/>
    <w:semiHidden/>
    <w:rsid w:val="0064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94197">
      <w:bodyDiv w:val="1"/>
      <w:marLeft w:val="0"/>
      <w:marRight w:val="0"/>
      <w:marTop w:val="0"/>
      <w:marBottom w:val="0"/>
      <w:divBdr>
        <w:top w:val="none" w:sz="0" w:space="0" w:color="auto"/>
        <w:left w:val="none" w:sz="0" w:space="0" w:color="auto"/>
        <w:bottom w:val="none" w:sz="0" w:space="0" w:color="auto"/>
        <w:right w:val="none" w:sz="0" w:space="0" w:color="auto"/>
      </w:divBdr>
    </w:div>
    <w:div w:id="614294197">
      <w:bodyDiv w:val="1"/>
      <w:marLeft w:val="0"/>
      <w:marRight w:val="0"/>
      <w:marTop w:val="0"/>
      <w:marBottom w:val="0"/>
      <w:divBdr>
        <w:top w:val="none" w:sz="0" w:space="0" w:color="auto"/>
        <w:left w:val="none" w:sz="0" w:space="0" w:color="auto"/>
        <w:bottom w:val="none" w:sz="0" w:space="0" w:color="auto"/>
        <w:right w:val="none" w:sz="0" w:space="0" w:color="auto"/>
      </w:divBdr>
    </w:div>
    <w:div w:id="1168977917">
      <w:bodyDiv w:val="1"/>
      <w:marLeft w:val="0"/>
      <w:marRight w:val="0"/>
      <w:marTop w:val="0"/>
      <w:marBottom w:val="0"/>
      <w:divBdr>
        <w:top w:val="none" w:sz="0" w:space="0" w:color="auto"/>
        <w:left w:val="none" w:sz="0" w:space="0" w:color="auto"/>
        <w:bottom w:val="none" w:sz="0" w:space="0" w:color="auto"/>
        <w:right w:val="none" w:sz="0" w:space="0" w:color="auto"/>
      </w:divBdr>
    </w:div>
    <w:div w:id="1698461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webSettings" Target="webSettings.xml"/><Relationship Id="rId26" Type="http://schemas.openxmlformats.org/officeDocument/2006/relationships/image" Target="media/image1.bin"/><Relationship Id="rId39" Type="http://schemas.openxmlformats.org/officeDocument/2006/relationships/hyperlink" Target="https://whatsapp.com/channel/0029Vb5JeMEKbYMR9yMMGP0e" TargetMode="External"/><Relationship Id="rId3" Type="http://schemas.openxmlformats.org/officeDocument/2006/relationships/customXml" Target="../customXml/item3.xml"/><Relationship Id="rId21" Type="http://schemas.openxmlformats.org/officeDocument/2006/relationships/hyperlink" Target="https://curia.europa.eu/juris/documents.jsf?num=C-163/24" TargetMode="External"/><Relationship Id="rId34" Type="http://schemas.openxmlformats.org/officeDocument/2006/relationships/image" Target="media/image5.bin"/><Relationship Id="rId42"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ettings" Target="settings.xml"/><Relationship Id="rId25" Type="http://schemas.openxmlformats.org/officeDocument/2006/relationships/hyperlink" Target="https://www.youtube.com/channel/UCTfyrAlsJRZF1nGLLgnDiMA" TargetMode="External"/><Relationship Id="rId33" Type="http://schemas.openxmlformats.org/officeDocument/2006/relationships/hyperlink" Target="https://www.threads.net/@eucourtofjustice" TargetMode="External"/><Relationship Id="rId38" Type="http://schemas.openxmlformats.org/officeDocument/2006/relationships/image" Target="media/image7.bin"/><Relationship Id="rId2" Type="http://schemas.openxmlformats.org/officeDocument/2006/relationships/customXml" Target="../customXml/item2.xml"/><Relationship Id="rId16" Type="http://schemas.openxmlformats.org/officeDocument/2006/relationships/styles" Target="styles.xml"/><Relationship Id="rId20" Type="http://schemas.openxmlformats.org/officeDocument/2006/relationships/endnotes" Target="endnotes.xml"/><Relationship Id="rId29" Type="http://schemas.openxmlformats.org/officeDocument/2006/relationships/hyperlink" Target="https://bsky.app/profile/eucourtofjustice.bsky.socia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s://audiovisual.ec.europa.eu/en/ebs/grid?ebs=yes&amp;ebsplus" TargetMode="External"/><Relationship Id="rId32" Type="http://schemas.openxmlformats.org/officeDocument/2006/relationships/image" Target="media/image4.bin"/><Relationship Id="rId37" Type="http://schemas.openxmlformats.org/officeDocument/2006/relationships/hyperlink" Target="https://twitter.com/eucourtpress" TargetMode="External"/><Relationship Id="rId40" Type="http://schemas.openxmlformats.org/officeDocument/2006/relationships/image" Target="media/image8.bin"/><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yperlink" Target="https://curia.europa.eu/site/jcms/d2_5159/fr/curia-web-tv" TargetMode="External"/><Relationship Id="rId28" Type="http://schemas.openxmlformats.org/officeDocument/2006/relationships/image" Target="media/image2.bin"/><Relationship Id="rId36" Type="http://schemas.openxmlformats.org/officeDocument/2006/relationships/image" Target="media/image6.bin"/><Relationship Id="rId10" Type="http://schemas.openxmlformats.org/officeDocument/2006/relationships/customXml" Target="../customXml/item10.xml"/><Relationship Id="rId19" Type="http://schemas.openxmlformats.org/officeDocument/2006/relationships/footnotes" Target="footnotes.xml"/><Relationship Id="rId31" Type="http://schemas.openxmlformats.org/officeDocument/2006/relationships/hyperlink" Target="https://www.instagram.com/eucourtofjustic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hyperlink" Target="https://curia.europa.eu/juris/documents.jsf?num=C-293/24" TargetMode="External"/><Relationship Id="rId27" Type="http://schemas.openxmlformats.org/officeDocument/2006/relationships/hyperlink" Target="https://www.linkedin.com/company/european-court-of-justice/" TargetMode="External"/><Relationship Id="rId30" Type="http://schemas.openxmlformats.org/officeDocument/2006/relationships/image" Target="media/image3.bin"/><Relationship Id="rId35" Type="http://schemas.openxmlformats.org/officeDocument/2006/relationships/hyperlink" Target="https://curia.social-network.europa.eu/@Curia/" TargetMode="External"/><Relationship Id="rId43"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curia.europa.eu/juris/documents.jsf?num=C-160/14" TargetMode="External"/><Relationship Id="rId2" Type="http://schemas.openxmlformats.org/officeDocument/2006/relationships/hyperlink" Target="http://data.europa.eu/eli/dir/1977/187/oj" TargetMode="External"/><Relationship Id="rId1" Type="http://schemas.openxmlformats.org/officeDocument/2006/relationships/hyperlink" Target="http://data.europa.eu/eli/reg/2004/796/oj" TargetMode="External"/><Relationship Id="rId4" Type="http://schemas.openxmlformats.org/officeDocument/2006/relationships/hyperlink" Target="https://curia.europa.eu/site/upload/docs/application/pdf/2015-09/cp150096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ValidationRuleDefinitions>
  <FormattingRuleDefinitions/>
  <BlockStyleRuleDefinitions>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DateTC_YBoCXDSiREG6sOy6ucHC+g==</string>
      </BlockIds>
      <AuthorizedParagraphStyleIds>
        <string>103_Date_Titre_C</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DateTC_3sCkQBSRy0+QM76sNrBIkQ==</string>
      </BlockIds>
      <AuthorizedParagraphStyleIds>
        <string>103_Date_C</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ccTag18</string>
      </BlockIds>
      <AuthorizedParagraphStyleIds>
        <string>Header</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ccTag16</string>
      </BlockIds>
      <AuthorizedParagraphStyleIds>
        <string>011_Footer</string>
      </AuthorizedParagraphStyleIds>
      <AuthorizedCharacterStyleIds>
        <string>Default Paragraph Font</string>
      </AuthorizedCharacterStyleIds>
      <CanOverrideStyle>false</CanOverrideStyle>
    </BlockStyleRuleDefinition>
    <BlockStyleRuleDefinition>
      <Identifier>0</Identifier>
      <GroupKey>blockstyle</GroupKey>
      <ValidationRuleWarningLevel>Error</ValidationRuleWarningLevel>
      <ValidationRuleShortDescription>BlockStyleValidation_short</ValidationRuleShortDescription>
      <ValidationRuleDescription>BlockStyleValidation</ValidationRuleDescription>
      <BlockIds>
        <string>ccTag17</string>
      </BlockIds>
      <AuthorizedParagraphStyleIds>
        <string>011_Footer</string>
      </AuthorizedParagraphStyleIds>
      <AuthorizedCharacterStyleIds>
        <string>Default Paragraph Font</string>
      </AuthorizedCharacterStyleIds>
      <CanOverrideStyle>false</CanOverrideStyle>
    </BlockStyleRuleDefinition>
  </BlockStyleRuleDefinitions>
</ValidationRuleDefinitions>
</file>

<file path=customXml/item10.xml><?xml version="1.0" encoding="utf-8"?>
<OriginalStyleDescriptions>
  <OriginalStyleDescription xmlns:xsd="http://www.w3.org/2001/XMLSchema" xmlns:xsi="http://www.w3.org/2001/XMLSchema-instance">
    <Name>000_Intitule</Name>
    <Description>Font: (Default) Open Sans, 12 pt, Left
    Line spacing:  single, Space
    After:  3 pt, Priority: 100</Description>
  </OriginalStyleDescription>
  <OriginalStyleDescription xmlns:xsd="http://www.w3.org/2001/XMLSchema" xmlns:xsi="http://www.w3.org/2001/XMLSchema-instance">
    <Name>001_Auteur</Name>
    <Description>Font: (Default) Open Sans, 12 pt, Font color: Custom Color(RGB(205;168;120)), All caps, Left
    Line spacing:  Exactly 15,5 pt, Space
    Before:  3 pt, Don't add space between paragraphs of the same style, Priority: 100</Description>
  </OriginalStyleDescription>
  <OriginalStyleDescription xmlns:xsd="http://www.w3.org/2001/XMLSchema" xmlns:xsi="http://www.w3.org/2001/XMLSchema-instance">
    <Name>002_ID</Name>
    <Description>Font: (Default) Open Sans, 14 pt, Bold, Font color: Custom Color(RGB(212;161;103)), Left
    Line spacing:  single, Space
    After:  3 pt, Priority: 100</Description>
  </OriginalStyleDescription>
  <OriginalStyleDescription xmlns:xsd="http://www.w3.org/2001/XMLSchema" xmlns:xsi="http://www.w3.org/2001/XMLSchema-instance">
    <Name>002_ID_Big</Name>
    <Description>Font: (Default) Open Sans, 24 pt, Font color: Custom Color(RGB(212;161;103)), Left
    Line spacing:  single, Priority: 100</Description>
  </OriginalStyleDescription>
  <OriginalStyleDescription xmlns:xsd="http://www.w3.org/2001/XMLSchema" xmlns:xsi="http://www.w3.org/2001/XMLSchema-instance">
    <Name>003_Date</Name>
    <Description>Font: (Default) Open Sans, 9,5 pt, Bold, Font color: White, Left
    Line spacing:  single, Space
    Before:  2,7 pt
    After:  3 pt, Priority: 100</Description>
  </OriginalStyleDescription>
  <OriginalStyleDescription xmlns:xsd="http://www.w3.org/2001/XMLSchema" xmlns:xsi="http://www.w3.org/2001/XMLSchema-instance">
    <Name>004_Objet</Name>
    <Description>Font: (Default) Open Sans, Left
    Line spacing:  Multiple 1,2 li, Space
    Before:  24 pt
    After:  12 pt, Priority: 100</Description>
  </OriginalStyleDescription>
  <OriginalStyleDescription xmlns:xsd="http://www.w3.org/2001/XMLSchema" xmlns:xsi="http://www.w3.org/2001/XMLSchema-instance">
    <Name>005_Titre</Name>
    <Description>Font: (Default) Open Sans, 13 pt, Bold, Font color: Custom Color(RGB(35;31;32)), Left
    Line spacing:  Multiple 1,1 li, Space
    After:  12 pt, Priority: 100</Description>
  </OriginalStyleDescription>
  <OriginalStyleDescription xmlns:xsd="http://www.w3.org/2001/XMLSchema" xmlns:xsi="http://www.w3.org/2001/XMLSchema-instance">
    <Name>006_SousTitre</Name>
    <Description>Font: (Default) Open Sans, Italic, Font color: Custom Color(RGB(35;31;32)), Left
    Line spacing:  Multiple 1,1 li, Space
    After:  12 pt, Priority: 100</Description>
  </OriginalStyleDescription>
  <OriginalStyleDescription xmlns:xsd="http://www.w3.org/2001/XMLSchema" xmlns:xsi="http://www.w3.org/2001/XMLSchema-instance">
    <Name>007_NomDesParties</Name>
    <Description>Font: (Default) Open Sans, Left
    Line spacing:  single, Priority: 100</Description>
  </OriginalStyleDescription>
  <OriginalStyleDescription xmlns:xsd="http://www.w3.org/2001/XMLSchema" xmlns:xsi="http://www.w3.org/2001/XMLSchema-instance">
    <Name>008_CorpsDuTexte</Name>
    <Description>Font: (Default) Open Sans, 9 pt, Font color: Custom Color(RGB(35;31;32)), Left
    Line spacing:  Multiple 1,14 li, Space
    Before:  8,6 pt, Priority: 100</Description>
  </OriginalStyleDescription>
  <OriginalStyleDescription xmlns:xsd="http://www.w3.org/2001/XMLSchema" xmlns:xsi="http://www.w3.org/2001/XMLSchema-instance">
    <Name>009_Boite</Name>
    <Description>Font: (Default) Open Sans, 9 pt, Font color: Custom Color(RGB(35;31;32)), Left
    Line spacing:  single, Space
    Before:  5 pt, Priority: 100</Description>
  </OriginalStyleDescription>
  <OriginalStyleDescription xmlns:xsd="http://www.w3.org/2001/XMLSchema" xmlns:xsi="http://www.w3.org/2001/XMLSchema-instance">
    <Name>011_Footer</Name>
    <Description>Font: (Default) Open Sans, 9 pt, Font color: Custom Color(RGB(65;64;66)), Left
    Line spacing:  Multiple 0,92 li, Priority: 100</Description>
  </OriginalStyleDescription>
  <OriginalStyleDescription xmlns:xsd="http://www.w3.org/2001/XMLSchema" xmlns:xsi="http://www.w3.org/2001/XMLSchema-instance">
    <Name>012_StayConnected</Name>
    <Description>Font: (Default) Open Sans SemiBold, 9 pt, Left
    Line spacing:  Multiple 1,14 li, Space
    Before:  6 pt
    After:  6 pt, Border:
    Top: (Single solid line, Custom Color(RGB(200;174;112)),  1 pt Line width, From text:  4 pt Border spacing: )
    Bottom: (Single solid line, Custom Color(RGB(200;174;112)),  1 pt Line width, From text:  4 pt Border spacing: )
    Left: (Single solid line, Custom Color(RGB(200;174;112)),  1 pt Line width)
    Right: (Single solid line, Custom Color(RGB(200;174;112)),  1 pt Line width), Priority: 100</Description>
  </OriginalStyleDescription>
  <OriginalStyleDescription xmlns:xsd="http://www.w3.org/2001/XMLSchema" xmlns:xsi="http://www.w3.org/2001/XMLSchema-instance">
    <Name>02_BoldCharacterStyle</Name>
    <Description>Font: Bold, Priority: 100</Description>
  </OriginalStyleDescription>
  <OriginalStyleDescription xmlns:xsd="http://www.w3.org/2001/XMLSchema" xmlns:xsi="http://www.w3.org/2001/XMLSchema-instance">
    <Name>102_ID</Name>
    <Description>Font: (Default) Open Sans, 14 pt, Font color: Custom Color(RGB(133;26;21)), Left
    Line spacing:  single, Priority: 100</Description>
  </OriginalStyleDescription>
  <OriginalStyleDescription xmlns:xsd="http://www.w3.org/2001/XMLSchema" xmlns:xsi="http://www.w3.org/2001/XMLSchema-instance">
    <Name>102_ID_C</Name>
    <Description>Font: (Default) Open Sans, 14 pt, Font color: Custom Color(RGB(133;26;21)), Left
    Line spacing:  single, Priority: 100</Description>
  </OriginalStyleDescription>
  <OriginalStyleDescription xmlns:xsd="http://www.w3.org/2001/XMLSchema" xmlns:xsi="http://www.w3.org/2001/XMLSchema-instance">
    <Name>102_ID_I</Name>
    <Description>Font: (Default) Open Sans, 14 pt, Font color: Custom Color(RGB(114;89;34)), Left
    Line spacing:  single, Priority: 100</Description>
  </OriginalStyleDescription>
  <OriginalStyleDescription xmlns:xsd="http://www.w3.org/2001/XMLSchema" xmlns:xsi="http://www.w3.org/2001/XMLSchema-instance">
    <Name>102_ID_T</Name>
    <Description>Font: (Default) Open Sans, 14 pt, Font color: Custom Color(RGB(62;81;110)), Left
    Line spacing:  single, Priority: 100</Description>
  </OriginalStyleDescription>
  <OriginalStyleDescription xmlns:xsd="http://www.w3.org/2001/XMLSchema" xmlns:xsi="http://www.w3.org/2001/XMLSchema-instance">
    <Name>103_Date_C</Name>
    <Description>Font: (Default) Open Sans, 9 pt, Font color: Custom Color(RGB(133;26;21)), Indent:
    Left:  0,08 cm, Left
    Line spacing:  single, Space
    Before:  6 pt
    After:  5 pt, Priority: 100</Description>
  </OriginalStyleDescription>
  <OriginalStyleDescription xmlns:xsd="http://www.w3.org/2001/XMLSchema" xmlns:xsi="http://www.w3.org/2001/XMLSchema-instance">
    <Name>103_Date_I</Name>
    <Description>Font: (Default) Open Sans, 9 pt, Font color: Custom Color(RGB(114;89;34)), Indent:
    Left:  0,08 cm, Left
    Line spacing:  single, Space
    Before:  6 pt
    After:  5 pt, Priority: 100</Description>
  </OriginalStyleDescription>
  <OriginalStyleDescription xmlns:xsd="http://www.w3.org/2001/XMLSchema" xmlns:xsi="http://www.w3.org/2001/XMLSchema-instance">
    <Name>103_Date_T</Name>
    <Description>Font: (Default) Open Sans, 9 pt, Font color: Custom Color(RGB(62;81;110)), Indent:
    Left:  0,08 cm, Left
    Line spacing:  single, Space
    Before:  6 pt
    After:  5 pt, Priority: 100</Description>
  </OriginalStyleDescription>
  <OriginalStyleDescription xmlns:xsd="http://www.w3.org/2001/XMLSchema" xmlns:xsi="http://www.w3.org/2001/XMLSchema-instance">
    <Name>103_Date_Titre_C</Name>
    <Description>Font: (Default) Open Sans, 11 pt, Font color: Custom Color(RGB(133;26;21)), Indent:
    Left:  0,08 cm, Left
    Line spacing:  single, Space
    Before:  2,7 pt, Priority: 100</Description>
  </OriginalStyleDescription>
  <OriginalStyleDescription xmlns:xsd="http://www.w3.org/2001/XMLSchema" xmlns:xsi="http://www.w3.org/2001/XMLSchema-instance">
    <Name>103_Date_Titre_I</Name>
    <Description>Font: (Default) Open Sans, 11 pt, Font color: Custom Color(RGB(114;89;34)), Indent:
    Left:  0,08 cm, Left
    Line spacing:  single, Space
    Before:  2,7 pt, Priority: 100</Description>
  </OriginalStyleDescription>
  <OriginalStyleDescription xmlns:xsd="http://www.w3.org/2001/XMLSchema" xmlns:xsi="http://www.w3.org/2001/XMLSchema-instance">
    <Name>103_Date_Titre_T</Name>
    <Description>Font: (Default) Open Sans, 11 pt, Font color: Custom Color(RGB(62;81;110)), Indent:
    Left:  0,08 cm, Left
    Line spacing:  single, Space
    Before:  2,7 pt, Priority: 100</Description>
  </OriginalStyleDescription>
  <OriginalStyleDescription xmlns:xsd="http://www.w3.org/2001/XMLSchema" xmlns:xsi="http://www.w3.org/2001/XMLSchema-instance">
    <Name>110_Rappel</Name>
    <Description>Font: (Default) Open Sans, 9 pt, Font color: Custom Color(RGB(35;31;32)), Left
    Line spacing:  Multiple 1,29 li, Space
    Before:  12 pt
    After:  12 pt, Border:
    Top: (Single solid line, Custom Color(RGB(209;211;212)),  1 pt Line width, From text:  4 pt Border spacing: )
    Bottom: (Single solid line, Custom Color(RGB(209;211;212)),  1 pt Line width, From text:  4 pt Border spacing: )
    Left: (Single solid line, Custom Color(RGB(209;211;212)),  1 pt Line width)
    Right: (Single solid line, Custom Color(RGB(209;211;212)),  1 pt Line width), Priority: 100</Description>
  </OriginalStyleDescription>
  <OriginalStyleDescription xmlns:xsd="http://www.w3.org/2001/XMLSchema" xmlns:xsi="http://www.w3.org/2001/XMLSchema-instance">
    <Name>50_Footnote_Nom_Fictif</Name>
    <Description>Font: 7,5 pt, Font color: Auto, Indent:
    Left:  0 cm
    Hanging:  0,25 cm, Justified
    Line spacing:  single, Space
    After:  15 pt, Priority: 100
    Based on: Footnote Text</Description>
  </OriginalStyleDescription>
  <OriginalStyleDescription xmlns:xsd="http://www.w3.org/2001/XMLSchema" xmlns:xsi="http://www.w3.org/2001/XMLSchema-instance">
    <Name>Footer</Name>
    <Description>Font: (Default) Times New Roman, 12,5 pt, Left
    Line spacing:  single, Widow/Orphan control
    Tab stops:  7,62 cm, Centered +  15,24 cm, Right, Priority: 100</Description>
  </OriginalStyleDescription>
  <OriginalStyleDescription xmlns:xsd="http://www.w3.org/2001/XMLSchema" xmlns:xsi="http://www.w3.org/2001/XMLSchema-instance">
    <Name>Footnote Reference</Name>
    <Description>Font: Not Bold, Not Italic, Font color: Auto, Superscript, Priority: 100</Description>
  </OriginalStyleDescription>
  <OriginalStyleDescription xmlns:xsd="http://www.w3.org/2001/XMLSchema" xmlns:xsi="http://www.w3.org/2001/XMLSchema-instance">
    <Name>Footnote Text</Name>
    <Description>Font: (Default) Open Sans, 7 pt, Font color: Custom Color(RGB(35;31;32)), Left
    Line spacing:  Multiple 1,2 li, Space
    After:  3 pt, Priority: 100</Description>
  </OriginalStyleDescription>
  <OriginalStyleDescription xmlns:xsd="http://www.w3.org/2001/XMLSchema" xmlns:xsi="http://www.w3.org/2001/XMLSchema-instance">
    <Name>Header</Name>
    <Description>Font: (Default) Open Sans, 11 pt, Left
    Line spacing:  single, Space
    After:  6 pt, Priority: 100</Description>
  </OriginalStyleDescription>
  <OriginalStyleDescription xmlns:xsd="http://www.w3.org/2001/XMLSchema" xmlns:xsi="http://www.w3.org/2001/XMLSchema-instance">
    <Name>Hyperlink</Name>
    <Description>Font: Not Bold, Not Italic, Underline, Underline color: Custom Color(RGB(32;94;158)), Font color: Custom Color(RGB(32;94;158)), Priority: 100</Description>
  </OriginalStyleDescription>
  <OriginalStyleDescription xmlns:xsd="http://www.w3.org/2001/XMLSchema" xmlns:xsi="http://www.w3.org/2001/XMLSchema-instance">
    <Name>TableNoBorder</Name>
    <Description>Font: (Default) Times New Roman, Left
    Line spacing:  Multiple 1,08 li, Space
    After:  8 pt, Widow/Orphan control</Description>
  </OriginalStyleDescription>
  <OriginalStyleDescription xmlns:xsd="http://www.w3.org/2001/XMLSchema" xmlns:xsi="http://www.w3.org/2001/XMLSchema-instance">
    <Name>WingdingsChar</Name>
    <Description>Font: (Default) Wingdings, 9 pt, Not Bold, Not Italic, Font color: Auto, Priority: 100</Description>
  </OriginalStyleDescription>
</OriginalStyleDescriptions>
</file>

<file path=customXml/item11.xml><?xml version="1.0" encoding="utf-8"?>
<template-info>
  <custom-properties type="Gendoc.Model.Application.LegalGenerationContext">
    <User>smojvta</User>
    <GenerationDate>31-08-26 15:27:16</GenerationDate>
    <GendocTemplateType>COM_PRESS</GendocTemplateType>
    <GendocTemplateSubType/>
    <GendocTemplateOptions>RP</GendocTemplateOptions>
    <Lang>hr-HR</Lang>
    <LangCode>hr</LangCode>
    <OriginalLang>hrvatski</OriginalLang>
    <OriginLangCode/>
    <Juridiction>C</Juridiction>
    <CaseNumber>163</CaseNumber>
    <CaseYear>24</CaseYear>
    <CaseNature>RP</CaseNature>
    <CaseNumberSuite>1</CaseNumberSuite>
    <ProcedureType>P</ProcedureType>
    <ProcedureNumber>1</ProcedureNumber>
    <EditionType>Final</EditionType>
    <ComPressId>CP20260831152716</ComPressId>
    <OrdonnanceMotivee/>
    <OrdonnanceType>0</OrdonnanceType>
    <TypeCase>ARRET</TypeCase>
    <TypeTrad/>
    <Institution>TFUE</Institution>
    <Article>267</Article>
    <NumeroDossier>0</NumeroDossier>
    <NumeroSuivi2>0</NumeroSuivi2>
    <DateDepotPiece/>
    <DatePublication/>
    <IsOrdPresidentChambre>False</IsOrdPresidentChambre>
    <IsGeneratedByService>False</IsGeneratedByService>
    <HasSpaceBeforeIndice>False</HasSpaceBeforeIndice>
    <HasSpaceBeforeNote>False</HasSpaceBeforeNote>
    <BoldIndice>False</BoldIndice>
    <DecNatParameters/>
    <IdPublication>-1</IdPublication>
    <MiniDocDataIndex>-1</MiniDocDataIndex>
    <AEMParameters/>
    <Environment>p</Environment>
    <Status>Brouillon</Status>
    <TemplateVersionId>9584</TemplateVersionId>
    <TemporaryStyles>False</TemporaryStyles>
    <StyleStatusId/>
    <NumDocForResume/>
    <GenricDatasourceConfiguation>System.Collections.Generic.List`1[GM.Data.Models.Business.GenDoc2.GenericDatasourceConfiguration]</GenricDatasourceConfiguation>
    <ManualJoins>System.Collections.Generic.List`1[GM.Data.Models.GenDoc2.Litige.LitigeAffaire]</ManualJoins>
    <ManualLinkedCases>System.Collections.Generic.List`1[GM.Data.Models.GenDoc2.Litige.LitigeAffaire]</ManualLinkedCases>
    <PublicationVersion>Normal</PublicationVersion>
    <Content/>
  </custom-properties>
  <document-classification>
    <AvailableLanguages>
      <lang>bg-BG</lang>
      <lang>sv-SE</lang>
      <lang>da-DK</lang>
      <lang>de-DE</lang>
      <lang>el-GR</lang>
      <lang>en-GB</lang>
      <lang>es-ES</lang>
      <lang>et-EE</lang>
      <lang>fi-FI</lang>
      <lang>fr-FR</lang>
      <lang>ga-IE</lang>
      <lang>hr-HR</lang>
      <lang>hu-HU</lang>
      <lang>it-IT</lang>
      <lang>lt-LT</lang>
      <lang>lv-LV</lang>
      <lang>mt-MT</lang>
      <lang>nl-NL</lang>
      <lang>pl-PL</lang>
      <lang>pt-PT</lang>
      <lang>ro-RO</lang>
      <lang>sk-SK</lang>
      <lang>sl-SI</lang>
      <lang>cs-CZ</lang>
    </AvailableLanguages>
    <DocumentType>COM_PRESS</DocumentType>
    <CustomEditionTypeConfigs>
      <EditionTypeConfig>
        <RelatedEditionType>Final</RelatedEditionType>
        <SpaceAfterMult>1</SpaceAfterMult>
        <SpaceBeforeMult>1</SpaceBeforeMult>
        <SpaceBetweenMult>1</SpaceBetweenMult>
        <SectionMarginsOverride>
          <Top>
            <Size>1440</Size>
            <Unit>Dxa</Unit>
          </Top>
          <Bottom>
            <Size>1440</Size>
            <Unit>Dxa</Unit>
          </Bottom>
          <Left>
            <Size>1080</Size>
            <Unit>Dxa</Unit>
          </Left>
          <Right>
            <Size>1080</Size>
            <Unit>Dxa</Unit>
          </Right>
          <Gutter>
            <Size>0</Size>
            <Unit>Points</Unit>
          </Gutter>
          <HeaderStart>
            <Size>720</Size>
            <Unit>Dxa</Unit>
          </HeaderStart>
          <FooterStart>
            <Size>720</Size>
            <Unit>Dxa</Unit>
          </FooterStart>
        </SectionMarginsOverride>
      </EditionTypeConfig>
    </CustomEditionTypeConfigs>
    <Organization>
      <EditionTypeConfigs>
        <EditionTypeConfig>
          <RelatedEditionType>Final</RelatedEditionType>
          <SpaceAfterMult>1</SpaceAfterMult>
          <SpaceBeforeMult>1</SpaceBeforeMult>
          <SpaceBetweenMult>1</SpaceBetweenMult>
          <SectionMarginsOverride>
            <Top>
              <Size>1701</Size>
              <Unit>Dxa</Unit>
            </Top>
            <Bottom>
              <Size>1644</Size>
              <Unit>Dxa</Unit>
            </Bottom>
            <Left>
              <Size>1871</Size>
              <Unit>Dxa</Unit>
            </Left>
            <Right>
              <Size>1758</Size>
              <Unit>Dxa</Unit>
            </Right>
            <Gutter>
              <Size>0</Size>
              <Unit>Points</Unit>
            </Gutter>
            <HeaderStart>
              <Size>35.4</Size>
              <Unit>Points</Unit>
            </HeaderStart>
            <FooterStart>
              <Size>35.4</Size>
              <Unit>Points</Unit>
            </FooterStart>
          </SectionMarginsOverride>
        </EditionTypeConfig>
        <EditionTypeConfig>
          <RelatedEditionType>Provisory</RelatedEditionType>
          <SpaceAfterMult>1</SpaceAfterMult>
          <SpaceBeforeMult>1</SpaceBeforeMult>
          <SpaceBetweenMult>1.5</SpaceBetweenMult>
          <SectionMarginsOverride>
            <Top>
              <Size>3402</Size>
              <Unit>Dxa</Unit>
            </Top>
            <Bottom>
              <Size>2155</Size>
              <Unit>Dxa</Unit>
            </Bottom>
            <Left>
              <Size>1815</Size>
              <Unit>Dxa</Unit>
            </Left>
            <Right>
              <Size>2835</Size>
              <Unit>Dxa</Unit>
            </Right>
            <Gutter>
              <Size>0</Size>
              <Unit>Points</Unit>
            </Gutter>
            <HeaderStart>
              <Size>2551</Size>
              <Unit>Dxa</Unit>
            </HeaderStart>
            <FooterStart>
              <Size>680</Size>
              <Unit>Dxa</Unit>
            </FooterStart>
          </SectionMarginsOverride>
        </EditionTypeConfig>
        <EditionTypeConfig>
          <RelatedEditionType>ProvisoryWithoutMargins</RelatedEditionType>
          <SpaceAfterMult>1</SpaceAfterMult>
          <SpaceBeforeMult>1</SpaceBeforeMult>
          <SpaceBetweenMult>1</SpaceBetweenMult>
          <SectionMarginsOverride>
            <Top>
              <Size>3402</Size>
              <Unit>Dxa</Unit>
            </Top>
            <Bottom>
              <Size>1644</Size>
              <Unit>Dxa</Unit>
            </Bottom>
            <Left>
              <Size>1871</Size>
              <Unit>Dxa</Unit>
            </Left>
            <Right>
              <Size>1758</Size>
              <Unit>Dxa</Unit>
            </Right>
            <Gutter>
              <Size>0</Size>
              <Unit>Points</Unit>
            </Gutter>
            <HeaderStart>
              <Size>2551</Size>
              <Unit>Dxa</Unit>
            </HeaderStart>
            <FooterStart>
              <Size>680</Size>
              <Unit>Dxa</Unit>
            </FooterStart>
          </SectionMarginsOverride>
        </EditionTypeConfig>
      </EditionTypeConfigs>
      <Code>C</Code>
    </Organization>
  </document-classification>
</template-info>
</file>

<file path=customXml/item12.xml><?xml version="1.0" encoding="utf-8"?>
<COM_PRESS_Rappels>
  <rappels>
    <rappel>{b}RAPPEL :{/b} Le renvoi préjudiciel permet aux juridictions des États membres, dans le cadre d’un litige dont elles sont saisies, d’interroger la Cour de justice de l’Union européenne sur l’interprétation du droit de l’Union ou sur la validité d’un acte de l’Union.</rappel>
    <rappel>Le Tribunal est compétent pour traiter les demandes de décision préjudicielle qui relèvent exclusivement 1)###NON_BREAKING_SPACE###du système commun de taxe sur la valeur ajoutée (TVA), 2)###NON_BREAKING_SPACE###des droits d’accise, 3)###NON_BREAKING_SPACE###du code des douanes, 4)###NON_BREAKING_SPACE###du classement tarifaire des marchandises dans la nomenclature combinée, 5)###NON_BREAKING_SPACE###de l’indemnisation et l’assistance des passagers en cas de refus d’embarquement ou de retard ou d’annulation de services de transport ou 6)###NON_BREAKING_SPACE###du système d’échange de quotas d’émission de gaz à effet de serre. La Cour de justice est compétente pour traiter toutes les autres demandes de décision préjudicielle.</rappel>
    <rappel>Ni la Cour ni le Tribunal ne tranchent le litige national. Il appartient à la juridiction nationale de résoudre l’affaire conformément à la décision de la Cour ou du Tribunal. Cette décision lie, de la même manière, les autres juridictions nationales qui seraient saisies d’un problème similaire.</rappel>
  </rappels>
</COM_PRESS_Rappels>
</file>

<file path=customXml/item13.xml><?xml version="1.0" encoding="utf-8"?>
<BackupStylesWithEffects>
  <w:styles xmlns:w="http://schemas.openxmlformats.org/wordprocessingml/2006/main">
    <w:docDefaults>
      <w:rPrDefault>
        <w:rPr>
          <w:lang w:val="hr-HR" w:eastAsia="hr-HR" w:bidi="hr-HR"/>
        </w:rPr>
      </w:rPrDefault>
    </w:docDefaults>
    <w:style w:type="character" w:styleId="FootnoteReference" w:default="false">
      <w:name w:val="Footnote Reference"/>
      <w:next w:val="Footnote Reference"/>
      <w:uiPriority w:val="99"/>
      <w:basedOn w:val="DefaultParagraphFont"/>
    </w:style>
    <w:style w:type="character" w:styleId="FootnoteReference" w:default="false">
      <w:name w:val="Footnote Reference"/>
      <w:next w:val="Footnote Reference"/>
      <w:uiPriority w:val="99"/>
      <w:basedOn w:val="DefaultParagraphFont"/>
      <w:rPr>
        <w:color w:val="auto"/>
        <w:b w:val="false"/>
        <w:bCs w:val="false"/>
        <w:i w:val="false"/>
        <w:iCs w:val="false"/>
        <w:vertAlign w:val="superscript"/>
      </w:rPr>
    </w:style>
    <w:style w:type="character" w:styleId="GendocOriginalFootnoteReference" w:default="false">
      <w:name w:val="Gendoc_Original_Footnote Reference"/>
      <w:next w:val="Gendoc_Original_Footnote Reference"/>
      <w:uiPriority w:val="99"/>
      <w:basedOn w:val="DefaultParagraphFont"/>
      <w:semiHidden/>
    </w:style>
    <w:style w:type="character" w:styleId="GendocOriginalFootnoteReference" w:default="false">
      <w:name w:val="Gendoc_Original_Footnote Reference"/>
      <w:next w:val="Gendoc_Original_Footnote Reference"/>
      <w:uiPriority w:val="99"/>
      <w:basedOn w:val="DefaultParagraphFont"/>
      <w:semiHidden/>
      <w:rPr>
        <w:color w:val="auto"/>
        <w:b w:val="false"/>
        <w:bCs w:val="false"/>
        <w:i w:val="false"/>
        <w:iCs w:val="false"/>
        <w:vertAlign w:val="superscript"/>
      </w:rPr>
    </w:style>
    <w:style w:type="character" w:styleId="Hyperlink" w:default="false">
      <w:name w:val="Hyperlink"/>
      <w:next w:val="Hyperlink"/>
      <w:uiPriority w:val="99"/>
      <w:basedOn w:val="DefaultParagraphFont"/>
    </w:style>
    <w:style w:type="character" w:styleId="Hyperlink" w:default="false">
      <w:name w:val="Hyperlink"/>
      <w:next w:val="Hyperlink"/>
      <w:uiPriority w:val="99"/>
      <w:basedOn w:val="DefaultParagraphFont"/>
      <w:rPr>
        <w:color w:val="205E9E"/>
        <w:b w:val="false"/>
        <w:bCs w:val="false"/>
        <w:i w:val="false"/>
        <w:iCs w:val="false"/>
        <w:u w:val="single" w:color="205E9E"/>
      </w:rPr>
    </w:style>
    <w:style w:type="character" w:styleId="GendocOriginalHyperlink" w:default="false">
      <w:name w:val="Gendoc_Original_Hyperlink"/>
      <w:next w:val="Gendoc_Original_Hyperlink"/>
      <w:uiPriority w:val="99"/>
      <w:basedOn w:val="DefaultParagraphFont"/>
      <w:semiHidden/>
    </w:style>
    <w:style w:type="character" w:styleId="GendocOriginalHyperlink" w:default="false">
      <w:name w:val="Gendoc_Original_Hyperlink"/>
      <w:next w:val="Gendoc_Original_Hyperlink"/>
      <w:uiPriority w:val="99"/>
      <w:basedOn w:val="DefaultParagraphFont"/>
      <w:semiHidden/>
      <w:rPr>
        <w:color w:val="205E9E"/>
        <w:b w:val="false"/>
        <w:bCs w:val="false"/>
        <w:i w:val="false"/>
        <w:iCs w:val="false"/>
        <w:u w:val="single" w:color="205E9E"/>
      </w:rPr>
    </w:style>
    <w:style w:type="character" w:styleId="WingdingsChar" w:default="false">
      <w:name w:val="WingdingsChar"/>
      <w:next w:val="WingdingsChar"/>
      <w:uiPriority w:val="99"/>
      <w:basedOn w:val="DefaultParagraphFont"/>
    </w:style>
    <w:style w:type="character" w:styleId="WingdingsChar" w:default="false">
      <w:name w:val="WingdingsChar"/>
      <w:next w:val="WingdingsChar"/>
      <w:uiPriority w:val="99"/>
      <w:basedOn w:val="DefaultParagraphFont"/>
      <w:rPr>
        <w:rFonts w:ascii="Wingdings" w:hAnsi="Wingdings" w:cs="Wingdings"/>
        <w:color w:val="auto"/>
        <w:sz w:val="18"/>
        <w:szCs w:val="17"/>
        <w:b w:val="false"/>
        <w:bCs w:val="false"/>
        <w:i w:val="false"/>
        <w:iCs w:val="false"/>
      </w:rPr>
    </w:style>
    <w:style w:type="character" w:styleId="GendocOriginalWingdingsChar" w:default="false">
      <w:name w:val="Gendoc_Original_WingdingsChar"/>
      <w:next w:val="Gendoc_Original_WingdingsChar"/>
      <w:uiPriority w:val="99"/>
      <w:basedOn w:val="DefaultParagraphFont"/>
      <w:semiHidden/>
    </w:style>
    <w:style w:type="character" w:styleId="GendocOriginalWingdingsChar" w:default="false">
      <w:name w:val="Gendoc_Original_WingdingsChar"/>
      <w:next w:val="Gendoc_Original_WingdingsChar"/>
      <w:uiPriority w:val="99"/>
      <w:basedOn w:val="DefaultParagraphFont"/>
      <w:semiHidden/>
      <w:rPr>
        <w:rFonts w:ascii="Wingdings" w:hAnsi="Wingdings" w:cs="Wingdings"/>
        <w:color w:val="auto"/>
        <w:sz w:val="18"/>
        <w:szCs w:val="17"/>
        <w:b w:val="false"/>
        <w:bCs w:val="false"/>
        <w:i w:val="false"/>
        <w:iCs w:val="false"/>
      </w:rPr>
    </w:style>
    <w:style w:type="character" w:styleId="02BoldCharacterStyle" w:default="false">
      <w:name w:val="02_BoldCharacterStyle"/>
      <w:next w:val="02_BoldCharacterStyle"/>
      <w:uiPriority w:val="99"/>
      <w:basedOn w:val="DefaultParagraphFont"/>
    </w:style>
    <w:style w:type="character" w:styleId="02BoldCharacterStyle" w:default="false">
      <w:name w:val="02_BoldCharacterStyle"/>
      <w:next w:val="02_BoldCharacterStyle"/>
      <w:uiPriority w:val="99"/>
      <w:basedOn w:val="DefaultParagraphFont"/>
      <w:rPr>
        <w:b w:val="true"/>
        <w:bCs w:val="true"/>
      </w:rPr>
    </w:style>
    <w:style w:type="character" w:styleId="GendocOriginal02BoldCharacterStyle" w:default="false">
      <w:name w:val="Gendoc_Original_02_BoldCharacterStyle"/>
      <w:next w:val="Gendoc_Original_02_BoldCharacterStyle"/>
      <w:uiPriority w:val="99"/>
      <w:basedOn w:val="DefaultParagraphFont"/>
      <w:semiHidden/>
    </w:style>
    <w:style w:type="character" w:styleId="GendocOriginal02BoldCharacterStyle" w:default="false">
      <w:name w:val="Gendoc_Original_02_BoldCharacterStyle"/>
      <w:next w:val="Gendoc_Original_02_BoldCharacterStyle"/>
      <w:uiPriority w:val="99"/>
      <w:basedOn w:val="DefaultParagraphFont"/>
      <w:semiHidden/>
      <w:rPr>
        <w:b w:val="true"/>
        <w:bCs w:val="true"/>
      </w:rPr>
    </w:style>
    <w:style w:type="paragraph" w:styleId="Footer" w:default="true">
      <w:name w:val="Footer"/>
      <w:next w:val="Footer"/>
      <w:uiPriority w:val="99"/>
      <w:basedOn w:val="Normal"/>
      <w:link w:val="Normal"/>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spacing w:before="0" w:after="0"/>
        <w:ind w:start="0" w:end="0"/>
        <w:jc w:val="left"/>
      </w:p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spacing w:before="0" w:after="0" w:line="240" w:lineRule="auto"/>
        <w:ind w:start="0" w:end="0"/>
        <w:jc w:val="left"/>
      </w:pPr>
    </w:style>
    <w:style w:type="paragraph" w:styleId="GendocOriginalFooter" w:default="false">
      <w:name w:val="Gendoc_Original_Footer"/>
      <w:next w:val="Footer"/>
      <w:uiPriority w:val="99"/>
      <w:basedOn w:val="Normal"/>
      <w:link w:val="Normal"/>
      <w:semiHidden/>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spacing w:before="0" w:after="0"/>
        <w:ind w:start="0" w:end="0"/>
        <w:jc w:val="left"/>
      </w:p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spacing w:before="0" w:after="0" w:line="240" w:lineRule="auto"/>
        <w:ind w:start="0" w:end="0"/>
        <w:jc w:val="left"/>
      </w:pPr>
    </w:style>
    <w:style w:type="paragraph" w:styleId="000Intitule" w:default="false">
      <w:name w:val="000_Intitule"/>
      <w:next w:val="000_Intitule"/>
      <w:uiPriority w:val="99"/>
      <w:basedOn w:val="Normal"/>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ind w:start="0" w:end="0"/>
        <w:jc w:val="left"/>
      </w:p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line="240" w:lineRule="auto"/>
        <w:ind w:start="0" w:end="0"/>
        <w:jc w:val="left"/>
      </w:pPr>
    </w:style>
    <w:style w:type="paragraph" w:styleId="GendocOriginal000Intitule" w:default="false">
      <w:name w:val="Gendoc_Original_000_Intitule"/>
      <w:next w:val="Gendoc_Original_000_Intitule"/>
      <w:uiPriority w:val="99"/>
      <w:basedOn w:val="Normal"/>
      <w:semiHidden/>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ind w:start="0" w:end="0"/>
        <w:jc w:val="left"/>
      </w:p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line="240" w:lineRule="auto"/>
        <w:ind w:start="0" w:end="0"/>
        <w:jc w:val="left"/>
      </w:pPr>
    </w:style>
    <w:style w:type="paragraph" w:styleId="001Auteur" w:default="false">
      <w:name w:val="001_Auteur"/>
      <w:next w:val="001_Auteur"/>
      <w:uiPriority w:val="99"/>
      <w:basedOn w:val="Normal"/>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ind w:start="0" w:end="0"/>
        <w:contextualSpacing w:val="true"/>
        <w:jc w:val="left"/>
      </w:p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pPr>
    </w:style>
    <w:style w:type="paragraph" w:styleId="GendocOriginal001Auteur" w:default="false">
      <w:name w:val="Gendoc_Original_001_Auteur"/>
      <w:next w:val="Gendoc_Original_001_Auteur"/>
      <w:uiPriority w:val="99"/>
      <w:basedOn w:val="Normal"/>
      <w:semiHidden/>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ind w:start="0" w:end="0"/>
        <w:contextualSpacing w:val="true"/>
        <w:jc w:val="left"/>
      </w:p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pPr>
    </w:style>
    <w:style w:type="paragraph" w:styleId="002ID" w:default="false">
      <w:name w:val="002_ID"/>
      <w:next w:val="002_ID"/>
      <w:uiPriority w:val="99"/>
      <w:basedOn w:val="Normal"/>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ind w:start="0" w:end="0"/>
        <w:jc w:val="left"/>
      </w:p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line="240" w:lineRule="auto"/>
        <w:ind w:start="0" w:end="0"/>
        <w:jc w:val="left"/>
      </w:pPr>
    </w:style>
    <w:style w:type="paragraph" w:styleId="GendocOriginal002ID" w:default="false">
      <w:name w:val="Gendoc_Original_002_ID"/>
      <w:next w:val="Gendoc_Original_002_ID"/>
      <w:uiPriority w:val="99"/>
      <w:basedOn w:val="Normal"/>
      <w:semiHidden/>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ind w:start="0" w:end="0"/>
        <w:jc w:val="left"/>
      </w:p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line="240" w:lineRule="auto"/>
        <w:ind w:start="0" w:end="0"/>
        <w:jc w:val="left"/>
      </w:pPr>
    </w:style>
    <w:style w:type="paragraph" w:styleId="003Date" w:default="false">
      <w:name w:val="003_Date"/>
      <w:next w:val="003_Date"/>
      <w:uiPriority w:val="99"/>
      <w:basedOn w:val="Normal"/>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ind w:start="0" w:end="0"/>
        <w:jc w:val="left"/>
      </w:p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line="240" w:lineRule="auto"/>
        <w:ind w:start="0" w:end="0"/>
        <w:jc w:val="left"/>
      </w:pPr>
    </w:style>
    <w:style w:type="paragraph" w:styleId="GendocOriginal003Date" w:default="false">
      <w:name w:val="Gendoc_Original_003_Date"/>
      <w:next w:val="Gendoc_Original_003_Date"/>
      <w:uiPriority w:val="99"/>
      <w:basedOn w:val="Normal"/>
      <w:semiHidden/>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ind w:start="0" w:end="0"/>
        <w:jc w:val="left"/>
      </w:p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line="240" w:lineRule="auto"/>
        <w:ind w:start="0" w:end="0"/>
        <w:jc w:val="left"/>
      </w:pPr>
    </w:style>
    <w:style w:type="paragraph" w:styleId="004Objet" w:default="false">
      <w:name w:val="004_Objet"/>
      <w:next w:val="004_Objet"/>
      <w:uiPriority w:val="99"/>
      <w:basedOn w:val="Normal"/>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ind w:start="0" w:end="0"/>
        <w:jc w:val="left"/>
      </w:p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line="288" w:lineRule="auto"/>
        <w:ind w:start="0" w:end="0"/>
        <w:jc w:val="left"/>
      </w:pPr>
    </w:style>
    <w:style w:type="paragraph" w:styleId="GendocOriginal004Objet" w:default="false">
      <w:name w:val="Gendoc_Original_004_Objet"/>
      <w:next w:val="Gendoc_Original_004_Objet"/>
      <w:uiPriority w:val="99"/>
      <w:basedOn w:val="Normal"/>
      <w:semiHidden/>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ind w:start="0" w:end="0"/>
        <w:jc w:val="left"/>
      </w:p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line="288" w:lineRule="auto"/>
        <w:ind w:start="0" w:end="0"/>
        <w:jc w:val="left"/>
      </w:pPr>
    </w:style>
    <w:style w:type="paragraph" w:styleId="005Titre" w:default="false">
      <w:name w:val="005_Titre"/>
      <w:next w:val="01PointnumeroteAltN"/>
      <w:uiPriority w:val="99"/>
      <w:basedOn w:val="Normal"/>
    </w:style>
    <w:style w:type="paragraph" w:styleId="005Titre" w:default="false">
      <w:name w:val="005_Titre"/>
      <w:next w:val="01PointnumeroteAltN"/>
      <w:uiPriority w:val="99"/>
      <w:basedOn w:val="Normal"/>
      <w:rPr>
        <w:rFonts w:ascii="Open Sans" w:hAnsi="Open Sans" w:cs="Open Sans"/>
        <w:color w:val="#231F20"/>
        <w:sz w:val="26"/>
        <w:szCs w:val="25"/>
        <w:b w:val="true"/>
        <w:bCs w:val="true"/>
        <w:i w:val="false"/>
        <w:iCs w:val="false"/>
      </w:rPr>
    </w:style>
    <w:style w:type="paragraph" w:styleId="005Titre" w:default="false">
      <w:name w:val="005_Titre"/>
      <w:next w:val="01PointnumeroteAltN"/>
      <w:uiPriority w:val="99"/>
      <w:basedOn w:val="Normal"/>
      <w:rPr>
        <w:rFonts w:ascii="Open Sans" w:hAnsi="Open Sans" w:cs="Open Sans"/>
        <w:color w:val="#231F20"/>
        <w:sz w:val="26"/>
        <w:szCs w:val="25"/>
        <w:b w:val="true"/>
        <w:bCs w:val="true"/>
        <w:i w:val="false"/>
        <w:iCs w:val="false"/>
      </w:rPr>
      <w:pPr>
        <w:spacing w:before="0" w:after="240"/>
        <w:ind w:start="0" w:end="0"/>
        <w:jc w:val="left"/>
      </w:pPr>
    </w:style>
    <w:style w:type="paragraph" w:styleId="005Titre" w:default="false">
      <w:name w:val="005_Titre"/>
      <w:next w:val="01PointnumeroteAltN"/>
      <w:uiPriority w:val="99"/>
      <w:basedOn w:val="Normal"/>
      <w:rPr>
        <w:rFonts w:ascii="Open Sans" w:hAnsi="Open Sans" w:cs="Open Sans"/>
        <w:color w:val="#231F20"/>
        <w:sz w:val="26"/>
        <w:szCs w:val="25"/>
        <w:b w:val="true"/>
        <w:bCs w:val="true"/>
        <w:i w:val="false"/>
        <w:iCs w:val="false"/>
      </w:rPr>
      <w:pPr>
        <w:spacing w:before="0" w:after="240" w:line="264" w:lineRule="auto"/>
        <w:ind w:start="0" w:end="0"/>
        <w:jc w:val="left"/>
      </w:pPr>
    </w:style>
    <w:style w:type="paragraph" w:styleId="GendocOriginal005Titre" w:default="false">
      <w:name w:val="Gendoc_Original_005_Titre"/>
      <w:next w:val="01PointnumeroteAltN"/>
      <w:uiPriority w:val="99"/>
      <w:basedOn w:val="Normal"/>
      <w:semiHidden/>
    </w:style>
    <w:style w:type="paragraph" w:styleId="GendocOriginal005Titre" w:default="false">
      <w:name w:val="Gendoc_Original_005_Titre"/>
      <w:next w:val="01PointnumeroteAltN"/>
      <w:uiPriority w:val="99"/>
      <w:basedOn w:val="Normal"/>
      <w:semiHidden/>
      <w:rPr>
        <w:rFonts w:ascii="Open Sans" w:hAnsi="Open Sans" w:cs="Open Sans"/>
        <w:color w:val="#231F20"/>
        <w:sz w:val="26"/>
        <w:szCs w:val="25"/>
        <w:b w:val="true"/>
        <w:bCs w:val="true"/>
        <w:i w:val="false"/>
        <w:iCs w:val="false"/>
      </w:rPr>
    </w:style>
    <w:style w:type="paragraph" w:styleId="GendocOriginal005Titre" w:default="false">
      <w:name w:val="Gendoc_Original_005_Titre"/>
      <w:next w:val="01PointnumeroteAltN"/>
      <w:uiPriority w:val="99"/>
      <w:basedOn w:val="Normal"/>
      <w:semiHidden/>
      <w:rPr>
        <w:rFonts w:ascii="Open Sans" w:hAnsi="Open Sans" w:cs="Open Sans"/>
        <w:color w:val="#231F20"/>
        <w:sz w:val="26"/>
        <w:szCs w:val="25"/>
        <w:b w:val="true"/>
        <w:bCs w:val="true"/>
        <w:i w:val="false"/>
        <w:iCs w:val="false"/>
      </w:rPr>
      <w:pPr>
        <w:spacing w:before="0" w:after="240"/>
        <w:ind w:start="0" w:end="0"/>
        <w:jc w:val="left"/>
      </w:pPr>
    </w:style>
    <w:style w:type="paragraph" w:styleId="GendocOriginal005Titre" w:default="false">
      <w:name w:val="Gendoc_Original_005_Titre"/>
      <w:next w:val="01PointnumeroteAltN"/>
      <w:uiPriority w:val="99"/>
      <w:basedOn w:val="Normal"/>
      <w:semiHidden/>
      <w:rPr>
        <w:rFonts w:ascii="Open Sans" w:hAnsi="Open Sans" w:cs="Open Sans"/>
        <w:color w:val="#231F20"/>
        <w:sz w:val="26"/>
        <w:szCs w:val="25"/>
        <w:b w:val="true"/>
        <w:bCs w:val="true"/>
        <w:i w:val="false"/>
        <w:iCs w:val="false"/>
      </w:rPr>
      <w:pPr>
        <w:spacing w:before="0" w:after="240" w:line="264" w:lineRule="auto"/>
        <w:ind w:start="0" w:end="0"/>
        <w:jc w:val="left"/>
      </w:pPr>
    </w:style>
    <w:style w:type="paragraph" w:styleId="006SousTitre" w:default="false">
      <w:name w:val="006_SousTitre"/>
      <w:next w:val="01PointnumeroteAltN"/>
      <w:uiPriority w:val="99"/>
      <w:basedOn w:val="Normal"/>
    </w:style>
    <w:style w:type="paragraph" w:styleId="006SousTitre" w:default="false">
      <w:name w:val="006_SousTitre"/>
      <w:next w:val="01PointnumeroteAltN"/>
      <w:uiPriority w:val="99"/>
      <w:basedOn w:val="Normal"/>
      <w:rPr>
        <w:rFonts w:ascii="Open Sans" w:hAnsi="Open Sans" w:cs="Open Sans"/>
        <w:color w:val="#231F20"/>
        <w:sz w:val="20"/>
        <w:szCs w:val="19"/>
        <w:b w:val="false"/>
        <w:bCs w:val="false"/>
        <w:i w:val="true"/>
        <w:iCs w:val="true"/>
      </w:rPr>
    </w:style>
    <w:style w:type="paragraph" w:styleId="006SousTitre" w:default="false">
      <w:name w:val="006_SousTitre"/>
      <w:next w:val="01PointnumeroteAltN"/>
      <w:uiPriority w:val="99"/>
      <w:basedOn w:val="Normal"/>
      <w:rPr>
        <w:rFonts w:ascii="Open Sans" w:hAnsi="Open Sans" w:cs="Open Sans"/>
        <w:color w:val="#231F20"/>
        <w:sz w:val="20"/>
        <w:szCs w:val="19"/>
        <w:b w:val="false"/>
        <w:bCs w:val="false"/>
        <w:i w:val="true"/>
        <w:iCs w:val="true"/>
      </w:rPr>
      <w:pPr>
        <w:spacing w:before="0" w:after="240"/>
        <w:ind w:start="0" w:end="0"/>
        <w:jc w:val="left"/>
      </w:pPr>
    </w:style>
    <w:style w:type="paragraph" w:styleId="006SousTitre" w:default="false">
      <w:name w:val="006_SousTitre"/>
      <w:next w:val="01PointnumeroteAltN"/>
      <w:uiPriority w:val="99"/>
      <w:basedOn w:val="Normal"/>
      <w:rPr>
        <w:rFonts w:ascii="Open Sans" w:hAnsi="Open Sans" w:cs="Open Sans"/>
        <w:color w:val="#231F20"/>
        <w:sz w:val="20"/>
        <w:szCs w:val="19"/>
        <w:b w:val="false"/>
        <w:bCs w:val="false"/>
        <w:i w:val="true"/>
        <w:iCs w:val="true"/>
      </w:rPr>
      <w:pPr>
        <w:spacing w:before="0" w:after="240" w:line="264" w:lineRule="auto"/>
        <w:ind w:start="0" w:end="0"/>
        <w:jc w:val="left"/>
      </w:pPr>
    </w:style>
    <w:style w:type="paragraph" w:styleId="GendocOriginal006SousTitre" w:default="false">
      <w:name w:val="Gendoc_Original_006_SousTitre"/>
      <w:next w:val="01PointnumeroteAltN"/>
      <w:uiPriority w:val="99"/>
      <w:basedOn w:val="Normal"/>
      <w:semiHidden/>
    </w:style>
    <w:style w:type="paragraph" w:styleId="GendocOriginal006SousTitre" w:default="false">
      <w:name w:val="Gendoc_Original_006_SousTitre"/>
      <w:next w:val="01PointnumeroteAltN"/>
      <w:uiPriority w:val="99"/>
      <w:basedOn w:val="Normal"/>
      <w:semiHidden/>
      <w:rPr>
        <w:rFonts w:ascii="Open Sans" w:hAnsi="Open Sans" w:cs="Open Sans"/>
        <w:color w:val="#231F20"/>
        <w:sz w:val="20"/>
        <w:szCs w:val="19"/>
        <w:b w:val="false"/>
        <w:bCs w:val="false"/>
        <w:i w:val="true"/>
        <w:iCs w:val="true"/>
      </w:rPr>
    </w:style>
    <w:style w:type="paragraph" w:styleId="GendocOriginal006SousTitre" w:default="false">
      <w:name w:val="Gendoc_Original_006_SousTitre"/>
      <w:next w:val="01PointnumeroteAltN"/>
      <w:uiPriority w:val="99"/>
      <w:basedOn w:val="Normal"/>
      <w:semiHidden/>
      <w:rPr>
        <w:rFonts w:ascii="Open Sans" w:hAnsi="Open Sans" w:cs="Open Sans"/>
        <w:color w:val="#231F20"/>
        <w:sz w:val="20"/>
        <w:szCs w:val="19"/>
        <w:b w:val="false"/>
        <w:bCs w:val="false"/>
        <w:i w:val="true"/>
        <w:iCs w:val="true"/>
      </w:rPr>
      <w:pPr>
        <w:spacing w:before="0" w:after="240"/>
        <w:ind w:start="0" w:end="0"/>
        <w:jc w:val="left"/>
      </w:pPr>
    </w:style>
    <w:style w:type="paragraph" w:styleId="GendocOriginal006SousTitre" w:default="false">
      <w:name w:val="Gendoc_Original_006_SousTitre"/>
      <w:next w:val="01PointnumeroteAltN"/>
      <w:uiPriority w:val="99"/>
      <w:basedOn w:val="Normal"/>
      <w:semiHidden/>
      <w:rPr>
        <w:rFonts w:ascii="Open Sans" w:hAnsi="Open Sans" w:cs="Open Sans"/>
        <w:color w:val="#231F20"/>
        <w:sz w:val="20"/>
        <w:szCs w:val="19"/>
        <w:b w:val="false"/>
        <w:bCs w:val="false"/>
        <w:i w:val="true"/>
        <w:iCs w:val="true"/>
      </w:rPr>
      <w:pPr>
        <w:spacing w:before="0" w:after="240" w:line="264" w:lineRule="auto"/>
        <w:ind w:start="0" w:end="0"/>
        <w:jc w:val="left"/>
      </w:pPr>
    </w:style>
    <w:style w:type="paragraph" w:styleId="007NomDesParties" w:default="false">
      <w:name w:val="007_NomDesParties"/>
      <w:next w:val="007_NomDesParties"/>
      <w:uiPriority w:val="99"/>
      <w:basedOn w:val="Normal"/>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ind w:start="0" w:end="0"/>
        <w:jc w:val="left"/>
      </w:p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line="240" w:lineRule="auto"/>
        <w:ind w:start="0" w:end="0"/>
        <w:jc w:val="left"/>
      </w:pPr>
    </w:style>
    <w:style w:type="paragraph" w:styleId="GendocOriginal007NomDesParties" w:default="false">
      <w:name w:val="Gendoc_Original_007_NomDesParties"/>
      <w:next w:val="Gendoc_Original_007_NomDesParties"/>
      <w:uiPriority w:val="99"/>
      <w:basedOn w:val="Normal"/>
      <w:semiHidden/>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ind w:start="0" w:end="0"/>
        <w:jc w:val="left"/>
      </w:p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line="240" w:lineRule="auto"/>
        <w:ind w:start="0" w:end="0"/>
        <w:jc w:val="left"/>
      </w:pPr>
    </w:style>
    <w:style w:type="paragraph" w:styleId="008CorpsDuTexte" w:default="false">
      <w:name w:val="008_CorpsDuTexte"/>
      <w:next w:val="008_CorpsDuTexte"/>
      <w:uiPriority w:val="99"/>
      <w:basedOn w:val="Normal"/>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ind w:start="0" w:end="0"/>
        <w:jc w:val="left"/>
      </w:p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line="274" w:lineRule="auto"/>
        <w:ind w:start="0" w:end="0"/>
        <w:jc w:val="left"/>
      </w:pPr>
    </w:style>
    <w:style w:type="paragraph" w:styleId="GendocOriginal008CorpsDuTexte" w:default="false">
      <w:name w:val="Gendoc_Original_008_CorpsDuTexte"/>
      <w:next w:val="Gendoc_Original_008_CorpsDuTexte"/>
      <w:uiPriority w:val="99"/>
      <w:basedOn w:val="Normal"/>
      <w:semiHidden/>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ind w:start="0" w:end="0"/>
        <w:jc w:val="left"/>
      </w:p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line="274" w:lineRule="auto"/>
        <w:ind w:start="0" w:end="0"/>
        <w:jc w:val="left"/>
      </w:pPr>
    </w:style>
    <w:style w:type="paragraph" w:styleId="009Boite" w:default="false">
      <w:name w:val="009_Boite"/>
      <w:next w:val="009_Boite"/>
      <w:uiPriority w:val="99"/>
      <w:basedOn w:val="Normal"/>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ind w:start="0" w:end="0"/>
        <w:jc w:val="left"/>
      </w:p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line="240" w:lineRule="auto"/>
        <w:ind w:start="0" w:end="0"/>
        <w:jc w:val="left"/>
      </w:pPr>
    </w:style>
    <w:style w:type="paragraph" w:styleId="GendocOriginal009Boite" w:default="false">
      <w:name w:val="Gendoc_Original_009_Boite"/>
      <w:next w:val="Gendoc_Original_009_Boite"/>
      <w:uiPriority w:val="99"/>
      <w:basedOn w:val="Normal"/>
      <w:semiHidden/>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ind w:start="0" w:end="0"/>
        <w:jc w:val="left"/>
      </w:p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line="240" w:lineRule="auto"/>
        <w:ind w:start="0" w:end="0"/>
        <w:jc w:val="left"/>
      </w:pPr>
    </w:style>
    <w:style w:type="paragraph" w:styleId="110Rappel" w:default="false">
      <w:name w:val="110_Rappel"/>
      <w:next w:val="110_Rappel"/>
      <w:uiPriority w:val="99"/>
      <w:basedOn w:val="Normal"/>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ind w:start="0" w:end="0"/>
        <w:jc w:val="left"/>
      </w:p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pPr>
    </w:style>
    <w:style w:type="paragraph" w:styleId="GendocOriginal110Rappel" w:default="false">
      <w:name w:val="Gendoc_Original_110_Rappel"/>
      <w:next w:val="Gendoc_Original_110_Rappel"/>
      <w:uiPriority w:val="99"/>
      <w:basedOn w:val="Normal"/>
      <w:semiHidden/>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ind w:start="0" w:end="0"/>
        <w:jc w:val="left"/>
      </w:p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pPr>
    </w:style>
    <w:style w:type="paragraph" w:styleId="Header" w:default="false">
      <w:name w:val="Header"/>
      <w:next w:val="Header"/>
      <w:uiPriority w:val="99"/>
      <w:basedOn w:val="Normal"/>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ind w:start="0" w:end="0"/>
        <w:jc w:val="left"/>
      </w:p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line="240" w:lineRule="auto"/>
        <w:ind w:start="0" w:end="0"/>
        <w:jc w:val="left"/>
      </w:pPr>
    </w:style>
    <w:style w:type="paragraph" w:styleId="GendocOriginalHeader" w:default="false">
      <w:name w:val="Gendoc_Original_Header"/>
      <w:next w:val="Gendoc_Original_Header"/>
      <w:uiPriority w:val="99"/>
      <w:basedOn w:val="Normal"/>
      <w:semiHidden/>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ind w:start="0" w:end="0"/>
        <w:jc w:val="left"/>
      </w:p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line="240" w:lineRule="auto"/>
        <w:ind w:start="0" w:end="0"/>
        <w:jc w:val="left"/>
      </w:pPr>
    </w:style>
    <w:style w:type="paragraph" w:styleId="002IDBig" w:default="false">
      <w:name w:val="002_ID_Big"/>
      <w:next w:val="002_ID_Big"/>
      <w:uiPriority w:val="99"/>
      <w:basedOn w:val="Normal"/>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ind w:start="0" w:end="0"/>
        <w:jc w:val="left"/>
      </w:p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line="240" w:lineRule="auto"/>
        <w:ind w:start="0" w:end="0"/>
        <w:jc w:val="left"/>
      </w:pPr>
    </w:style>
    <w:style w:type="paragraph" w:styleId="GendocOriginal002IDBig" w:default="false">
      <w:name w:val="Gendoc_Original_002_ID_Big"/>
      <w:next w:val="Gendoc_Original_002_ID_Big"/>
      <w:uiPriority w:val="99"/>
      <w:basedOn w:val="Normal"/>
      <w:semiHidden/>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ind w:start="0" w:end="0"/>
        <w:jc w:val="left"/>
      </w:p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line="240" w:lineRule="auto"/>
        <w:ind w:start="0" w:end="0"/>
        <w:jc w:val="left"/>
      </w:pPr>
    </w:style>
    <w:style w:type="paragraph" w:styleId="Bodytext" w:default="false">
      <w:name w:val="Body text"/>
      <w:next w:val="Body text"/>
      <w:uiPriority w:val="99"/>
      <w:basedOn w:val="Normal"/>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ind w:start="0" w:end="0"/>
        <w:jc w:val="left"/>
      </w:p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line="240" w:lineRule="auto"/>
        <w:ind w:start="0" w:end="0"/>
        <w:jc w:val="left"/>
      </w:pPr>
    </w:style>
    <w:style w:type="paragraph" w:styleId="GendocOriginalBodytext" w:default="false">
      <w:name w:val="Gendoc_Original_Body text"/>
      <w:next w:val="Gendoc_Original_Body text"/>
      <w:uiPriority w:val="99"/>
      <w:basedOn w:val="Normal"/>
      <w:semiHidden/>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ind w:start="0" w:end="0"/>
        <w:jc w:val="left"/>
      </w:p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line="240" w:lineRule="auto"/>
        <w:ind w:start="0" w:end="0"/>
        <w:jc w:val="left"/>
      </w:pPr>
    </w:style>
    <w:style w:type="paragraph" w:styleId="012StayConnected" w:default="false">
      <w:name w:val="012_StayConnected"/>
      <w:next w:val="012_StayConnected"/>
      <w:uiPriority w:val="99"/>
      <w:basedOn w:val="Normal"/>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ind w:start="0" w:end="0"/>
        <w:jc w:val="left"/>
      </w:p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pPr>
    </w:style>
    <w:style w:type="paragraph" w:styleId="GendocOriginal012StayConnected" w:default="false">
      <w:name w:val="Gendoc_Original_012_StayConnected"/>
      <w:next w:val="Gendoc_Original_012_StayConnected"/>
      <w:uiPriority w:val="99"/>
      <w:basedOn w:val="Normal"/>
      <w:semiHidden/>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ind w:start="0" w:end="0"/>
        <w:jc w:val="left"/>
      </w:p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pPr>
    </w:style>
    <w:style w:type="paragraph" w:styleId="50FootnoteNomFictif" w:default="false">
      <w:name w:val="50_Footnote_Nom_Fictif"/>
      <w:next w:val="50FootnoteNomFictif"/>
      <w:uiPriority w:val="99"/>
      <w:basedOn w:val="FootnoteText"/>
      <w:link w:val="Normal"/>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ind w:start="142" w:end="0"/>
        <w:jc w:val="both"/>
      </w:p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line="240" w:lineRule="auto"/>
        <w:ind w:start="142" w:end="0"/>
        <w:jc w:val="both"/>
      </w:pPr>
    </w:style>
    <w:style w:type="paragraph" w:styleId="GendocOriginal50FootnoteNomFictif" w:default="false">
      <w:name w:val="Gendoc_Original_50_Footnote_Nom_Fictif"/>
      <w:next w:val="50FootnoteNomFictif"/>
      <w:uiPriority w:val="99"/>
      <w:basedOn w:val="FootnoteText"/>
      <w:link w:val="Normal"/>
      <w:semiHidden/>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ind w:start="142" w:end="0"/>
        <w:jc w:val="both"/>
      </w:p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line="240" w:lineRule="auto"/>
        <w:ind w:start="142" w:end="0"/>
        <w:jc w:val="both"/>
      </w:pPr>
    </w:style>
    <w:style w:type="paragraph" w:styleId="FootnoteText" w:default="false">
      <w:name w:val="Footnote Text"/>
      <w:next w:val="Footnote Text"/>
      <w:uiPriority w:val="99"/>
      <w:basedOn w:val="Normal"/>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ind w:start="0" w:end="0"/>
        <w:jc w:val="left"/>
      </w:p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line="288" w:lineRule="auto"/>
        <w:ind w:start="0" w:end="0"/>
        <w:jc w:val="left"/>
      </w:pPr>
    </w:style>
    <w:style w:type="paragraph" w:styleId="GendocOriginalFootnoteText" w:default="false">
      <w:name w:val="Gendoc_Original_Footnote Text"/>
      <w:next w:val="Gendoc_Original_Footnote Text"/>
      <w:uiPriority w:val="99"/>
      <w:basedOn w:val="Normal"/>
      <w:semiHidden/>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ind w:start="0" w:end="0"/>
        <w:jc w:val="left"/>
      </w:p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line="288" w:lineRule="auto"/>
        <w:ind w:start="0" w:end="0"/>
        <w:jc w:val="left"/>
      </w:pPr>
    </w:style>
    <w:style w:type="paragraph" w:styleId="011Footer" w:default="false">
      <w:name w:val="011_Footer"/>
      <w:next w:val="011_Footer"/>
      <w:uiPriority w:val="99"/>
      <w:basedOn w:val="Normal"/>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ind w:start="0" w:end="0"/>
        <w:jc w:val="left"/>
      </w:p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line="221" w:lineRule="auto"/>
        <w:ind w:start="0" w:end="0"/>
        <w:jc w:val="left"/>
      </w:pPr>
    </w:style>
    <w:style w:type="paragraph" w:styleId="GendocOriginal011Footer" w:default="false">
      <w:name w:val="Gendoc_Original_011_Footer"/>
      <w:next w:val="Gendoc_Original_011_Footer"/>
      <w:uiPriority w:val="99"/>
      <w:basedOn w:val="Normal"/>
      <w:semiHidden/>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ind w:start="0" w:end="0"/>
        <w:jc w:val="left"/>
      </w:p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line="221" w:lineRule="auto"/>
        <w:ind w:start="0" w:end="0"/>
        <w:jc w:val="left"/>
      </w:pPr>
    </w:style>
    <w:style w:type="paragraph" w:styleId="102ID" w:default="false">
      <w:name w:val="102_ID"/>
      <w:next w:val="102_ID"/>
      <w:uiPriority w:val="99"/>
      <w:basedOn w:val="Normal"/>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ind w:start="0" w:end="0"/>
        <w:jc w:val="left"/>
      </w:p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GendocOriginal102ID" w:default="false">
      <w:name w:val="Gendoc_Original_102_ID"/>
      <w:next w:val="Gendoc_Original_102_ID"/>
      <w:uiPriority w:val="99"/>
      <w:basedOn w:val="Normal"/>
      <w:semiHidden/>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ind w:start="0" w:end="0"/>
        <w:jc w:val="left"/>
      </w:p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102IDC" w:default="false">
      <w:name w:val="102_ID_C"/>
      <w:next w:val="102_ID_C"/>
      <w:uiPriority w:val="99"/>
      <w:basedOn w:val="Normal"/>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ind w:start="0" w:end="0"/>
        <w:jc w:val="left"/>
      </w:p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GendocOriginal102IDC" w:default="false">
      <w:name w:val="Gendoc_Original_102_ID_C"/>
      <w:next w:val="Gendoc_Original_102_ID_C"/>
      <w:uiPriority w:val="99"/>
      <w:basedOn w:val="Normal"/>
      <w:semiHidden/>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ind w:start="0" w:end="0"/>
        <w:jc w:val="left"/>
      </w:p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pPr>
    </w:style>
    <w:style w:type="paragraph" w:styleId="103DateC" w:default="false">
      <w:name w:val="103_Date_C"/>
      <w:next w:val="103_Date_C"/>
      <w:uiPriority w:val="99"/>
      <w:basedOn w:val="Normal"/>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ind w:start="45" w:end="0"/>
        <w:jc w:val="left"/>
      </w:p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line="240" w:lineRule="auto"/>
        <w:ind w:start="45" w:end="0"/>
        <w:jc w:val="left"/>
      </w:pPr>
    </w:style>
    <w:style w:type="paragraph" w:styleId="GendocOriginal103DateC" w:default="false">
      <w:name w:val="Gendoc_Original_103_Date_C"/>
      <w:next w:val="Gendoc_Original_103_Date_C"/>
      <w:uiPriority w:val="99"/>
      <w:basedOn w:val="Normal"/>
      <w:semiHidden/>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ind w:start="45" w:end="0"/>
        <w:jc w:val="left"/>
      </w:p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line="240" w:lineRule="auto"/>
        <w:ind w:start="45" w:end="0"/>
        <w:jc w:val="left"/>
      </w:pPr>
    </w:style>
    <w:style w:type="paragraph" w:styleId="103DateTitreC" w:default="false">
      <w:name w:val="103_Date_Titre_C"/>
      <w:next w:val="01PointnumeroteAltN"/>
      <w:uiPriority w:val="99"/>
      <w:basedOn w:val="Normal"/>
    </w:style>
    <w:style w:type="paragraph" w:styleId="103DateTitreC" w:default="false">
      <w:name w:val="103_Date_Titre_C"/>
      <w:next w:val="01PointnumeroteAltN"/>
      <w:uiPriority w:val="99"/>
      <w:basedOn w:val="Normal"/>
      <w:rPr>
        <w:rFonts w:ascii="Open Sans" w:hAnsi="Open Sans" w:cs="Open Sans"/>
        <w:color w:val="#851A15"/>
        <w:sz w:val="22"/>
        <w:szCs w:val="21"/>
        <w:b w:val="false"/>
        <w:bCs w:val="false"/>
        <w:i w:val="false"/>
        <w:iCs w:val="false"/>
      </w:rPr>
    </w:style>
    <w:style w:type="paragraph" w:styleId="103DateTitreC" w:default="false">
      <w:name w:val="103_Date_Titre_C"/>
      <w:next w:val="01PointnumeroteAltN"/>
      <w:uiPriority w:val="99"/>
      <w:basedOn w:val="Normal"/>
      <w:rPr>
        <w:rFonts w:ascii="Open Sans" w:hAnsi="Open Sans" w:cs="Open Sans"/>
        <w:color w:val="#851A15"/>
        <w:sz w:val="22"/>
        <w:szCs w:val="21"/>
        <w:b w:val="false"/>
        <w:bCs w:val="false"/>
        <w:i w:val="false"/>
        <w:iCs w:val="false"/>
      </w:rPr>
      <w:pPr>
        <w:spacing w:before="54" w:after="0"/>
        <w:ind w:start="45" w:end="0"/>
        <w:jc w:val="left"/>
      </w:pPr>
    </w:style>
    <w:style w:type="paragraph" w:styleId="103DateTitreC" w:default="false">
      <w:name w:val="103_Date_Titre_C"/>
      <w:next w:val="01PointnumeroteAltN"/>
      <w:uiPriority w:val="99"/>
      <w:basedOn w:val="Normal"/>
      <w:rPr>
        <w:rFonts w:ascii="Open Sans" w:hAnsi="Open Sans" w:cs="Open Sans"/>
        <w:color w:val="#851A15"/>
        <w:sz w:val="22"/>
        <w:szCs w:val="21"/>
        <w:b w:val="false"/>
        <w:bCs w:val="false"/>
        <w:i w:val="false"/>
        <w:iCs w:val="false"/>
      </w:rPr>
      <w:pPr>
        <w:spacing w:before="54" w:after="0" w:line="240" w:lineRule="auto"/>
        <w:ind w:start="45" w:end="0"/>
        <w:jc w:val="left"/>
      </w:pPr>
    </w:style>
    <w:style w:type="paragraph" w:styleId="GendocOriginal103DateTitreC" w:default="false">
      <w:name w:val="Gendoc_Original_103_Date_Titre_C"/>
      <w:next w:val="01PointnumeroteAltN"/>
      <w:uiPriority w:val="99"/>
      <w:basedOn w:val="Normal"/>
      <w:semiHidden/>
    </w:style>
    <w:style w:type="paragraph" w:styleId="GendocOriginal103DateTitreC" w:default="false">
      <w:name w:val="Gendoc_Original_103_Date_Titre_C"/>
      <w:next w:val="01PointnumeroteAltN"/>
      <w:uiPriority w:val="99"/>
      <w:basedOn w:val="Normal"/>
      <w:semiHidden/>
      <w:rPr>
        <w:rFonts w:ascii="Open Sans" w:hAnsi="Open Sans" w:cs="Open Sans"/>
        <w:color w:val="#851A15"/>
        <w:sz w:val="22"/>
        <w:szCs w:val="21"/>
        <w:b w:val="false"/>
        <w:bCs w:val="false"/>
        <w:i w:val="false"/>
        <w:iCs w:val="false"/>
      </w:rPr>
    </w:style>
    <w:style w:type="paragraph" w:styleId="GendocOriginal103DateTitreC" w:default="false">
      <w:name w:val="Gendoc_Original_103_Date_Titre_C"/>
      <w:next w:val="01PointnumeroteAltN"/>
      <w:uiPriority w:val="99"/>
      <w:basedOn w:val="Normal"/>
      <w:semiHidden/>
      <w:rPr>
        <w:rFonts w:ascii="Open Sans" w:hAnsi="Open Sans" w:cs="Open Sans"/>
        <w:color w:val="#851A15"/>
        <w:sz w:val="22"/>
        <w:szCs w:val="21"/>
        <w:b w:val="false"/>
        <w:bCs w:val="false"/>
        <w:i w:val="false"/>
        <w:iCs w:val="false"/>
      </w:rPr>
      <w:pPr>
        <w:spacing w:before="54" w:after="0"/>
        <w:ind w:start="45" w:end="0"/>
        <w:jc w:val="left"/>
      </w:pPr>
    </w:style>
    <w:style w:type="paragraph" w:styleId="GendocOriginal103DateTitreC" w:default="false">
      <w:name w:val="Gendoc_Original_103_Date_Titre_C"/>
      <w:next w:val="01PointnumeroteAltN"/>
      <w:uiPriority w:val="99"/>
      <w:basedOn w:val="Normal"/>
      <w:semiHidden/>
      <w:rPr>
        <w:rFonts w:ascii="Open Sans" w:hAnsi="Open Sans" w:cs="Open Sans"/>
        <w:color w:val="#851A15"/>
        <w:sz w:val="22"/>
        <w:szCs w:val="21"/>
        <w:b w:val="false"/>
        <w:bCs w:val="false"/>
        <w:i w:val="false"/>
        <w:iCs w:val="false"/>
      </w:rPr>
      <w:pPr>
        <w:spacing w:before="54" w:after="0" w:line="240" w:lineRule="auto"/>
        <w:ind w:start="45" w:end="0"/>
        <w:jc w:val="left"/>
      </w:pPr>
    </w:style>
    <w:style w:type="paragraph" w:styleId="102IDT" w:default="false">
      <w:name w:val="102_ID_T"/>
      <w:next w:val="102_ID_T"/>
      <w:uiPriority w:val="99"/>
      <w:basedOn w:val="Normal"/>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ind w:start="0" w:end="0"/>
        <w:jc w:val="left"/>
      </w:p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line="240" w:lineRule="auto"/>
        <w:ind w:start="0" w:end="0"/>
        <w:jc w:val="left"/>
      </w:pPr>
    </w:style>
    <w:style w:type="paragraph" w:styleId="GendocOriginal102IDT" w:default="false">
      <w:name w:val="Gendoc_Original_102_ID_T"/>
      <w:next w:val="Gendoc_Original_102_ID_T"/>
      <w:uiPriority w:val="99"/>
      <w:basedOn w:val="Normal"/>
      <w:semiHidden/>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ind w:start="0" w:end="0"/>
        <w:jc w:val="left"/>
      </w:p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line="240" w:lineRule="auto"/>
        <w:ind w:start="0" w:end="0"/>
        <w:jc w:val="left"/>
      </w:pPr>
    </w:style>
    <w:style w:type="paragraph" w:styleId="103DateT" w:default="false">
      <w:name w:val="103_Date_T"/>
      <w:next w:val="103_Date_T"/>
      <w:uiPriority w:val="99"/>
      <w:basedOn w:val="Normal"/>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ind w:start="45" w:end="0"/>
        <w:jc w:val="left"/>
      </w:p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line="240" w:lineRule="auto"/>
        <w:ind w:start="45" w:end="0"/>
        <w:jc w:val="left"/>
      </w:pPr>
    </w:style>
    <w:style w:type="paragraph" w:styleId="GendocOriginal103DateT" w:default="false">
      <w:name w:val="Gendoc_Original_103_Date_T"/>
      <w:next w:val="Gendoc_Original_103_Date_T"/>
      <w:uiPriority w:val="99"/>
      <w:basedOn w:val="Normal"/>
      <w:semiHidden/>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ind w:start="45" w:end="0"/>
        <w:jc w:val="left"/>
      </w:p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line="240" w:lineRule="auto"/>
        <w:ind w:start="45" w:end="0"/>
        <w:jc w:val="left"/>
      </w:pPr>
    </w:style>
    <w:style w:type="paragraph" w:styleId="103DateTitreT" w:default="false">
      <w:name w:val="103_Date_Titre_T"/>
      <w:next w:val="01PointnumeroteAltN"/>
      <w:uiPriority w:val="99"/>
      <w:basedOn w:val="Normal"/>
    </w:style>
    <w:style w:type="paragraph" w:styleId="103DateTitreT" w:default="false">
      <w:name w:val="103_Date_Titre_T"/>
      <w:next w:val="01PointnumeroteAltN"/>
      <w:uiPriority w:val="99"/>
      <w:basedOn w:val="Normal"/>
      <w:rPr>
        <w:rFonts w:ascii="Open Sans" w:hAnsi="Open Sans" w:cs="Open Sans"/>
        <w:color w:val="#3E516E"/>
        <w:sz w:val="22"/>
        <w:szCs w:val="21"/>
        <w:b w:val="false"/>
        <w:bCs w:val="false"/>
        <w:i w:val="false"/>
        <w:iCs w:val="false"/>
      </w:rPr>
    </w:style>
    <w:style w:type="paragraph" w:styleId="103DateTitreT" w:default="false">
      <w:name w:val="103_Date_Titre_T"/>
      <w:next w:val="01PointnumeroteAltN"/>
      <w:uiPriority w:val="99"/>
      <w:basedOn w:val="Normal"/>
      <w:rPr>
        <w:rFonts w:ascii="Open Sans" w:hAnsi="Open Sans" w:cs="Open Sans"/>
        <w:color w:val="#3E516E"/>
        <w:sz w:val="22"/>
        <w:szCs w:val="21"/>
        <w:b w:val="false"/>
        <w:bCs w:val="false"/>
        <w:i w:val="false"/>
        <w:iCs w:val="false"/>
      </w:rPr>
      <w:pPr>
        <w:spacing w:before="54" w:after="0"/>
        <w:ind w:start="45" w:end="0"/>
        <w:jc w:val="left"/>
      </w:pPr>
    </w:style>
    <w:style w:type="paragraph" w:styleId="103DateTitreT" w:default="false">
      <w:name w:val="103_Date_Titre_T"/>
      <w:next w:val="01PointnumeroteAltN"/>
      <w:uiPriority w:val="99"/>
      <w:basedOn w:val="Normal"/>
      <w:rPr>
        <w:rFonts w:ascii="Open Sans" w:hAnsi="Open Sans" w:cs="Open Sans"/>
        <w:color w:val="#3E516E"/>
        <w:sz w:val="22"/>
        <w:szCs w:val="21"/>
        <w:b w:val="false"/>
        <w:bCs w:val="false"/>
        <w:i w:val="false"/>
        <w:iCs w:val="false"/>
      </w:rPr>
      <w:pPr>
        <w:spacing w:before="54" w:after="0" w:line="240" w:lineRule="auto"/>
        <w:ind w:start="45" w:end="0"/>
        <w:jc w:val="left"/>
      </w:pPr>
    </w:style>
    <w:style w:type="paragraph" w:styleId="GendocOriginal103DateTitreT" w:default="false">
      <w:name w:val="Gendoc_Original_103_Date_Titre_T"/>
      <w:next w:val="01PointnumeroteAltN"/>
      <w:uiPriority w:val="99"/>
      <w:basedOn w:val="Normal"/>
      <w:semiHidden/>
    </w:style>
    <w:style w:type="paragraph" w:styleId="GendocOriginal103DateTitreT" w:default="false">
      <w:name w:val="Gendoc_Original_103_Date_Titre_T"/>
      <w:next w:val="01PointnumeroteAltN"/>
      <w:uiPriority w:val="99"/>
      <w:basedOn w:val="Normal"/>
      <w:semiHidden/>
      <w:rPr>
        <w:rFonts w:ascii="Open Sans" w:hAnsi="Open Sans" w:cs="Open Sans"/>
        <w:color w:val="#3E516E"/>
        <w:sz w:val="22"/>
        <w:szCs w:val="21"/>
        <w:b w:val="false"/>
        <w:bCs w:val="false"/>
        <w:i w:val="false"/>
        <w:iCs w:val="false"/>
      </w:rPr>
    </w:style>
    <w:style w:type="paragraph" w:styleId="GendocOriginal103DateTitreT" w:default="false">
      <w:name w:val="Gendoc_Original_103_Date_Titre_T"/>
      <w:next w:val="01PointnumeroteAltN"/>
      <w:uiPriority w:val="99"/>
      <w:basedOn w:val="Normal"/>
      <w:semiHidden/>
      <w:rPr>
        <w:rFonts w:ascii="Open Sans" w:hAnsi="Open Sans" w:cs="Open Sans"/>
        <w:color w:val="#3E516E"/>
        <w:sz w:val="22"/>
        <w:szCs w:val="21"/>
        <w:b w:val="false"/>
        <w:bCs w:val="false"/>
        <w:i w:val="false"/>
        <w:iCs w:val="false"/>
      </w:rPr>
      <w:pPr>
        <w:spacing w:before="54" w:after="0"/>
        <w:ind w:start="45" w:end="0"/>
        <w:jc w:val="left"/>
      </w:pPr>
    </w:style>
    <w:style w:type="paragraph" w:styleId="GendocOriginal103DateTitreT" w:default="false">
      <w:name w:val="Gendoc_Original_103_Date_Titre_T"/>
      <w:next w:val="01PointnumeroteAltN"/>
      <w:uiPriority w:val="99"/>
      <w:basedOn w:val="Normal"/>
      <w:semiHidden/>
      <w:rPr>
        <w:rFonts w:ascii="Open Sans" w:hAnsi="Open Sans" w:cs="Open Sans"/>
        <w:color w:val="#3E516E"/>
        <w:sz w:val="22"/>
        <w:szCs w:val="21"/>
        <w:b w:val="false"/>
        <w:bCs w:val="false"/>
        <w:i w:val="false"/>
        <w:iCs w:val="false"/>
      </w:rPr>
      <w:pPr>
        <w:spacing w:before="54" w:after="0" w:line="240" w:lineRule="auto"/>
        <w:ind w:start="45" w:end="0"/>
        <w:jc w:val="left"/>
      </w:pPr>
    </w:style>
    <w:style w:type="paragraph" w:styleId="102IDI" w:default="false">
      <w:name w:val="102_ID_I"/>
      <w:next w:val="102_ID_I"/>
      <w:uiPriority w:val="99"/>
      <w:basedOn w:val="Normal"/>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ind w:start="0" w:end="0"/>
        <w:jc w:val="left"/>
      </w:p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line="240" w:lineRule="auto"/>
        <w:ind w:start="0" w:end="0"/>
        <w:jc w:val="left"/>
      </w:pPr>
    </w:style>
    <w:style w:type="paragraph" w:styleId="GendocOriginal102IDI" w:default="false">
      <w:name w:val="Gendoc_Original_102_ID_I"/>
      <w:next w:val="Gendoc_Original_102_ID_I"/>
      <w:uiPriority w:val="99"/>
      <w:basedOn w:val="Normal"/>
      <w:semiHidden/>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ind w:start="0" w:end="0"/>
        <w:jc w:val="left"/>
      </w:p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line="240" w:lineRule="auto"/>
        <w:ind w:start="0" w:end="0"/>
        <w:jc w:val="left"/>
      </w:pPr>
    </w:style>
    <w:style w:type="paragraph" w:styleId="103DateI" w:default="false">
      <w:name w:val="103_Date_I"/>
      <w:next w:val="103_Date_I"/>
      <w:uiPriority w:val="99"/>
      <w:basedOn w:val="Normal"/>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ind w:start="45" w:end="0"/>
        <w:jc w:val="left"/>
      </w:p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line="240" w:lineRule="auto"/>
        <w:ind w:start="45" w:end="0"/>
        <w:jc w:val="left"/>
      </w:pPr>
    </w:style>
    <w:style w:type="paragraph" w:styleId="GendocOriginal103DateI" w:default="false">
      <w:name w:val="Gendoc_Original_103_Date_I"/>
      <w:next w:val="Gendoc_Original_103_Date_I"/>
      <w:uiPriority w:val="99"/>
      <w:basedOn w:val="Normal"/>
      <w:semiHidden/>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ind w:start="45" w:end="0"/>
        <w:jc w:val="left"/>
      </w:p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line="240" w:lineRule="auto"/>
        <w:ind w:start="45" w:end="0"/>
        <w:jc w:val="left"/>
      </w:pPr>
    </w:style>
    <w:style w:type="paragraph" w:styleId="103DateTitreI" w:default="false">
      <w:name w:val="103_Date_Titre_I"/>
      <w:next w:val="01PointnumeroteAltN"/>
      <w:uiPriority w:val="99"/>
      <w:basedOn w:val="Normal"/>
    </w:style>
    <w:style w:type="paragraph" w:styleId="103DateTitreI" w:default="false">
      <w:name w:val="103_Date_Titre_I"/>
      <w:next w:val="01PointnumeroteAltN"/>
      <w:uiPriority w:val="99"/>
      <w:basedOn w:val="Normal"/>
      <w:rPr>
        <w:rFonts w:ascii="Open Sans" w:hAnsi="Open Sans" w:cs="Open Sans"/>
        <w:color w:val="#725922"/>
        <w:sz w:val="22"/>
        <w:szCs w:val="21"/>
        <w:b w:val="false"/>
        <w:bCs w:val="false"/>
        <w:i w:val="false"/>
        <w:iCs w:val="false"/>
      </w:rPr>
    </w:style>
    <w:style w:type="paragraph" w:styleId="103DateTitreI" w:default="false">
      <w:name w:val="103_Date_Titre_I"/>
      <w:next w:val="01PointnumeroteAltN"/>
      <w:uiPriority w:val="99"/>
      <w:basedOn w:val="Normal"/>
      <w:rPr>
        <w:rFonts w:ascii="Open Sans" w:hAnsi="Open Sans" w:cs="Open Sans"/>
        <w:color w:val="#725922"/>
        <w:sz w:val="22"/>
        <w:szCs w:val="21"/>
        <w:b w:val="false"/>
        <w:bCs w:val="false"/>
        <w:i w:val="false"/>
        <w:iCs w:val="false"/>
      </w:rPr>
      <w:pPr>
        <w:spacing w:before="54" w:after="0"/>
        <w:ind w:start="45" w:end="0"/>
        <w:jc w:val="left"/>
      </w:pPr>
    </w:style>
    <w:style w:type="paragraph" w:styleId="103DateTitreI" w:default="false">
      <w:name w:val="103_Date_Titre_I"/>
      <w:next w:val="01PointnumeroteAltN"/>
      <w:uiPriority w:val="99"/>
      <w:basedOn w:val="Normal"/>
      <w:rPr>
        <w:rFonts w:ascii="Open Sans" w:hAnsi="Open Sans" w:cs="Open Sans"/>
        <w:color w:val="#725922"/>
        <w:sz w:val="22"/>
        <w:szCs w:val="21"/>
        <w:b w:val="false"/>
        <w:bCs w:val="false"/>
        <w:i w:val="false"/>
        <w:iCs w:val="false"/>
      </w:rPr>
      <w:pPr>
        <w:spacing w:before="54" w:after="0" w:line="240" w:lineRule="auto"/>
        <w:ind w:start="45" w:end="0"/>
        <w:jc w:val="left"/>
      </w:pPr>
    </w:style>
    <w:style w:type="paragraph" w:styleId="GendocOriginal103DateTitreI" w:default="false">
      <w:name w:val="Gendoc_Original_103_Date_Titre_I"/>
      <w:next w:val="01PointnumeroteAltN"/>
      <w:uiPriority w:val="99"/>
      <w:basedOn w:val="Normal"/>
      <w:semiHidden/>
    </w:style>
    <w:style w:type="paragraph" w:styleId="GendocOriginal103DateTitreI" w:default="false">
      <w:name w:val="Gendoc_Original_103_Date_Titre_I"/>
      <w:next w:val="01PointnumeroteAltN"/>
      <w:uiPriority w:val="99"/>
      <w:basedOn w:val="Normal"/>
      <w:semiHidden/>
      <w:rPr>
        <w:rFonts w:ascii="Open Sans" w:hAnsi="Open Sans" w:cs="Open Sans"/>
        <w:color w:val="#725922"/>
        <w:sz w:val="22"/>
        <w:szCs w:val="21"/>
        <w:b w:val="false"/>
        <w:bCs w:val="false"/>
        <w:i w:val="false"/>
        <w:iCs w:val="false"/>
      </w:rPr>
    </w:style>
    <w:style w:type="paragraph" w:styleId="GendocOriginal103DateTitreI" w:default="false">
      <w:name w:val="Gendoc_Original_103_Date_Titre_I"/>
      <w:next w:val="01PointnumeroteAltN"/>
      <w:uiPriority w:val="99"/>
      <w:basedOn w:val="Normal"/>
      <w:semiHidden/>
      <w:rPr>
        <w:rFonts w:ascii="Open Sans" w:hAnsi="Open Sans" w:cs="Open Sans"/>
        <w:color w:val="#725922"/>
        <w:sz w:val="22"/>
        <w:szCs w:val="21"/>
        <w:b w:val="false"/>
        <w:bCs w:val="false"/>
        <w:i w:val="false"/>
        <w:iCs w:val="false"/>
      </w:rPr>
      <w:pPr>
        <w:spacing w:before="54" w:after="0"/>
        <w:ind w:start="45" w:end="0"/>
        <w:jc w:val="left"/>
      </w:pPr>
    </w:style>
    <w:style w:type="paragraph" w:styleId="GendocOriginal103DateTitreI" w:default="false">
      <w:name w:val="Gendoc_Original_103_Date_Titre_I"/>
      <w:next w:val="01PointnumeroteAltN"/>
      <w:uiPriority w:val="99"/>
      <w:basedOn w:val="Normal"/>
      <w:semiHidden/>
      <w:rPr>
        <w:rFonts w:ascii="Open Sans" w:hAnsi="Open Sans" w:cs="Open Sans"/>
        <w:color w:val="#725922"/>
        <w:sz w:val="22"/>
        <w:szCs w:val="21"/>
        <w:b w:val="false"/>
        <w:bCs w:val="false"/>
        <w:i w:val="false"/>
        <w:iCs w:val="false"/>
      </w:rPr>
      <w:pPr>
        <w:spacing w:before="54" w:after="0" w:line="240" w:lineRule="auto"/>
        <w:ind w:start="45" w:end="0"/>
        <w:jc w:val="left"/>
      </w:pPr>
    </w:style>
    <w:style w:type="table" w:styleId="TableNoBorder" w:default="false">
      <w:name w:val="TableNoBorder"/>
      <w:next w:val="TableNoBorder"/>
      <w:uiPriority w:val="99"/>
      <w:basedOn w:val="TableNormal"/>
    </w:style>
    <w:style w:type="table" w:styleId="GendocOriginalTableNoBorder" w:default="false">
      <w:name w:val="Gendoc_Original_TableNoBorder"/>
      <w:next w:val="Gendoc_Original_TableNoBorder"/>
      <w:uiPriority w:val="99"/>
      <w:basedOn w:val="TableNormal"/>
      <w:semiHidden/>
    </w:style>
  </w:styles>
</BackupStylesWithEffects>
</file>

<file path=customXml/item14.xml><?xml version="1.0" encoding="utf-8"?>
<thesaurus lang="hr">
  <blockcontents>
    <blockcontent id="COM_PRESS_Footer">Uprava za komunikaciju###SOFT_RETURN###Odjel za medije i informiranje</blockcontent>
    <blockcontent id="COM_PRESS_Objet_ARRET_Bold">$$COM_PRESS_Objet_ARRET_Bold$$</blockcontent>
    <blockcontent id="COM_PRESS_Objet_ORD_Bold">$$COM_PRESS_Objet_ORD_Bold$$</blockcontent>
    <blockcontent id="COM_PRESS_Objet_ORD-R_Bold">$$COM_PRESS_Objet_ORD-R_Bold$$</blockcontent>
    <blockcontent id="COM_PRESS_Objet_AVIS_Bold">$$COM_PRESS_Objet_AVIS_Bold$$</blockcontent>
    <blockcontent id="COM_PRESS_Objet_Juridiction_C"/>
    <blockcontent id="COM_PRESS_Objet_Juridiction_T">$$COM_PRESS_Objet_Juridiction_T$$</blockcontent>
    <blockcontent id="COM_PRESS_Objet_CONCL_M_C_Bold">$$COM_PRESS_Objet_CONCL_M_C_Bold$$</blockcontent>
    <blockcontent id="COM_PRESS_Objet_CONCL_F_C_Bold">$$COM_PRESS_Objet_CONCL_F_C_Bold$$</blockcontent>
    <blockcontent id="COM_PRESS_Objet_CONCL_M_T_Bold">$$COM_PRESS_Objet_CONCL_M_T_Bold$$</blockcontent>
    <blockcontent id="COM_PRESS_Objet_CONCL_F_T_Bold">$$COM_PRESS_Objet_CONCL_F_T_Bold$$</blockcontent>
    <blockcontent id="COM_PRESS_Objet_INFOS_1">$$COM_PRESS_Objet_INFOS_1$$</blockcontent>
    <blockcontent id="COM_PRESS_Objet_AUDSOL_1">$$COM_PRESS_Objet_AUDSOL_1$$</blockcontent>
    <blockcontent id="COM_PRESS_Objet_Dans_Affaire">u predmetu </blockcontent>
    <blockcontent id="NOTE_NOM_FICTIF">Naziv ovog predmeta je izmišljen. On ne odgovara stvarnom imenu nijedne stranke u postupku.</blockcontent>
    <blockcontent id="COM_PRESS_Objet_Dans_Affaires_Jointes">u spojenim predmetima </blockcontent>
    <blockcontent id="COM_PRESS_Objet_INFOS_2">$$COM_PRESS_Objet_INFOS_2$$</blockcontent>
    <blockcontent id="COM_PRESS_Date_Titre">$$COM_PRESS_Date_Titre$$</blockcontent>
    <blockcontent id="COM_PRESS_DATE">U Luxembourgu </blockcontent>
    <blockcontent id="COM_PRESS_TITRE_LIB">NASLOV </blockcontent>
    <blockcontent id="COM_PRESS_TEXTE_LIB">(Tekst)</blockcontent>
    <blockcontent id="COM_PRESS_NonOfficiel_C">Neslužbeni dokument za medije koji ne obvezuje Sud.</blockcontent>
    <blockcontent id="COM_PRESS_NonOfficiel_T_2">$$COM_PRESS_NonOfficiel_T_2$$</blockcontent>
    <blockcontent id="COM_PRESS_NonOfficiel_C_JOINT">$$COM_PRESS_NonOfficiel_C_JOINT$$</blockcontent>
    <blockcontent id="COM_PRESS_NonOfficiel_T_2_JOINT">$$COM_PRESS_NonOfficiel_T_2_JOINT$$</blockcontent>
    <blockcontent id="COM_PRESS_NonOfficiel_C_2">$$COM_PRESS_NonOfficiel_C_2$$</blockcontent>
    <blockcontent id="COM_PRESS_NonOfficiel_T">Neslužbeni dokument za medije koji ne obvezuje Opći sud.</blockcontent>
    <blockcontent id="COM_PRESS_Texte_Integral_1"/>
    <blockcontent id="COM_PRESS_Texte_Integral_ARRET_2">$$COM_PRESS_Texte_Integral_ARRET_2$$</blockcontent>
    <blockcontent id="COM_PRESS_Texte_Integral_ORD_2">$$COM_PRESS_Texte_Integral_ORD_2$$</blockcontent>
    <blockcontent id="COM_PRESS_Texte_Integral_AVIS"> mišljenja objavljuje se na stranici CURIA na dan objave.</blockcontent>
    <blockcontent id="COM_PRESS_Texte_Integral_CONCL"> mišljenja objavljuje se na stranici CURIA na dan čitanja. </blockcontent>
    <blockcontent id="COM_PRESS_ContactPresseLabel">Osoba za kontakt: </blockcontent>
    <blockcontent id="COM_PRESS_ContactPresseName">Iliana Paliova </blockcontent>
    <blockcontent id="COM_PRESS_ContactPressePhone"> (+352) 4303 4293</blockcontent>
    <blockcontent id="COM_PRESS_EBS_AUDSOL">Snimke svečane sjednice nalaze se na „</blockcontent>
    <blockcontent id="COM_PRESS_EBS_CONCL">Snimke s čitanja mišljenja dostupne su na „</blockcontent>
    <blockcontent id="COM_PRESS_EBS_ARRET">Snimke s objave presuda nalaze se na „</blockcontent>
    <blockcontent id="COM_PRESS_EBS_ARRET_MULTI">$$COM_PRESS_EBS_ARRET_MULTI$$</blockcontent>
    <blockcontent id="COM_PRESS_EBS_AVIS">$$COM_PRESS_EBS_AVIS$$</blockcontent>
    <blockcontent id="COM_PRESS_EBS_SPACE_QUOTE">$$COM_PRESS_EBS_SPACE_QUOTE$$</blockcontent>
    <blockcontent id="COM_PRESS_EBS_AINSI">$$COM_PRESS_EBS_AINSI$$</blockcontent>
    <blockcontent id="COM_PRESS_EBS_2">” </blockcontent>
    <blockcontent id="COM_PRESS_EBS_Phone"> (+32) 2 2964106</blockcontent>
    <blockcontent id="COM_PRESS_EBS_PLUS_ARRET">$$COM_PRESS_EBS_PLUS_ARRET$$</blockcontent>
    <blockcontent id="COM_PRESS_EBS_PLUS_ARRET_MULTI">$$COM_PRESS_EBS_PLUS_ARRET_MULTI$$</blockcontent>
    <blockcontent id="COM_PRESS_EBS_PLUS_AVIS">$$COM_PRESS_EBS_PLUS_AVIS$$</blockcontent>
    <blockcontent id="COM_PRESS_EBS_PLUS_CONCL">$$COM_PRESS_EBS_PLUS_CONCL$$</blockcontent>
  </blockcontents>
</thesaurus>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ackupNumbering>
  <w:numbering xmlns:w="http://schemas.openxmlformats.org/wordprocessingml/2006/main"/>
</BackupNumbering>
</file>

<file path=customXml/item3.xml><?xml version="1.0" encoding="utf-8"?>
<BackupStyles>
  <OriginalEditionType>Final</OriginalEditionType>
  <w:styles xmlns:w="http://schemas.openxmlformats.org/wordprocessingml/2006/main">
    <w:docDefaults>
      <w:rPrDefault>
        <w:rPr>
          <w:lang w:val="hr-HR" w:eastAsia="hr-HR" w:bidi="hr-HR"/>
        </w:rPr>
      </w:rPrDefault>
    </w:docDefaults>
    <w:latentStyles w:defLockedState="false" w:defUIPriority="99" w:defSemiHidden="true" w:defUnhideWhenUsed="true" w:defQFormat="false" w:count="0"/>
    <w:style w:type="character" w:styleId="FootnoteReference" w:default="false">
      <w:name w:val="Footnote Reference"/>
      <w:next w:val="Footnote Reference"/>
      <w:uiPriority w:val="99"/>
      <w:basedOn w:val="DefaultParagraphFont"/>
      <w:rPr>
        <w:color w:val="auto"/>
        <w:b w:val="false"/>
        <w:bCs w:val="false"/>
        <w:i w:val="false"/>
        <w:iCs w:val="false"/>
        <w:vertAlign w:val="superscript"/>
      </w:rPr>
    </w:style>
    <w:style w:type="character" w:styleId="GendocOriginalFootnoteReference" w:default="false">
      <w:name w:val="Gendoc_Original_Footnote Reference"/>
      <w:next w:val="Gendoc_Original_Footnote Reference"/>
      <w:uiPriority w:val="99"/>
      <w:basedOn w:val="DefaultParagraphFont"/>
      <w:semiHidden/>
      <w:rPr>
        <w:color w:val="auto"/>
        <w:b w:val="false"/>
        <w:bCs w:val="false"/>
        <w:i w:val="false"/>
        <w:iCs w:val="false"/>
        <w:vertAlign w:val="superscript"/>
      </w:rPr>
    </w:style>
    <w:style w:type="character" w:styleId="Hyperlink" w:default="false">
      <w:name w:val="Hyperlink"/>
      <w:next w:val="Hyperlink"/>
      <w:uiPriority w:val="99"/>
      <w:basedOn w:val="DefaultParagraphFont"/>
      <w:rPr>
        <w:color w:val="205E9E"/>
        <w:b w:val="false"/>
        <w:bCs w:val="false"/>
        <w:i w:val="false"/>
        <w:iCs w:val="false"/>
        <w:u w:val="single" w:color="205E9E"/>
      </w:rPr>
    </w:style>
    <w:style w:type="character" w:styleId="GendocOriginalHyperlink" w:default="false">
      <w:name w:val="Gendoc_Original_Hyperlink"/>
      <w:next w:val="Gendoc_Original_Hyperlink"/>
      <w:uiPriority w:val="99"/>
      <w:basedOn w:val="DefaultParagraphFont"/>
      <w:semiHidden/>
      <w:rPr>
        <w:color w:val="205E9E"/>
        <w:b w:val="false"/>
        <w:bCs w:val="false"/>
        <w:i w:val="false"/>
        <w:iCs w:val="false"/>
        <w:u w:val="single" w:color="205E9E"/>
      </w:rPr>
    </w:style>
    <w:style w:type="character" w:styleId="WingdingsChar" w:default="false">
      <w:name w:val="WingdingsChar"/>
      <w:next w:val="WingdingsChar"/>
      <w:uiPriority w:val="99"/>
      <w:basedOn w:val="DefaultParagraphFont"/>
      <w:rPr>
        <w:rFonts w:ascii="Wingdings" w:hAnsi="Wingdings" w:cs="Wingdings"/>
        <w:color w:val="auto"/>
        <w:sz w:val="18"/>
        <w:szCs w:val="17"/>
        <w:b w:val="false"/>
        <w:bCs w:val="false"/>
        <w:i w:val="false"/>
        <w:iCs w:val="false"/>
      </w:rPr>
    </w:style>
    <w:style w:type="character" w:styleId="GendocOriginalWingdingsChar" w:default="false">
      <w:name w:val="Gendoc_Original_WingdingsChar"/>
      <w:next w:val="Gendoc_Original_WingdingsChar"/>
      <w:uiPriority w:val="99"/>
      <w:basedOn w:val="DefaultParagraphFont"/>
      <w:semiHidden/>
      <w:rPr>
        <w:rFonts w:ascii="Wingdings" w:hAnsi="Wingdings" w:cs="Wingdings"/>
        <w:color w:val="auto"/>
        <w:sz w:val="18"/>
        <w:szCs w:val="17"/>
        <w:b w:val="false"/>
        <w:bCs w:val="false"/>
        <w:i w:val="false"/>
        <w:iCs w:val="false"/>
      </w:rPr>
    </w:style>
    <w:style w:type="character" w:styleId="02BoldCharacterStyle" w:default="false">
      <w:name w:val="02_BoldCharacterStyle"/>
      <w:next w:val="02_BoldCharacterStyle"/>
      <w:uiPriority w:val="99"/>
      <w:basedOn w:val="DefaultParagraphFont"/>
      <w:rPr>
        <w:b w:val="true"/>
        <w:bCs w:val="true"/>
      </w:rPr>
    </w:style>
    <w:style w:type="character" w:styleId="GendocOriginal02BoldCharacterStyle" w:default="false">
      <w:name w:val="Gendoc_Original_02_BoldCharacterStyle"/>
      <w:next w:val="Gendoc_Original_02_BoldCharacterStyle"/>
      <w:uiPriority w:val="99"/>
      <w:basedOn w:val="DefaultParagraphFont"/>
      <w:semiHidden/>
      <w:rPr>
        <w:b w:val="true"/>
        <w:bCs w:val="true"/>
      </w:rPr>
    </w:style>
    <w:style w:type="paragraph" w:styleId="Footer" w:default="true">
      <w:name w:val="Footer"/>
      <w:next w:val="Footer"/>
      <w:uiPriority w:val="99"/>
      <w:basedOn w:val="Normal"/>
      <w:link w:val="Normal"/>
      <w:rPr>
        <w:rFonts w:ascii="Times New Roman" w:hAnsi="Times New Roman" w:cs="Times New Roman"/>
        <w:color w:val="auto"/>
        <w:sz w:val="25"/>
        <w:szCs w:val="24"/>
        <w:b w:val="false"/>
        <w:bCs w:val="false"/>
        <w:i w:val="false"/>
        <w:iCs w:val="false"/>
      </w:rPr>
      <w:pPr>
        <w:tabs>
          <w:tab w:val="center" w:leader="none" w:pos="4320"/>
          <w:tab w:val="right" w:leader="none" w:pos="8640"/>
        </w:tabs>
        <w:spacing w:before="0" w:after="0" w:line="240" w:lineRule="auto"/>
        <w:ind w:start="0" w:end="0"/>
        <w:jc w:val="left"/>
      </w:pPr>
    </w:style>
    <w:style w:type="paragraph" w:styleId="GendocOriginalFooter" w:default="false">
      <w:name w:val="Gendoc_Original_Footer"/>
      <w:next w:val="Footer"/>
      <w:uiPriority w:val="99"/>
      <w:basedOn w:val="Normal"/>
      <w:link w:val="Normal"/>
      <w:semiHidden/>
      <w:rPr>
        <w:rFonts w:ascii="Times New Roman" w:hAnsi="Times New Roman" w:cs="Times New Roman"/>
        <w:color w:val="auto"/>
        <w:sz w:val="25"/>
        <w:szCs w:val="24"/>
        <w:b w:val="false"/>
        <w:bCs w:val="false"/>
        <w:i w:val="false"/>
        <w:iCs w:val="false"/>
      </w:rPr>
      <w:pPr>
        <w:tabs>
          <w:tab w:val="center" w:leader="none" w:pos="4320"/>
          <w:tab w:val="right" w:leader="none" w:pos="8640"/>
        </w:tabs>
        <w:spacing w:before="0" w:after="0" w:line="240" w:lineRule="auto"/>
        <w:ind w:start="0" w:end="0"/>
        <w:jc w:val="left"/>
      </w:pPr>
    </w:style>
    <w:style w:type="paragraph" w:styleId="000Intitule" w:default="false">
      <w:name w:val="000_Intitule"/>
      <w:next w:val="000_Intitule"/>
      <w:uiPriority w:val="99"/>
      <w:basedOn w:val="Normal"/>
      <w:rPr>
        <w:rFonts w:ascii="Open Sans" w:hAnsi="Open Sans" w:cs="Open Sans"/>
        <w:color w:val="auto"/>
        <w:sz w:val="24"/>
        <w:szCs w:val="23"/>
        <w:b w:val="false"/>
        <w:bCs w:val="false"/>
        <w:i w:val="false"/>
        <w:iCs w:val="false"/>
      </w:rPr>
      <w:pPr>
        <w:spacing w:before="0" w:after="60" w:line="240" w:lineRule="auto"/>
        <w:ind w:start="0" w:end="0"/>
        <w:jc w:val="left"/>
        <w:widowControl w:val="false"/>
      </w:pPr>
    </w:style>
    <w:style w:type="paragraph" w:styleId="GendocOriginal000Intitule" w:default="false">
      <w:name w:val="Gendoc_Original_000_Intitule"/>
      <w:next w:val="Gendoc_Original_000_Intitule"/>
      <w:uiPriority w:val="99"/>
      <w:basedOn w:val="Normal"/>
      <w:semiHidden/>
      <w:rPr>
        <w:rFonts w:ascii="Open Sans" w:hAnsi="Open Sans" w:cs="Open Sans"/>
        <w:color w:val="auto"/>
        <w:sz w:val="24"/>
        <w:szCs w:val="23"/>
        <w:b w:val="false"/>
        <w:bCs w:val="false"/>
        <w:i w:val="false"/>
        <w:iCs w:val="false"/>
      </w:rPr>
      <w:pPr>
        <w:spacing w:before="0" w:after="60" w:line="240" w:lineRule="auto"/>
        <w:ind w:start="0" w:end="0"/>
        <w:jc w:val="left"/>
        <w:widowControl w:val="false"/>
      </w:pPr>
    </w:style>
    <w:style w:type="paragraph" w:styleId="001Auteur" w:default="false">
      <w:name w:val="001_Auteur"/>
      <w:next w:val="001_Auteur"/>
      <w:uiPriority w:val="99"/>
      <w:basedOn w:val="Normal"/>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widowControl w:val="false"/>
      </w:pPr>
    </w:style>
    <w:style w:type="paragraph" w:styleId="GendocOriginal001Auteur" w:default="false">
      <w:name w:val="Gendoc_Original_001_Auteur"/>
      <w:next w:val="Gendoc_Original_001_Auteur"/>
      <w:uiPriority w:val="99"/>
      <w:basedOn w:val="Normal"/>
      <w:semiHidden/>
      <w:rPr>
        <w:rFonts w:ascii="Open Sans" w:hAnsi="Open Sans" w:cs="Open Sans"/>
        <w:color w:val="#cda878"/>
        <w:sz w:val="24"/>
        <w:szCs w:val="23"/>
        <w:b w:val="false"/>
        <w:bCs w:val="false"/>
        <w:i w:val="false"/>
        <w:iCs w:val="false"/>
        <w:caps/>
      </w:rPr>
      <w:pPr>
        <w:spacing w:before="60" w:after="0" w:line="310" w:lineRule="exact"/>
        <w:ind w:start="0" w:end="0"/>
        <w:contextualSpacing w:val="true"/>
        <w:jc w:val="left"/>
        <w:widowControl w:val="false"/>
      </w:pPr>
    </w:style>
    <w:style w:type="paragraph" w:styleId="002ID" w:default="false">
      <w:name w:val="002_ID"/>
      <w:next w:val="002_ID"/>
      <w:uiPriority w:val="99"/>
      <w:basedOn w:val="Normal"/>
      <w:rPr>
        <w:rFonts w:ascii="Open Sans" w:hAnsi="Open Sans" w:cs="Open Sans"/>
        <w:color w:val="#D4A167"/>
        <w:sz w:val="28"/>
        <w:szCs w:val="27"/>
        <w:b w:val="true"/>
        <w:bCs w:val="true"/>
        <w:i w:val="false"/>
        <w:iCs w:val="false"/>
      </w:rPr>
      <w:pPr>
        <w:spacing w:before="0" w:after="60" w:line="240" w:lineRule="auto"/>
        <w:ind w:start="0" w:end="0"/>
        <w:jc w:val="left"/>
        <w:widowControl w:val="false"/>
      </w:pPr>
    </w:style>
    <w:style w:type="paragraph" w:styleId="GendocOriginal002ID" w:default="false">
      <w:name w:val="Gendoc_Original_002_ID"/>
      <w:next w:val="Gendoc_Original_002_ID"/>
      <w:uiPriority w:val="99"/>
      <w:basedOn w:val="Normal"/>
      <w:semiHidden/>
      <w:rPr>
        <w:rFonts w:ascii="Open Sans" w:hAnsi="Open Sans" w:cs="Open Sans"/>
        <w:color w:val="#D4A167"/>
        <w:sz w:val="28"/>
        <w:szCs w:val="27"/>
        <w:b w:val="true"/>
        <w:bCs w:val="true"/>
        <w:i w:val="false"/>
        <w:iCs w:val="false"/>
      </w:rPr>
      <w:pPr>
        <w:spacing w:before="0" w:after="60" w:line="240" w:lineRule="auto"/>
        <w:ind w:start="0" w:end="0"/>
        <w:jc w:val="left"/>
        <w:widowControl w:val="false"/>
      </w:pPr>
    </w:style>
    <w:style w:type="paragraph" w:styleId="003Date" w:default="false">
      <w:name w:val="003_Date"/>
      <w:next w:val="003_Date"/>
      <w:uiPriority w:val="99"/>
      <w:basedOn w:val="Normal"/>
      <w:rPr>
        <w:rFonts w:ascii="Open Sans" w:hAnsi="Open Sans" w:cs="Open Sans"/>
        <w:color w:val="#FFFFFF"/>
        <w:sz w:val="19"/>
        <w:szCs w:val="18"/>
        <w:b w:val="true"/>
        <w:bCs w:val="true"/>
        <w:i w:val="false"/>
        <w:iCs w:val="false"/>
      </w:rPr>
      <w:pPr>
        <w:spacing w:before="54" w:after="60" w:line="240" w:lineRule="auto"/>
        <w:ind w:start="0" w:end="0"/>
        <w:jc w:val="left"/>
        <w:widowControl w:val="false"/>
      </w:pPr>
    </w:style>
    <w:style w:type="paragraph" w:styleId="GendocOriginal003Date" w:default="false">
      <w:name w:val="Gendoc_Original_003_Date"/>
      <w:next w:val="Gendoc_Original_003_Date"/>
      <w:uiPriority w:val="99"/>
      <w:basedOn w:val="Normal"/>
      <w:semiHidden/>
      <w:rPr>
        <w:rFonts w:ascii="Open Sans" w:hAnsi="Open Sans" w:cs="Open Sans"/>
        <w:color w:val="#FFFFFF"/>
        <w:sz w:val="19"/>
        <w:szCs w:val="18"/>
        <w:b w:val="true"/>
        <w:bCs w:val="true"/>
        <w:i w:val="false"/>
        <w:iCs w:val="false"/>
      </w:rPr>
      <w:pPr>
        <w:spacing w:before="54" w:after="60" w:line="240" w:lineRule="auto"/>
        <w:ind w:start="0" w:end="0"/>
        <w:jc w:val="left"/>
        <w:widowControl w:val="false"/>
      </w:pPr>
    </w:style>
    <w:style w:type="paragraph" w:styleId="004Objet" w:default="false">
      <w:name w:val="004_Objet"/>
      <w:next w:val="004_Objet"/>
      <w:uiPriority w:val="99"/>
      <w:basedOn w:val="Normal"/>
      <w:rPr>
        <w:rFonts w:ascii="Open Sans" w:hAnsi="Open Sans" w:cs="Open Sans"/>
        <w:color w:val="auto"/>
        <w:sz w:val="20"/>
        <w:szCs w:val="19"/>
        <w:b w:val="false"/>
        <w:bCs w:val="false"/>
        <w:i w:val="false"/>
        <w:iCs w:val="false"/>
      </w:rPr>
      <w:pPr>
        <w:spacing w:before="480" w:after="240" w:line="288" w:lineRule="auto"/>
        <w:ind w:start="0" w:end="0"/>
        <w:jc w:val="left"/>
        <w:widowControl w:val="false"/>
      </w:pPr>
    </w:style>
    <w:style w:type="paragraph" w:styleId="GendocOriginal004Objet" w:default="false">
      <w:name w:val="Gendoc_Original_004_Objet"/>
      <w:next w:val="Gendoc_Original_004_Objet"/>
      <w:uiPriority w:val="99"/>
      <w:basedOn w:val="Normal"/>
      <w:semiHidden/>
      <w:rPr>
        <w:rFonts w:ascii="Open Sans" w:hAnsi="Open Sans" w:cs="Open Sans"/>
        <w:color w:val="auto"/>
        <w:sz w:val="20"/>
        <w:szCs w:val="19"/>
        <w:b w:val="false"/>
        <w:bCs w:val="false"/>
        <w:i w:val="false"/>
        <w:iCs w:val="false"/>
      </w:rPr>
      <w:pPr>
        <w:spacing w:before="480" w:after="240" w:line="288" w:lineRule="auto"/>
        <w:ind w:start="0" w:end="0"/>
        <w:jc w:val="left"/>
        <w:widowControl w:val="false"/>
      </w:pPr>
    </w:style>
    <w:style w:type="paragraph" w:styleId="005Titre" w:default="false">
      <w:name w:val="005_Titre"/>
      <w:next w:val="01PointnumeroteAltN"/>
      <w:uiPriority w:val="99"/>
      <w:basedOn w:val="Normal"/>
      <w:rPr>
        <w:rFonts w:ascii="Open Sans" w:hAnsi="Open Sans" w:cs="Open Sans"/>
        <w:color w:val="#231F20"/>
        <w:sz w:val="26"/>
        <w:szCs w:val="25"/>
        <w:b w:val="true"/>
        <w:bCs w:val="true"/>
        <w:i w:val="false"/>
        <w:iCs w:val="false"/>
      </w:rPr>
      <w:pPr>
        <w:spacing w:before="0" w:after="240" w:line="264" w:lineRule="auto"/>
        <w:ind w:start="0" w:end="0"/>
        <w:jc w:val="left"/>
        <w:widowControl w:val="false"/>
      </w:pPr>
    </w:style>
    <w:style w:type="paragraph" w:styleId="GendocOriginal005Titre" w:default="false">
      <w:name w:val="Gendoc_Original_005_Titre"/>
      <w:next w:val="01PointnumeroteAltN"/>
      <w:uiPriority w:val="99"/>
      <w:basedOn w:val="Normal"/>
      <w:semiHidden/>
      <w:rPr>
        <w:rFonts w:ascii="Open Sans" w:hAnsi="Open Sans" w:cs="Open Sans"/>
        <w:color w:val="#231F20"/>
        <w:sz w:val="26"/>
        <w:szCs w:val="25"/>
        <w:b w:val="true"/>
        <w:bCs w:val="true"/>
        <w:i w:val="false"/>
        <w:iCs w:val="false"/>
      </w:rPr>
      <w:pPr>
        <w:spacing w:before="0" w:after="240" w:line="264" w:lineRule="auto"/>
        <w:ind w:start="0" w:end="0"/>
        <w:jc w:val="left"/>
        <w:widowControl w:val="false"/>
      </w:pPr>
    </w:style>
    <w:style w:type="paragraph" w:styleId="006SousTitre" w:default="false">
      <w:name w:val="006_SousTitre"/>
      <w:next w:val="01PointnumeroteAltN"/>
      <w:uiPriority w:val="99"/>
      <w:basedOn w:val="Normal"/>
      <w:rPr>
        <w:rFonts w:ascii="Open Sans" w:hAnsi="Open Sans" w:cs="Open Sans"/>
        <w:color w:val="#231F20"/>
        <w:sz w:val="20"/>
        <w:szCs w:val="19"/>
        <w:b w:val="false"/>
        <w:bCs w:val="false"/>
        <w:i w:val="true"/>
        <w:iCs w:val="true"/>
      </w:rPr>
      <w:pPr>
        <w:spacing w:before="0" w:after="240" w:line="264" w:lineRule="auto"/>
        <w:ind w:start="0" w:end="0"/>
        <w:jc w:val="left"/>
        <w:widowControl w:val="false"/>
      </w:pPr>
    </w:style>
    <w:style w:type="paragraph" w:styleId="GendocOriginal006SousTitre" w:default="false">
      <w:name w:val="Gendoc_Original_006_SousTitre"/>
      <w:next w:val="01PointnumeroteAltN"/>
      <w:uiPriority w:val="99"/>
      <w:basedOn w:val="Normal"/>
      <w:semiHidden/>
      <w:rPr>
        <w:rFonts w:ascii="Open Sans" w:hAnsi="Open Sans" w:cs="Open Sans"/>
        <w:color w:val="#231F20"/>
        <w:sz w:val="20"/>
        <w:szCs w:val="19"/>
        <w:b w:val="false"/>
        <w:bCs w:val="false"/>
        <w:i w:val="true"/>
        <w:iCs w:val="true"/>
      </w:rPr>
      <w:pPr>
        <w:spacing w:before="0" w:after="240" w:line="264" w:lineRule="auto"/>
        <w:ind w:start="0" w:end="0"/>
        <w:jc w:val="left"/>
        <w:widowControl w:val="false"/>
      </w:pPr>
    </w:style>
    <w:style w:type="paragraph" w:styleId="007NomDesParties" w:default="false">
      <w:name w:val="007_NomDesParties"/>
      <w:next w:val="007_NomDesParties"/>
      <w:uiPriority w:val="99"/>
      <w:basedOn w:val="Normal"/>
      <w:rPr>
        <w:rFonts w:ascii="Open Sans" w:hAnsi="Open Sans" w:cs="Open Sans"/>
        <w:color w:val="auto"/>
        <w:sz w:val="20"/>
        <w:szCs w:val="19"/>
        <w:b w:val="false"/>
        <w:bCs w:val="false"/>
        <w:i w:val="false"/>
        <w:iCs w:val="false"/>
      </w:rPr>
      <w:pPr>
        <w:spacing w:before="0" w:after="0" w:line="240" w:lineRule="auto"/>
        <w:ind w:start="0" w:end="0"/>
        <w:jc w:val="left"/>
        <w:widowControl w:val="false"/>
      </w:pPr>
    </w:style>
    <w:style w:type="paragraph" w:styleId="GendocOriginal007NomDesParties" w:default="false">
      <w:name w:val="Gendoc_Original_007_NomDesParties"/>
      <w:next w:val="Gendoc_Original_007_NomDesParties"/>
      <w:uiPriority w:val="99"/>
      <w:basedOn w:val="Normal"/>
      <w:semiHidden/>
      <w:rPr>
        <w:rFonts w:ascii="Open Sans" w:hAnsi="Open Sans" w:cs="Open Sans"/>
        <w:color w:val="auto"/>
        <w:sz w:val="20"/>
        <w:szCs w:val="19"/>
        <w:b w:val="false"/>
        <w:bCs w:val="false"/>
        <w:i w:val="false"/>
        <w:iCs w:val="false"/>
      </w:rPr>
      <w:pPr>
        <w:spacing w:before="0" w:after="0" w:line="240" w:lineRule="auto"/>
        <w:ind w:start="0" w:end="0"/>
        <w:jc w:val="left"/>
        <w:widowControl w:val="false"/>
      </w:pPr>
    </w:style>
    <w:style w:type="paragraph" w:styleId="008CorpsDuTexte" w:default="false">
      <w:name w:val="008_CorpsDuTexte"/>
      <w:next w:val="008_CorpsDuTexte"/>
      <w:uiPriority w:val="99"/>
      <w:basedOn w:val="Normal"/>
      <w:rPr>
        <w:rFonts w:ascii="Open Sans" w:hAnsi="Open Sans" w:cs="Open Sans"/>
        <w:color w:val="#231F20"/>
        <w:sz w:val="18"/>
        <w:szCs w:val="17"/>
        <w:b w:val="false"/>
        <w:bCs w:val="false"/>
        <w:i w:val="false"/>
        <w:iCs w:val="false"/>
      </w:rPr>
      <w:pPr>
        <w:spacing w:before="172" w:after="0" w:line="274" w:lineRule="auto"/>
        <w:ind w:start="0" w:end="0"/>
        <w:jc w:val="left"/>
        <w:widowControl w:val="false"/>
      </w:pPr>
    </w:style>
    <w:style w:type="paragraph" w:styleId="GendocOriginal008CorpsDuTexte" w:default="false">
      <w:name w:val="Gendoc_Original_008_CorpsDuTexte"/>
      <w:next w:val="Gendoc_Original_008_CorpsDuTexte"/>
      <w:uiPriority w:val="99"/>
      <w:basedOn w:val="Normal"/>
      <w:semiHidden/>
      <w:rPr>
        <w:rFonts w:ascii="Open Sans" w:hAnsi="Open Sans" w:cs="Open Sans"/>
        <w:color w:val="#231F20"/>
        <w:sz w:val="18"/>
        <w:szCs w:val="17"/>
        <w:b w:val="false"/>
        <w:bCs w:val="false"/>
        <w:i w:val="false"/>
        <w:iCs w:val="false"/>
      </w:rPr>
      <w:pPr>
        <w:spacing w:before="172" w:after="0" w:line="274" w:lineRule="auto"/>
        <w:ind w:start="0" w:end="0"/>
        <w:jc w:val="left"/>
        <w:widowControl w:val="false"/>
      </w:pPr>
    </w:style>
    <w:style w:type="paragraph" w:styleId="009Boite" w:default="false">
      <w:name w:val="009_Boite"/>
      <w:next w:val="009_Boite"/>
      <w:uiPriority w:val="99"/>
      <w:basedOn w:val="Normal"/>
      <w:rPr>
        <w:rFonts w:ascii="Open Sans" w:hAnsi="Open Sans" w:cs="Open Sans"/>
        <w:color w:val="#231F20"/>
        <w:sz w:val="18"/>
        <w:szCs w:val="17"/>
        <w:b w:val="false"/>
        <w:bCs w:val="false"/>
        <w:i w:val="false"/>
        <w:iCs w:val="false"/>
      </w:rPr>
      <w:pPr>
        <w:spacing w:before="100" w:after="0" w:line="240" w:lineRule="auto"/>
        <w:ind w:start="0" w:end="0"/>
        <w:jc w:val="left"/>
        <w:widowControl w:val="false"/>
      </w:pPr>
    </w:style>
    <w:style w:type="paragraph" w:styleId="GendocOriginal009Boite" w:default="false">
      <w:name w:val="Gendoc_Original_009_Boite"/>
      <w:next w:val="Gendoc_Original_009_Boite"/>
      <w:uiPriority w:val="99"/>
      <w:basedOn w:val="Normal"/>
      <w:semiHidden/>
      <w:rPr>
        <w:rFonts w:ascii="Open Sans" w:hAnsi="Open Sans" w:cs="Open Sans"/>
        <w:color w:val="#231F20"/>
        <w:sz w:val="18"/>
        <w:szCs w:val="17"/>
        <w:b w:val="false"/>
        <w:bCs w:val="false"/>
        <w:i w:val="false"/>
        <w:iCs w:val="false"/>
      </w:rPr>
      <w:pPr>
        <w:spacing w:before="100" w:after="0" w:line="240" w:lineRule="auto"/>
        <w:ind w:start="0" w:end="0"/>
        <w:jc w:val="left"/>
        <w:widowControl w:val="false"/>
      </w:pPr>
    </w:style>
    <w:style w:type="paragraph" w:styleId="110Rappel" w:default="false">
      <w:name w:val="110_Rappel"/>
      <w:next w:val="110_Rappel"/>
      <w:uiPriority w:val="99"/>
      <w:basedOn w:val="Normal"/>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widowControl w:val="false"/>
      </w:pPr>
    </w:style>
    <w:style w:type="paragraph" w:styleId="GendocOriginal110Rappel" w:default="false">
      <w:name w:val="Gendoc_Original_110_Rappel"/>
      <w:next w:val="Gendoc_Original_110_Rappel"/>
      <w:uiPriority w:val="99"/>
      <w:basedOn w:val="Normal"/>
      <w:semiHidden/>
      <w:rPr>
        <w:rFonts w:ascii="Open Sans" w:hAnsi="Open Sans" w:cs="Open Sans"/>
        <w:color w:val="#231F20"/>
        <w:sz w:val="18"/>
        <w:szCs w:val="17"/>
        <w:b w:val="false"/>
        <w:bCs w:val="false"/>
        <w:i w:val="false"/>
        <w:iCs w:val="false"/>
      </w:rPr>
      <w:pPr>
        <w:pBdr>
          <w:top w:val="single" w:color="#D1D3D4" w:sz="8" w:space="4"/>
          <w:left w:val="single" w:color="#D1D3D4" w:sz="8" w:space="4"/>
          <w:bottom w:val="single" w:color="#D1D3D4" w:sz="8" w:space="4"/>
          <w:right w:val="single" w:color="#D1D3D4" w:sz="8" w:space="4"/>
        </w:pBdr>
        <w:spacing w:before="240" w:after="240" w:line="310" w:lineRule="auto"/>
        <w:ind w:start="0" w:end="0"/>
        <w:jc w:val="left"/>
        <w:widowControl w:val="false"/>
      </w:pPr>
    </w:style>
    <w:style w:type="paragraph" w:styleId="Header" w:default="false">
      <w:name w:val="Header"/>
      <w:next w:val="Header"/>
      <w:uiPriority w:val="99"/>
      <w:basedOn w:val="Normal"/>
      <w:rPr>
        <w:rFonts w:ascii="Open Sans" w:hAnsi="Open Sans" w:cs="Open Sans"/>
        <w:color w:val="auto"/>
        <w:sz w:val="22"/>
        <w:szCs w:val="21"/>
        <w:b w:val="false"/>
        <w:bCs w:val="false"/>
        <w:i w:val="false"/>
        <w:iCs w:val="false"/>
      </w:rPr>
      <w:pPr>
        <w:spacing w:before="0" w:after="120" w:line="240" w:lineRule="auto"/>
        <w:ind w:start="0" w:end="0"/>
        <w:jc w:val="left"/>
        <w:widowControl w:val="false"/>
      </w:pPr>
    </w:style>
    <w:style w:type="paragraph" w:styleId="GendocOriginalHeader" w:default="false">
      <w:name w:val="Gendoc_Original_Header"/>
      <w:next w:val="Gendoc_Original_Header"/>
      <w:uiPriority w:val="99"/>
      <w:basedOn w:val="Normal"/>
      <w:semiHidden/>
      <w:rPr>
        <w:rFonts w:ascii="Open Sans" w:hAnsi="Open Sans" w:cs="Open Sans"/>
        <w:color w:val="auto"/>
        <w:sz w:val="22"/>
        <w:szCs w:val="21"/>
        <w:b w:val="false"/>
        <w:bCs w:val="false"/>
        <w:i w:val="false"/>
        <w:iCs w:val="false"/>
      </w:rPr>
      <w:pPr>
        <w:spacing w:before="0" w:after="120" w:line="240" w:lineRule="auto"/>
        <w:ind w:start="0" w:end="0"/>
        <w:jc w:val="left"/>
        <w:widowControl w:val="false"/>
      </w:pPr>
    </w:style>
    <w:style w:type="paragraph" w:styleId="002IDBig" w:default="false">
      <w:name w:val="002_ID_Big"/>
      <w:next w:val="002_ID_Big"/>
      <w:uiPriority w:val="99"/>
      <w:basedOn w:val="Normal"/>
      <w:rPr>
        <w:rFonts w:ascii="Open Sans" w:hAnsi="Open Sans" w:cs="Open Sans"/>
        <w:color w:val="#D4A167"/>
        <w:sz w:val="48"/>
        <w:szCs w:val="47"/>
        <w:b w:val="false"/>
        <w:bCs w:val="false"/>
        <w:i w:val="false"/>
        <w:iCs w:val="false"/>
      </w:rPr>
      <w:pPr>
        <w:spacing w:before="0" w:after="0" w:line="240" w:lineRule="auto"/>
        <w:ind w:start="0" w:end="0"/>
        <w:jc w:val="left"/>
        <w:widowControl w:val="false"/>
      </w:pPr>
    </w:style>
    <w:style w:type="paragraph" w:styleId="GendocOriginal002IDBig" w:default="false">
      <w:name w:val="Gendoc_Original_002_ID_Big"/>
      <w:next w:val="Gendoc_Original_002_ID_Big"/>
      <w:uiPriority w:val="99"/>
      <w:basedOn w:val="Normal"/>
      <w:semiHidden/>
      <w:rPr>
        <w:rFonts w:ascii="Open Sans" w:hAnsi="Open Sans" w:cs="Open Sans"/>
        <w:color w:val="#D4A167"/>
        <w:sz w:val="48"/>
        <w:szCs w:val="47"/>
        <w:b w:val="false"/>
        <w:bCs w:val="false"/>
        <w:i w:val="false"/>
        <w:iCs w:val="false"/>
      </w:rPr>
      <w:pPr>
        <w:spacing w:before="0" w:after="0" w:line="240" w:lineRule="auto"/>
        <w:ind w:start="0" w:end="0"/>
        <w:jc w:val="left"/>
        <w:widowControl w:val="false"/>
      </w:pPr>
    </w:style>
    <w:style w:type="paragraph" w:styleId="Bodytext" w:default="false">
      <w:name w:val="Body text"/>
      <w:next w:val="Body text"/>
      <w:uiPriority w:val="99"/>
      <w:basedOn w:val="Normal"/>
      <w:rPr>
        <w:rFonts w:ascii="Open Sans" w:hAnsi="Open Sans" w:cs="Open Sans"/>
        <w:color w:val="auto"/>
        <w:sz w:val="18"/>
        <w:szCs w:val="17"/>
        <w:b w:val="false"/>
        <w:bCs w:val="false"/>
        <w:i w:val="false"/>
        <w:iCs w:val="false"/>
      </w:rPr>
      <w:pPr>
        <w:spacing w:before="0" w:after="0" w:line="240" w:lineRule="auto"/>
        <w:ind w:start="0" w:end="0"/>
        <w:jc w:val="left"/>
        <w:widowControl w:val="false"/>
      </w:pPr>
    </w:style>
    <w:style w:type="paragraph" w:styleId="GendocOriginalBodytext" w:default="false">
      <w:name w:val="Gendoc_Original_Body text"/>
      <w:next w:val="Gendoc_Original_Body text"/>
      <w:uiPriority w:val="99"/>
      <w:basedOn w:val="Normal"/>
      <w:semiHidden/>
      <w:rPr>
        <w:rFonts w:ascii="Open Sans" w:hAnsi="Open Sans" w:cs="Open Sans"/>
        <w:color w:val="auto"/>
        <w:sz w:val="18"/>
        <w:szCs w:val="17"/>
        <w:b w:val="false"/>
        <w:bCs w:val="false"/>
        <w:i w:val="false"/>
        <w:iCs w:val="false"/>
      </w:rPr>
      <w:pPr>
        <w:spacing w:before="0" w:after="0" w:line="240" w:lineRule="auto"/>
        <w:ind w:start="0" w:end="0"/>
        <w:jc w:val="left"/>
        <w:widowControl w:val="false"/>
      </w:pPr>
    </w:style>
    <w:style w:type="paragraph" w:styleId="012StayConnected" w:default="false">
      <w:name w:val="012_StayConnected"/>
      <w:next w:val="012_StayConnected"/>
      <w:uiPriority w:val="99"/>
      <w:basedOn w:val="Normal"/>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widowControl w:val="false"/>
      </w:pPr>
    </w:style>
    <w:style w:type="paragraph" w:styleId="GendocOriginal012StayConnected" w:default="false">
      <w:name w:val="Gendoc_Original_012_StayConnected"/>
      <w:next w:val="Gendoc_Original_012_StayConnected"/>
      <w:uiPriority w:val="99"/>
      <w:basedOn w:val="Normal"/>
      <w:semiHidden/>
      <w:rPr>
        <w:rFonts w:ascii="Open Sans SemiBold" w:hAnsi="Open Sans SemiBold" w:cs="Open Sans SemiBold"/>
        <w:color w:val="auto"/>
        <w:sz w:val="18"/>
        <w:szCs w:val="17"/>
        <w:b w:val="false"/>
        <w:bCs w:val="false"/>
        <w:i w:val="false"/>
        <w:iCs w:val="false"/>
      </w:rPr>
      <w:pPr>
        <w:pBdr>
          <w:top w:val="single" w:color="#C8AE70" w:sz="8" w:space="4"/>
          <w:left w:val="single" w:color="#C8AE70" w:sz="8" w:space="4"/>
          <w:bottom w:val="single" w:color="#C8AE70" w:sz="8" w:space="4"/>
          <w:right w:val="single" w:color="#C8AE70" w:sz="8" w:space="4"/>
        </w:pBdr>
        <w:spacing w:before="120" w:after="120" w:line="274" w:lineRule="auto"/>
        <w:ind w:start="0" w:end="0"/>
        <w:jc w:val="left"/>
        <w:widowControl w:val="false"/>
      </w:pPr>
    </w:style>
    <w:style w:type="paragraph" w:styleId="50FootnoteNomFictif" w:default="false">
      <w:name w:val="50_Footnote_Nom_Fictif"/>
      <w:next w:val="50FootnoteNomFictif"/>
      <w:uiPriority w:val="99"/>
      <w:basedOn w:val="FootnoteText"/>
      <w:link w:val="Normal"/>
      <w:rPr>
        <w:rFonts w:ascii="Open Sans" w:hAnsi="Open Sans" w:cs="Open Sans"/>
        <w:color w:val="auto"/>
        <w:sz w:val="15"/>
        <w:szCs w:val="14"/>
        <w:b w:val="false"/>
        <w:bCs w:val="false"/>
        <w:i w:val="false"/>
        <w:iCs w:val="false"/>
      </w:rPr>
      <w:pPr>
        <w:spacing w:before="0" w:after="300" w:line="240" w:lineRule="auto"/>
        <w:ind w:start="142" w:end="0" w:hanging="142"/>
        <w:jc w:val="both"/>
      </w:pPr>
    </w:style>
    <w:style w:type="paragraph" w:styleId="GendocOriginal50FootnoteNomFictif" w:default="false">
      <w:name w:val="Gendoc_Original_50_Footnote_Nom_Fictif"/>
      <w:next w:val="50FootnoteNomFictif"/>
      <w:uiPriority w:val="99"/>
      <w:basedOn w:val="FootnoteText"/>
      <w:link w:val="Normal"/>
      <w:semiHidden/>
      <w:rPr>
        <w:rFonts w:ascii="Open Sans" w:hAnsi="Open Sans" w:cs="Open Sans"/>
        <w:color w:val="auto"/>
        <w:sz w:val="15"/>
        <w:szCs w:val="14"/>
        <w:b w:val="false"/>
        <w:bCs w:val="false"/>
        <w:i w:val="false"/>
        <w:iCs w:val="false"/>
      </w:rPr>
      <w:pPr>
        <w:spacing w:before="0" w:after="300" w:line="240" w:lineRule="auto"/>
        <w:ind w:start="142" w:end="0" w:hanging="142"/>
        <w:jc w:val="both"/>
      </w:pPr>
    </w:style>
    <w:style w:type="paragraph" w:styleId="FootnoteText" w:default="false">
      <w:name w:val="Footnote Text"/>
      <w:next w:val="Footnote Text"/>
      <w:uiPriority w:val="99"/>
      <w:basedOn w:val="Normal"/>
      <w:rPr>
        <w:rFonts w:ascii="Open Sans" w:hAnsi="Open Sans" w:cs="Open Sans"/>
        <w:color w:val="#231F20"/>
        <w:sz w:val="14"/>
        <w:szCs w:val="13"/>
        <w:b w:val="false"/>
        <w:bCs w:val="false"/>
        <w:i w:val="false"/>
        <w:iCs w:val="false"/>
      </w:rPr>
      <w:pPr>
        <w:spacing w:before="0" w:after="60" w:line="288" w:lineRule="auto"/>
        <w:ind w:start="0" w:end="0"/>
        <w:jc w:val="left"/>
        <w:widowControl w:val="false"/>
      </w:pPr>
    </w:style>
    <w:style w:type="paragraph" w:styleId="GendocOriginalFootnoteText" w:default="false">
      <w:name w:val="Gendoc_Original_Footnote Text"/>
      <w:next w:val="Gendoc_Original_Footnote Text"/>
      <w:uiPriority w:val="99"/>
      <w:basedOn w:val="Normal"/>
      <w:semiHidden/>
      <w:rPr>
        <w:rFonts w:ascii="Open Sans" w:hAnsi="Open Sans" w:cs="Open Sans"/>
        <w:color w:val="#231F20"/>
        <w:sz w:val="14"/>
        <w:szCs w:val="13"/>
        <w:b w:val="false"/>
        <w:bCs w:val="false"/>
        <w:i w:val="false"/>
        <w:iCs w:val="false"/>
      </w:rPr>
      <w:pPr>
        <w:spacing w:before="0" w:after="60" w:line="288" w:lineRule="auto"/>
        <w:ind w:start="0" w:end="0"/>
        <w:jc w:val="left"/>
        <w:widowControl w:val="false"/>
      </w:pPr>
    </w:style>
    <w:style w:type="paragraph" w:styleId="011Footer" w:default="false">
      <w:name w:val="011_Footer"/>
      <w:next w:val="011_Footer"/>
      <w:uiPriority w:val="99"/>
      <w:basedOn w:val="Normal"/>
      <w:rPr>
        <w:rFonts w:ascii="Open Sans" w:hAnsi="Open Sans" w:cs="Open Sans"/>
        <w:color w:val="#414042"/>
        <w:sz w:val="18"/>
        <w:szCs w:val="17"/>
        <w:b w:val="false"/>
        <w:bCs w:val="false"/>
        <w:i w:val="false"/>
        <w:iCs w:val="false"/>
      </w:rPr>
      <w:pPr>
        <w:spacing w:before="0" w:after="0" w:line="221" w:lineRule="auto"/>
        <w:ind w:start="0" w:end="0"/>
        <w:jc w:val="left"/>
        <w:widowControl w:val="false"/>
      </w:pPr>
    </w:style>
    <w:style w:type="paragraph" w:styleId="GendocOriginal011Footer" w:default="false">
      <w:name w:val="Gendoc_Original_011_Footer"/>
      <w:next w:val="Gendoc_Original_011_Footer"/>
      <w:uiPriority w:val="99"/>
      <w:basedOn w:val="Normal"/>
      <w:semiHidden/>
      <w:rPr>
        <w:rFonts w:ascii="Open Sans" w:hAnsi="Open Sans" w:cs="Open Sans"/>
        <w:color w:val="#414042"/>
        <w:sz w:val="18"/>
        <w:szCs w:val="17"/>
        <w:b w:val="false"/>
        <w:bCs w:val="false"/>
        <w:i w:val="false"/>
        <w:iCs w:val="false"/>
      </w:rPr>
      <w:pPr>
        <w:spacing w:before="0" w:after="0" w:line="221" w:lineRule="auto"/>
        <w:ind w:start="0" w:end="0"/>
        <w:jc w:val="left"/>
        <w:widowControl w:val="false"/>
      </w:pPr>
    </w:style>
    <w:style w:type="paragraph" w:styleId="102ID" w:default="false">
      <w:name w:val="102_ID"/>
      <w:next w:val="102_ID"/>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GendocOriginal102ID" w:default="false">
      <w:name w:val="Gendoc_Original_102_ID"/>
      <w:next w:val="Gendoc_Original_102_ID"/>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102IDC" w:default="false">
      <w:name w:val="102_ID_C"/>
      <w:next w:val="102_ID_C"/>
      <w:uiPriority w:val="99"/>
      <w:basedOn w:val="Normal"/>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GendocOriginal102IDC" w:default="false">
      <w:name w:val="Gendoc_Original_102_ID_C"/>
      <w:next w:val="Gendoc_Original_102_ID_C"/>
      <w:uiPriority w:val="99"/>
      <w:basedOn w:val="Normal"/>
      <w:semiHidden/>
      <w:rPr>
        <w:rFonts w:ascii="Open Sans" w:hAnsi="Open Sans" w:cs="Open Sans"/>
        <w:color w:val="#851A15"/>
        <w:sz w:val="28"/>
        <w:szCs w:val="27"/>
        <w:b w:val="false"/>
        <w:bCs w:val="false"/>
        <w:i w:val="false"/>
        <w:iCs w:val="false"/>
      </w:rPr>
      <w:pPr>
        <w:spacing w:before="0" w:after="0" w:line="240" w:lineRule="auto"/>
        <w:ind w:start="0" w:end="0"/>
        <w:jc w:val="left"/>
        <w:widowControl w:val="false"/>
      </w:pPr>
    </w:style>
    <w:style w:type="paragraph" w:styleId="103DateC" w:default="false">
      <w:name w:val="103_Date_C"/>
      <w:next w:val="103_Date_C"/>
      <w:uiPriority w:val="99"/>
      <w:basedOn w:val="Normal"/>
      <w:rPr>
        <w:rFonts w:ascii="Open Sans" w:hAnsi="Open Sans" w:cs="Open Sans"/>
        <w:color w:val="#851A15"/>
        <w:sz w:val="18"/>
        <w:szCs w:val="17"/>
        <w:b w:val="false"/>
        <w:bCs w:val="false"/>
        <w:i w:val="false"/>
        <w:iCs w:val="false"/>
      </w:rPr>
      <w:pPr>
        <w:spacing w:before="120" w:after="100" w:line="240" w:lineRule="auto"/>
        <w:ind w:start="45" w:end="0"/>
        <w:jc w:val="left"/>
        <w:widowControl w:val="false"/>
      </w:pPr>
    </w:style>
    <w:style w:type="paragraph" w:styleId="GendocOriginal103DateC" w:default="false">
      <w:name w:val="Gendoc_Original_103_Date_C"/>
      <w:next w:val="Gendoc_Original_103_Date_C"/>
      <w:uiPriority w:val="99"/>
      <w:basedOn w:val="Normal"/>
      <w:semiHidden/>
      <w:rPr>
        <w:rFonts w:ascii="Open Sans" w:hAnsi="Open Sans" w:cs="Open Sans"/>
        <w:color w:val="#851A15"/>
        <w:sz w:val="18"/>
        <w:szCs w:val="17"/>
        <w:b w:val="false"/>
        <w:bCs w:val="false"/>
        <w:i w:val="false"/>
        <w:iCs w:val="false"/>
      </w:rPr>
      <w:pPr>
        <w:spacing w:before="120" w:after="100" w:line="240" w:lineRule="auto"/>
        <w:ind w:start="45" w:end="0"/>
        <w:jc w:val="left"/>
        <w:widowControl w:val="false"/>
      </w:pPr>
    </w:style>
    <w:style w:type="paragraph" w:styleId="103DateTitreC" w:default="false">
      <w:name w:val="103_Date_Titre_C"/>
      <w:next w:val="01PointnumeroteAltN"/>
      <w:uiPriority w:val="99"/>
      <w:basedOn w:val="Normal"/>
      <w:rPr>
        <w:rFonts w:ascii="Open Sans" w:hAnsi="Open Sans" w:cs="Open Sans"/>
        <w:color w:val="#851A15"/>
        <w:sz w:val="22"/>
        <w:szCs w:val="21"/>
        <w:b w:val="false"/>
        <w:bCs w:val="false"/>
        <w:i w:val="false"/>
        <w:iCs w:val="false"/>
      </w:rPr>
      <w:pPr>
        <w:spacing w:before="54" w:after="0" w:line="240" w:lineRule="auto"/>
        <w:ind w:start="45" w:end="0"/>
        <w:jc w:val="left"/>
        <w:widowControl w:val="false"/>
      </w:pPr>
    </w:style>
    <w:style w:type="paragraph" w:styleId="GendocOriginal103DateTitreC" w:default="false">
      <w:name w:val="Gendoc_Original_103_Date_Titre_C"/>
      <w:next w:val="01PointnumeroteAltN"/>
      <w:uiPriority w:val="99"/>
      <w:basedOn w:val="Normal"/>
      <w:semiHidden/>
      <w:rPr>
        <w:rFonts w:ascii="Open Sans" w:hAnsi="Open Sans" w:cs="Open Sans"/>
        <w:color w:val="#851A15"/>
        <w:sz w:val="22"/>
        <w:szCs w:val="21"/>
        <w:b w:val="false"/>
        <w:bCs w:val="false"/>
        <w:i w:val="false"/>
        <w:iCs w:val="false"/>
      </w:rPr>
      <w:pPr>
        <w:spacing w:before="54" w:after="0" w:line="240" w:lineRule="auto"/>
        <w:ind w:start="45" w:end="0"/>
        <w:jc w:val="left"/>
        <w:widowControl w:val="false"/>
      </w:pPr>
    </w:style>
    <w:style w:type="paragraph" w:styleId="102IDT" w:default="false">
      <w:name w:val="102_ID_T"/>
      <w:next w:val="102_ID_T"/>
      <w:uiPriority w:val="99"/>
      <w:basedOn w:val="Normal"/>
      <w:rPr>
        <w:rFonts w:ascii="Open Sans" w:hAnsi="Open Sans" w:cs="Open Sans"/>
        <w:color w:val="#3E516E"/>
        <w:sz w:val="28"/>
        <w:szCs w:val="27"/>
        <w:b w:val="false"/>
        <w:bCs w:val="false"/>
        <w:i w:val="false"/>
        <w:iCs w:val="false"/>
      </w:rPr>
      <w:pPr>
        <w:spacing w:before="0" w:after="0" w:line="240" w:lineRule="auto"/>
        <w:ind w:start="0" w:end="0"/>
        <w:jc w:val="left"/>
        <w:widowControl w:val="false"/>
      </w:pPr>
    </w:style>
    <w:style w:type="paragraph" w:styleId="GendocOriginal102IDT" w:default="false">
      <w:name w:val="Gendoc_Original_102_ID_T"/>
      <w:next w:val="Gendoc_Original_102_ID_T"/>
      <w:uiPriority w:val="99"/>
      <w:basedOn w:val="Normal"/>
      <w:semiHidden/>
      <w:rPr>
        <w:rFonts w:ascii="Open Sans" w:hAnsi="Open Sans" w:cs="Open Sans"/>
        <w:color w:val="#3E516E"/>
        <w:sz w:val="28"/>
        <w:szCs w:val="27"/>
        <w:b w:val="false"/>
        <w:bCs w:val="false"/>
        <w:i w:val="false"/>
        <w:iCs w:val="false"/>
      </w:rPr>
      <w:pPr>
        <w:spacing w:before="0" w:after="0" w:line="240" w:lineRule="auto"/>
        <w:ind w:start="0" w:end="0"/>
        <w:jc w:val="left"/>
        <w:widowControl w:val="false"/>
      </w:pPr>
    </w:style>
    <w:style w:type="paragraph" w:styleId="103DateT" w:default="false">
      <w:name w:val="103_Date_T"/>
      <w:next w:val="103_Date_T"/>
      <w:uiPriority w:val="99"/>
      <w:basedOn w:val="Normal"/>
      <w:rPr>
        <w:rFonts w:ascii="Open Sans" w:hAnsi="Open Sans" w:cs="Open Sans"/>
        <w:color w:val="#3E516E"/>
        <w:sz w:val="18"/>
        <w:szCs w:val="17"/>
        <w:b w:val="false"/>
        <w:bCs w:val="false"/>
        <w:i w:val="false"/>
        <w:iCs w:val="false"/>
      </w:rPr>
      <w:pPr>
        <w:spacing w:before="120" w:after="100" w:line="240" w:lineRule="auto"/>
        <w:ind w:start="45" w:end="0"/>
        <w:jc w:val="left"/>
        <w:widowControl w:val="false"/>
      </w:pPr>
    </w:style>
    <w:style w:type="paragraph" w:styleId="GendocOriginal103DateT" w:default="false">
      <w:name w:val="Gendoc_Original_103_Date_T"/>
      <w:next w:val="Gendoc_Original_103_Date_T"/>
      <w:uiPriority w:val="99"/>
      <w:basedOn w:val="Normal"/>
      <w:semiHidden/>
      <w:rPr>
        <w:rFonts w:ascii="Open Sans" w:hAnsi="Open Sans" w:cs="Open Sans"/>
        <w:color w:val="#3E516E"/>
        <w:sz w:val="18"/>
        <w:szCs w:val="17"/>
        <w:b w:val="false"/>
        <w:bCs w:val="false"/>
        <w:i w:val="false"/>
        <w:iCs w:val="false"/>
      </w:rPr>
      <w:pPr>
        <w:spacing w:before="120" w:after="100" w:line="240" w:lineRule="auto"/>
        <w:ind w:start="45" w:end="0"/>
        <w:jc w:val="left"/>
        <w:widowControl w:val="false"/>
      </w:pPr>
    </w:style>
    <w:style w:type="paragraph" w:styleId="103DateTitreT" w:default="false">
      <w:name w:val="103_Date_Titre_T"/>
      <w:next w:val="01PointnumeroteAltN"/>
      <w:uiPriority w:val="99"/>
      <w:basedOn w:val="Normal"/>
      <w:rPr>
        <w:rFonts w:ascii="Open Sans" w:hAnsi="Open Sans" w:cs="Open Sans"/>
        <w:color w:val="#3E516E"/>
        <w:sz w:val="22"/>
        <w:szCs w:val="21"/>
        <w:b w:val="false"/>
        <w:bCs w:val="false"/>
        <w:i w:val="false"/>
        <w:iCs w:val="false"/>
      </w:rPr>
      <w:pPr>
        <w:spacing w:before="54" w:after="0" w:line="240" w:lineRule="auto"/>
        <w:ind w:start="45" w:end="0"/>
        <w:jc w:val="left"/>
        <w:widowControl w:val="false"/>
      </w:pPr>
    </w:style>
    <w:style w:type="paragraph" w:styleId="GendocOriginal103DateTitreT" w:default="false">
      <w:name w:val="Gendoc_Original_103_Date_Titre_T"/>
      <w:next w:val="01PointnumeroteAltN"/>
      <w:uiPriority w:val="99"/>
      <w:basedOn w:val="Normal"/>
      <w:semiHidden/>
      <w:rPr>
        <w:rFonts w:ascii="Open Sans" w:hAnsi="Open Sans" w:cs="Open Sans"/>
        <w:color w:val="#3E516E"/>
        <w:sz w:val="22"/>
        <w:szCs w:val="21"/>
        <w:b w:val="false"/>
        <w:bCs w:val="false"/>
        <w:i w:val="false"/>
        <w:iCs w:val="false"/>
      </w:rPr>
      <w:pPr>
        <w:spacing w:before="54" w:after="0" w:line="240" w:lineRule="auto"/>
        <w:ind w:start="45" w:end="0"/>
        <w:jc w:val="left"/>
        <w:widowControl w:val="false"/>
      </w:pPr>
    </w:style>
    <w:style w:type="paragraph" w:styleId="102IDI" w:default="false">
      <w:name w:val="102_ID_I"/>
      <w:next w:val="102_ID_I"/>
      <w:uiPriority w:val="99"/>
      <w:basedOn w:val="Normal"/>
      <w:rPr>
        <w:rFonts w:ascii="Open Sans" w:hAnsi="Open Sans" w:cs="Open Sans"/>
        <w:color w:val="#725922"/>
        <w:sz w:val="28"/>
        <w:szCs w:val="27"/>
        <w:b w:val="false"/>
        <w:bCs w:val="false"/>
        <w:i w:val="false"/>
        <w:iCs w:val="false"/>
      </w:rPr>
      <w:pPr>
        <w:spacing w:before="0" w:after="0" w:line="240" w:lineRule="auto"/>
        <w:ind w:start="0" w:end="0"/>
        <w:jc w:val="left"/>
        <w:widowControl w:val="false"/>
      </w:pPr>
    </w:style>
    <w:style w:type="paragraph" w:styleId="GendocOriginal102IDI" w:default="false">
      <w:name w:val="Gendoc_Original_102_ID_I"/>
      <w:next w:val="Gendoc_Original_102_ID_I"/>
      <w:uiPriority w:val="99"/>
      <w:basedOn w:val="Normal"/>
      <w:semiHidden/>
      <w:rPr>
        <w:rFonts w:ascii="Open Sans" w:hAnsi="Open Sans" w:cs="Open Sans"/>
        <w:color w:val="#725922"/>
        <w:sz w:val="28"/>
        <w:szCs w:val="27"/>
        <w:b w:val="false"/>
        <w:bCs w:val="false"/>
        <w:i w:val="false"/>
        <w:iCs w:val="false"/>
      </w:rPr>
      <w:pPr>
        <w:spacing w:before="0" w:after="0" w:line="240" w:lineRule="auto"/>
        <w:ind w:start="0" w:end="0"/>
        <w:jc w:val="left"/>
        <w:widowControl w:val="false"/>
      </w:pPr>
    </w:style>
    <w:style w:type="paragraph" w:styleId="103DateI" w:default="false">
      <w:name w:val="103_Date_I"/>
      <w:next w:val="103_Date_I"/>
      <w:uiPriority w:val="99"/>
      <w:basedOn w:val="Normal"/>
      <w:rPr>
        <w:rFonts w:ascii="Open Sans" w:hAnsi="Open Sans" w:cs="Open Sans"/>
        <w:color w:val="#725922"/>
        <w:sz w:val="18"/>
        <w:szCs w:val="17"/>
        <w:b w:val="false"/>
        <w:bCs w:val="false"/>
        <w:i w:val="false"/>
        <w:iCs w:val="false"/>
      </w:rPr>
      <w:pPr>
        <w:spacing w:before="120" w:after="100" w:line="240" w:lineRule="auto"/>
        <w:ind w:start="45" w:end="0"/>
        <w:jc w:val="left"/>
        <w:widowControl w:val="false"/>
      </w:pPr>
    </w:style>
    <w:style w:type="paragraph" w:styleId="GendocOriginal103DateI" w:default="false">
      <w:name w:val="Gendoc_Original_103_Date_I"/>
      <w:next w:val="Gendoc_Original_103_Date_I"/>
      <w:uiPriority w:val="99"/>
      <w:basedOn w:val="Normal"/>
      <w:semiHidden/>
      <w:rPr>
        <w:rFonts w:ascii="Open Sans" w:hAnsi="Open Sans" w:cs="Open Sans"/>
        <w:color w:val="#725922"/>
        <w:sz w:val="18"/>
        <w:szCs w:val="17"/>
        <w:b w:val="false"/>
        <w:bCs w:val="false"/>
        <w:i w:val="false"/>
        <w:iCs w:val="false"/>
      </w:rPr>
      <w:pPr>
        <w:spacing w:before="120" w:after="100" w:line="240" w:lineRule="auto"/>
        <w:ind w:start="45" w:end="0"/>
        <w:jc w:val="left"/>
        <w:widowControl w:val="false"/>
      </w:pPr>
    </w:style>
    <w:style w:type="paragraph" w:styleId="103DateTitreI" w:default="false">
      <w:name w:val="103_Date_Titre_I"/>
      <w:next w:val="01PointnumeroteAltN"/>
      <w:uiPriority w:val="99"/>
      <w:basedOn w:val="Normal"/>
      <w:rPr>
        <w:rFonts w:ascii="Open Sans" w:hAnsi="Open Sans" w:cs="Open Sans"/>
        <w:color w:val="#725922"/>
        <w:sz w:val="22"/>
        <w:szCs w:val="21"/>
        <w:b w:val="false"/>
        <w:bCs w:val="false"/>
        <w:i w:val="false"/>
        <w:iCs w:val="false"/>
      </w:rPr>
      <w:pPr>
        <w:spacing w:before="54" w:after="0" w:line="240" w:lineRule="auto"/>
        <w:ind w:start="45" w:end="0"/>
        <w:jc w:val="left"/>
        <w:widowControl w:val="false"/>
      </w:pPr>
    </w:style>
    <w:style w:type="paragraph" w:styleId="GendocOriginal103DateTitreI" w:default="false">
      <w:name w:val="Gendoc_Original_103_Date_Titre_I"/>
      <w:next w:val="01PointnumeroteAltN"/>
      <w:uiPriority w:val="99"/>
      <w:basedOn w:val="Normal"/>
      <w:semiHidden/>
      <w:rPr>
        <w:rFonts w:ascii="Open Sans" w:hAnsi="Open Sans" w:cs="Open Sans"/>
        <w:color w:val="#725922"/>
        <w:sz w:val="22"/>
        <w:szCs w:val="21"/>
        <w:b w:val="false"/>
        <w:bCs w:val="false"/>
        <w:i w:val="false"/>
        <w:iCs w:val="false"/>
      </w:rPr>
      <w:pPr>
        <w:spacing w:before="54" w:after="0" w:line="240" w:lineRule="auto"/>
        <w:ind w:start="45" w:end="0"/>
        <w:jc w:val="left"/>
        <w:widowControl w:val="false"/>
      </w:pPr>
    </w:style>
    <w:style w:type="table" w:styleId="TableNoBorder" w:default="false">
      <w:name w:val="TableNoBorder"/>
      <w:next w:val="TableNoBorder"/>
      <w:uiPriority w:val="99"/>
      <w:basedOn w:val="TableNormal"/>
      <w:tblPr>
        <w:tblBorders>
          <w:top w:val="none" w:color="auto" w:sz="2" w:space="0"/>
          <w:left w:val="none" w:color="auto" w:sz="2" w:space="0"/>
          <w:bottom w:val="none" w:color="auto" w:sz="2" w:space="0"/>
          <w:right w:val="none" w:color="auto" w:sz="2" w:space="0"/>
          <w:insideH w:val="none" w:color="auto" w:sz="2" w:space="0"/>
          <w:insideV w:val="none" w:color="auto" w:sz="2" w:space="0"/>
        </w:tblBorders>
        <w:jc w:val="left"/>
        <w:tblCellSpacing w:w="0" w:type="auto"/>
        <w:tblInd w:w="0" w:type="dxa"/>
        <w:tblCellMar>
          <w:top w:w="0" w:type="dxa"/>
          <w:left w:w="108" w:type="dxa"/>
          <w:bottom w:w="0" w:type="dxa"/>
          <w:right w:w="108" w:type="dxa"/>
        </w:tblCellMar>
      </w:tblPr>
    </w:style>
    <w:style w:type="table" w:styleId="GendocOriginalTableNoBorder" w:default="false">
      <w:name w:val="Gendoc_Original_TableNoBorder"/>
      <w:next w:val="Gendoc_Original_TableNoBorder"/>
      <w:uiPriority w:val="99"/>
      <w:basedOn w:val="TableNormal"/>
      <w:semiHidden/>
      <w:tblPr>
        <w:tblBorders>
          <w:top w:val="none" w:color="auto" w:sz="2" w:space="0"/>
          <w:left w:val="none" w:color="auto" w:sz="2" w:space="0"/>
          <w:bottom w:val="none" w:color="auto" w:sz="2" w:space="0"/>
          <w:right w:val="none" w:color="auto" w:sz="2" w:space="0"/>
          <w:insideH w:val="none" w:color="auto" w:sz="2" w:space="0"/>
          <w:insideV w:val="none" w:color="auto" w:sz="2" w:space="0"/>
        </w:tblBorders>
        <w:jc w:val="left"/>
        <w:tblCellSpacing w:w="0" w:type="auto"/>
        <w:tblInd w:w="0" w:type="dxa"/>
        <w:tblCellMar>
          <w:top w:w="0" w:type="dxa"/>
          <w:left w:w="108" w:type="dxa"/>
          <w:bottom w:w="0" w:type="dxa"/>
          <w:right w:w="108" w:type="dxa"/>
        </w:tblCellMar>
      </w:tblPr>
    </w:style>
  </w:styles>
</BackupStyles>
</file>

<file path=customXml/item4.xml><?xml version="1.0" encoding="utf-8"?>
<GendocCanevasStyleMapping>
  <Style>
    <StyleId>1</StyleId>
    <GendocStyle>01PointSomAltN</GendocStyle>
    <CanevasStyle>01PointAltN</CanevasStyle>
    <Organization>C</Organization>
    <IsBold>false</IsBold>
    <IsItalic>false</IsItalic>
    <IsSuperscript>false</IsSuperscript>
    <TemplateKey/>
  </Style>
</GendocCanevasStyleMapping>
</file>

<file path=customXml/item5.xml><?xml version="1.0" encoding="utf-8"?>
<TOCProperties>
  <IsVademecum>0</IsVademecum>
</TOCProperties>
</file>

<file path=customXml/item6.xml><?xml version="1.0" encoding="utf-8"?>
<doc_ref lang="hr">
  <dateDepotPiece/>
  <chambre numero="GC"/>
  <suite>1</suite>
  <type_proc>P</type_proc>
  <numproc>1</numproc>
  <ordonnance_motivee/>
  <langues_procedure>
    <affaire id="C###TIRET_INSECABLE###163/24">
      <langue>RO</langue>
    </affaire>
    <agg_langue_procedure>le rumunjski</agg_langue_procedure>
    <agg_langue_procedure_count>1</agg_langue_procedure_count>
  </langues_procedure>
  <langue_originale>hr</langue_originale>
  <infos_rectif>
    <agg_infoRectif_count>0</agg_infoRectif_count>
    <agg_infoRectif_mention>[Tekst ispravljen rješenjem od # ]</agg_infoRectif_mention>
  </infos_rectif>
  <dates>
    <date annee="2025" mois="05" jour="20" type="audience_plaidoirie"/>
    <date annee="2026" mois="09" jour="08" type="prononce"/>
    <date annee="2025" mois="10" jour="02" type="conclusions_av_gen"/>
    <date annee="2024" mois="03" jour="01" type="depot"/>
    <date annee="2023" mois="12" jour="21" type="renvoi"/>
    <date annee="2024" mois="07" jour="10" type="fin_proc_ecrite"/>
    <date annee="2024" mois="09" jour="12" type="derniere_traduction"/>
    <date_distribution_rapport>[Date distribution]</date_distribution_rapport>
    <rp_entamer_etude>[Entamer étude]</rp_entamer_etude>
    <rp_envoi_avgen>[Envoi avocat général]</rp_envoi_avgen>
    <rp_accepter_avgen>[Acceptation avocat général]</rp_accepter_avgen>
    <date annee="2025" mois="02" jour="11" type="reunion_generale"/>
    <agg_audience_plaidoirie_date>20.05.2025</agg_audience_plaidoirie_date>
    <agg_prononce_date>08-09-2026</agg_prononce_date>
    <agg_conclusions_av_gen_date>02.10.2025</agg_conclusions_av_gen_date>
    <agg_depot_date>01-03-2024</agg_depot_date>
    <agg_jonction_date/>
    <agg_cloture_date/>
    <agg_fin_proc_ecrite_date>10-07-2024</agg_fin_proc_ecrite_date>
    <agg_derniere_traduction_date>12-09-2024</agg_derniere_traduction_date>
    <agg_renvoi_date>21-12-2023</agg_renvoi_date>
    <agg_radiation_date/>
    <agg_reunion_generale_date>11-02-2025</agg_reunion_generale_date>
    <agg_cloture_fin_mention_date/>
    <agg_ordonnance_date/>
    <agg_ordonnance_motivee/>
    <agg_pieceDossier_date/>
  </dates>
  <rp_annexe>[Annexe]</rp_annexe>
  <JO>JO C###NON_BREAKING_SPACE###3737 du 24.6.2024.</JO>
  <rp_juge_rapporteur>Miroslav Gavalec</rp_juge_rapporteur>
  <depot>
    <act_id>56538</act_id>
    <juridiction>Curtea de Apel Bucureşti</juridiction>
    <pays_code>RO</pays_code>
    <pays>Rumunjska</pays>
    <date_renvoi>21/12/2023</date_renvoi>
    <affaire_penale>N</affaire_penale>
  </depot>
  <depotOriginal>
    <typeDepotOriginal/>
    <date annee="2024" mois="03" jour="01" type="dateDepotOriginal"/>
    <agg_depotOriginal_date>01-03-2024</agg_depotOriginal_date>
  </depotOriginal>
  <organisation_procedure>0</organisation_procedure>
  <procedure_orale>0</procedure_orale>
  <reouv>0</reouv>
  <conc_juge_av_gen>0</conc_juge_av_gen>
  <president_juridiction>
    <nom>Lenaerts</nom>
    <prenom>Koen</prenom>
    <initiale>K.</initiale>
    <sexe>M</sexe>
    <civilite>M.</civilite>
    <code>LEA</code>
  </president_juridiction>
  <juges>
    <juge>
      <nom>Lenaerts</nom>
      <prenom>Koen</prenom>
      <initiale>K.</initiale>
      <sexe>M</sexe>
      <civilite>M.</civilite>
      <fonction>président</fonction>
    </juge>
    <juge>
      <nom>von Danwitz</nom>
      <prenom>Thomas</prenom>
      <initiale>T.</initiale>
      <sexe>M</sexe>
      <civilite>M.</civilite>
      <fonction>vice-président</fonction>
    </juge>
    <juge>
      <nom>Biltgen</nom>
      <prenom>François</prenom>
      <initiale>F.</initiale>
      <sexe>M</sexe>
      <civilite>M.</civilite>
      <fonction>predsjednik vijeća</fonction>
    </juge>
    <juge>
      <nom>Jürimäe</nom>
      <prenom>Küllike</prenom>
      <initiale>K.</initiale>
      <sexe>F</sexe>
      <civilite>Mme</civilite>
      <fonction>predsjednik vijeća</fonction>
    </juge>
    <juge>
      <nom>Arastey Sahún</nom>
      <prenom>María Lourdes</prenom>
      <initiale>M. L.</initiale>
      <sexe>F</sexe>
      <civilite>Mme</civilite>
      <fonction>predsjednik vijeća</fonction>
    </juge>
    <juge>
      <nom>Passer</nom>
      <prenom>Jan</prenom>
      <initiale>J.</initiale>
      <sexe>M</sexe>
      <civilite>M.</civilite>
      <fonction>predsjednik vijeća</fonction>
    </juge>
    <juge>
      <nom>Schalin</nom>
      <prenom>Fredrik</prenom>
      <initiale>F.</initiale>
      <sexe>M</sexe>
      <civilite>M.</civilite>
      <fonction>predsjednik vijeća</fonction>
    </juge>
    <juge>
      <nom>Rodin</nom>
      <prenom>Siniša</prenom>
      <initiale>S.</initiale>
      <sexe>M</sexe>
      <civilite>M.</civilite>
      <fonction/>
    </juge>
    <juge>
      <nom>Regan</nom>
      <prenom>Eugene</prenom>
      <initiale>E.</initiale>
      <sexe>M</sexe>
      <civilite>M.</civilite>
      <fonction/>
    </juge>
    <juge>
      <nom>Gratsias</nom>
      <prenom>Dimitrios</prenom>
      <initiale>D.</initiale>
      <sexe>M</sexe>
      <civilite>M.</civilite>
      <fonction/>
    </juge>
    <juge>
      <nom>Gavalec</nom>
      <prenom>Miroslav</prenom>
      <initiale>M.</initiale>
      <sexe>M</sexe>
      <civilite>M.</civilite>
      <fonction>(izvjestitelj)</fonction>
    </juge>
    <juge>
      <nom>Csehi</nom>
      <prenom>Zoltán</prenom>
      <initiale>Z.</initiale>
      <sexe>M</sexe>
      <civilite>M.</civilite>
      <fonction/>
    </juge>
    <juge>
      <nom>Gervasoni</nom>
      <prenom>Stéphane</prenom>
      <initiale>S.</initiale>
      <sexe>M</sexe>
      <civilite>M.</civilite>
      <fonction/>
    </juge>
    <juge>
      <nom>Fenger</nom>
      <prenom>Niels</prenom>
      <initiale>N.</initiale>
      <sexe>M</sexe>
      <civilite>M.</civilite>
      <fonction/>
    </juge>
    <juge>
      <nom>Frendo</nom>
      <prenom>Ramona</prenom>
      <initiale>R.</initiale>
      <sexe>F</sexe>
      <civilite>Mme</civilite>
      <fonction/>
    </juge>
    <composition>g.###NON_BREAKING_SPACE###K.###NON_BREAKING_SPACE###Lenaerts, président, g.###NON_BREAKING_SPACE###T.###NON_BREAKING_SPACE###von Danwitz, vice-président, g.###NON_BREAKING_SPACE###F.###NON_BREAKING_SPACE###Biltgen, Mmes###NON_BREAKING_SPACE###K.###NON_BREAKING_SPACE###Jürimäe, M.###NON_BREAKING_SPACE###L.###NON_BREAKING_SPACE###Arastey Sahún, MM.###NON_BREAKING_SPACE###J.###NON_BREAKING_SPACE###Passer i F.###NON_BREAKING_SPACE###Schalin, présidents de chambre, MM.###NON_BREAKING_SPACE###S.###NON_BREAKING_SPACE###Rodin, E.###NON_BREAKING_SPACE###Regan, D.###NON_BREAKING_SPACE###Gratsias, M.###NON_BREAKING_SPACE###Gavalec (izvjestitelj), Z.###NON_BREAKING_SPACE###Csehi, S.###NON_BREAKING_SPACE###Gervasoni, N.###NON_BREAKING_SPACE###Fenger i gđa###NON_BREAKING_SPACE###R.###NON_BREAKING_SPACE###Frendo, suci</composition>
    <president>
      <nom>Lenaerts</nom>
      <prenom>Koen</prenom>
      <initiale>K.</initiale>
      <sexe>M</sexe>
      <civilite>M.</civilite>
      <code>LEA</code>
    </president>
    <presidentFF/>
    <agg_juges>g.###NON_BREAKING_SPACE###K.###NON_BREAKING_SPACE###Lenaerts, président, g.###NON_BREAKING_SPACE###T.###NON_BREAKING_SPACE###von Danwitz, vice###TIRET_INSECABLE###président, g.###NON_BREAKING_SPACE###F.###NON_BREAKING_SPACE###Biltgen, Mmes###NON_BREAKING_SPACE###K.###NON_BREAKING_SPACE###Jürimäe, M.###NON_BREAKING_SPACE###L.###NON_BREAKING_SPACE###Arastey Sahún, MM.###NON_BREAKING_SPACE###J.###NON_BREAKING_SPACE###Passer i F.###NON_BREAKING_SPACE###Schalin, présidents de chambre, MM.###NON_BREAKING_SPACE###S.###NON_BREAKING_SPACE###Rodin, E.###NON_BREAKING_SPACE###Regan, D.###NON_BREAKING_SPACE###Gratsias, M.###NON_BREAKING_SPACE###Gavalec (izvjestitelj), Z.###NON_BREAKING_SPACE###Csehi, S.###NON_BREAKING_SPACE###Gervasoni, N.###NON_BREAKING_SPACE###Fenger i gđa###NON_BREAKING_SPACE###R.###NON_BREAKING_SPACE###Frendo, suci</agg_juges>
    <agg_juges_count>15</agg_juges_count>
    <agg_juges_president/>
    <agg_juges_president_count>0</agg_juges_president_count>
    <agg_juges_sign>
      <agg_juge_sign>Lenaerts</agg_juge_sign>
      <agg_juge_sign>von###NON_BREAKING_SPACE###Danwitz</agg_juge_sign>
      <agg_juge_sign>Biltgen</agg_juge_sign>
      <agg_juge_sign>Jürimäe</agg_juge_sign>
      <agg_juge_sign>Arastey###NON_BREAKING_SPACE###Sahún</agg_juge_sign>
      <agg_juge_sign>Passer</agg_juge_sign>
      <agg_juge_sign>Schalin</agg_juge_sign>
      <agg_juge_sign>Rodin</agg_juge_sign>
      <agg_juge_sign>Regan</agg_juge_sign>
      <agg_juge_sign>Gratsias</agg_juge_sign>
      <agg_juge_sign>Gavalec</agg_juge_sign>
      <agg_juge_sign>Csehi</agg_juge_sign>
      <agg_juge_sign>Gervasoni</agg_juge_sign>
      <agg_juge_sign>Fenger</agg_juge_sign>
      <agg_juge_sign>Frendo</agg_juge_sign>
    </agg_juges_sign>
    <agg_president_nom>M.###NON_BREAKING_SPACE###K.###NON_BREAKING_SPACE###Lenaerts</agg_president_nom>
    <agg_president_signataire>K.###NON_BREAKING_SPACE###Lenaerts</agg_president_signataire>
    <agg_president_faisant_fonction_nom/>
    <agg_president_faisant_fonction_signataire/>
    <agg_president_faisant_fonction_chambre>veliko vijeće</agg_president_faisant_fonction_chambre>
    <agg_president2_juridiction_nom>K.###NON_BREAKING_SPACE###Lenaerts</agg_president2_juridiction_nom>
    <agg_president2_meme_chambre_nom/>
    <agg_president2_faisant_fonction_nom/>
    <agg_president2_faisant_fonction_chambre/>
    <agg_composition>
      <agg_composition_juges>g.###NON_BREAKING_SPACE###K.###NON_BREAKING_SPACE###Lenaerts, président, g.###NON_BREAKING_SPACE###T.###NON_BREAKING_SPACE###von Danwitz, vice###TIRET_INSECABLE###président, g.###NON_BREAKING_SPACE###F.###NON_BREAKING_SPACE###Biltgen, Mmes###NON_BREAKING_SPACE###K.###NON_BREAKING_SPACE###Jürimäe, M.###NON_BREAKING_SPACE###L.###NON_BREAKING_SPACE###Arastey Sahún, MM.###NON_BREAKING_SPACE###J.###NON_BREAKING_SPACE###Passer i F.###NON_BREAKING_SPACE###Schalin, présidents de chambre, MM.###NON_BREAKING_SPACE###S.###NON_BREAKING_SPACE###Rodin, E.###NON_BREAKING_SPACE###Regan, D.###NON_BREAKING_SPACE###Gratsias, M.###NON_BREAKING_SPACE###Gavalec (izvjestitelj), Z.###NON_BREAKING_SPACE###Csehi, S.###NON_BREAKING_SPACE###Gervasoni, N.###NON_BREAKING_SPACE###Fenger i gđa###NON_BREAKING_SPACE###R.###NON_BREAKING_SPACE###Frendo, suci,</agg_composition_juges>
    </agg_composition>
    <agg_juge_rapporteur/>
    <agg_juge_rapporteur_Civilite/>
  </juges>
  <avgen>
    <premier_avg>O</premier_avg>
    <nom>Rantos</nom>
    <prenom>Athanasios</prenom>
    <initiale>A.</initiale>
    <sexe>M</sexe>
    <civilite>M.</civilite>
    <code>RAN</code>
    <agg_avgen_civilite/>
    <agg_avgen_nom>Athanasios Rantos</agg_avgen_nom>
    <agg_avgen_nom_short>A.###NON_BREAKING_SPACE###Rantos</agg_avgen_nom_short>
    <agg_avgen_nom_Header>Rantos</agg_avgen_nom_Header>
    <agg_avgen_nom_uppercase>ATHANASIOS RANTOS</agg_avgen_nom_uppercase>
    <agg_avgen_nom_short_uppercase>RANTOS</agg_avgen_nom_short_uppercase>
  </avgen>
  <greffiers>
    <greffier type="present">
      <nom>Şereş</nom>
      <prenom>Ramona</prenom>
      <initiale>R.</initiale>
      <sexe>F</sexe>
      <civilite>Mme</civilite>
      <code>RSS</code>
      <fonction>Administratrice</fonction>
      <code_fonction>ADM_F</code_fonction>
    </greffier>
    <greffier type="signataire">
      <nom>Calot Escobar</nom>
      <prenom>Alfredo</prenom>
      <initiale>A.</initiale>
      <sexe>M</sexe>
      <civilite>M.</civilite>
      <code>ACE</code>
    </greffier>
    <agg_greffier_present>Mme###NON_BREAKING_SPACE###R.###NON_BREAKING_SPACE###Şereş, GREFFEFUNCTION_5[F]</agg_greffier_present>
    <agg_greffier_signataire_present>M.###NON_BREAKING_SPACE###A.###NON_BREAKING_SPACE###Calot Escobar</agg_greffier_signataire_present>
    <agg_greffier_signataire>M.###NON_BREAKING_SPACE###A.###NON_BREAKING_SPACE###Calot Escobar</agg_greffier_signataire>
    <agg_greffier_signataire_present_signature>A.###NON_BREAKING_SPACE###Calot###NON_BREAKING_SPACE###Escobar</agg_greffier_signataire_present_signature>
    <agg_greffier_signataire_signature>A.###NON_BREAKING_SPACE###Calot###NON_BREAKING_SPACE###Escobar</agg_greffier_signataire_signature>
    <agg_greffier_present_initial>R.###NON_BREAKING_SPACE###Şereş</agg_greffier_present_initial>
  </greffiers>
  <observations>
    <observation>
      <parties>
        <partie>
          <partie_id>91938</partie_id>
          <nom_developpe>BX</nom_developpe>
          <libelle_type>Personne physique</libelle_type>
        </partie>
      </parties>
      <representants>
        <representant>
          <nom>BX</nom>
          <prenom>.</prenom>
          <initiale/>
          <sexe>M</sexe>
          <civilite>M.</civilite>
          <pays>Roumanie</pays>
          <ville>Judeţ Argeş</ville>
          <qualite>*</qualite>
          <fonction>REP</fonction>
          <domicile>O</domicile>
          <titre_original>non avocat</titre_original>
          <titre>?</titre>
          <debut_mandat>28/10/2024</debut_mandat>
        </representant>
        <representant>
          <nom>Kis</nom>
          <prenom>Iulia</prenom>
          <initiale>I.</initiale>
          <sexe>F</sexe>
          <civilite>Mme</civilite>
          <pays>Roumanie</pays>
          <ville>Cluj-Napoca</ville>
          <qualite>AV</qualite>
          <fonction>REP</fonction>
          <domicile>O</domicile>
          <titre_original>avocat</titre_original>
          <titre>avocat</titre>
          <debut_mandat>24/03/2025</debut_mandat>
        </representant>
      </representants>
    </observation>
    <observation>
      <parties>
        <partie>
          <partie_id>47137</partie_id>
          <nom_developpe>Roumanie</nom_developpe>
          <libelle_type>Etat membre</libelle_type>
        </partie>
      </parties>
      <representants>
        <representant>
          <nom>Ghiță</nom>
          <prenom>Lavinia</prenom>
          <initiale>L.</initiale>
          <sexe>F</sexe>
          <civilite>Mme</civilite>
          <pays>Roumanie</pays>
          <ville>Bucarest</ville>
          <qualite>*</qualite>
          <fonction>ASS</fonction>
          <domicile>O</domicile>
          <titre_original>Consilier</titre_original>
          <titre>Conseil</titre>
          <debut_mandat>04/07/2024</debut_mandat>
        </representant>
        <representant>
          <nom>Gane</nom>
          <prenom>Emilia</prenom>
          <initiale>E.</initiale>
          <sexe>F</sexe>
          <civilite>Mme</civilite>
          <pays>Roumanie</pays>
          <ville>Bucarest</ville>
          <qualite>*</qualite>
          <fonction>REP</fonction>
          <domicile>O</domicile>
          <titre_original>?</titre_original>
          <titre>?</titre>
          <debut_mandat>04/07/2024</debut_mandat>
        </representant>
        <representant>
          <nom>Liţu</nom>
          <prenom>Laura</prenom>
          <initiale>L.</initiale>
          <sexe>F</sexe>
          <civilite>Mme</civilite>
          <pays>Roumanie</pays>
          <ville>Bucarest</ville>
          <qualite>*</qualite>
          <fonction>ASS</fonction>
          <domicile>O</domicile>
          <titre_original>?</titre_original>
          <titre>?</titre>
          <debut_mandat>04/07/2024</debut_mandat>
        </representant>
      </representants>
    </observation>
    <observation>
      <parties>
        <partie>
          <partie_id>8408</partie_id>
          <nom_developpe>Commission européenne</nom_developpe>
          <libelle_type>Institutions comm.</libelle_type>
        </partie>
      </parties>
      <representants>
        <representant>
          <nom>Becker</nom>
          <prenom>Anne Charlotte</prenom>
          <initiale>A.</initiale>
          <sexe>F</sexe>
          <civilite>Mme</civilite>
          <pays>Belgique</pays>
          <ville>Bruxelles</ville>
          <qualite>MSJ</qualite>
          <fonction>REP</fonction>
          <domicile>O</domicile>
          <titre_original>Membre du service juridique</titre_original>
          <titre/>
          <debut_mandat>03/07/2024</debut_mandat>
        </representant>
        <representant>
          <nom>Radu Bouyon</nom>
          <prenom>Lucia</prenom>
          <initiale>L.</initiale>
          <sexe>F</sexe>
          <civilite>Mme</civilite>
          <pays>Belgique</pays>
          <ville>Bruxelles</ville>
          <qualite>MSJ</qualite>
          <fonction>REP</fonction>
          <domicile>O</domicile>
          <titre_original>Membre du service juridique</titre_original>
          <titre/>
          <debut_mandat>03/07/2024</debut_mandat>
        </representant>
      </representants>
    </observation>
    <agg_observation_parties_count>3</agg_observation_parties_count>
    <partie>
      <agg_observation_partie>BX</agg_observation_partie>
      <agg_observation_partie_representants>  M.###NON_BREAKING_SPACE###BX i Mme###NON_BREAKING_SPACE###I.###NON_BREAKING_SPACE###Kis, avocat,</agg_observation_partie_representants>
      <agg_observation_partie_representants_mandats>  M.###NON_BREAKING_SPACE###BX i Mme###NON_BREAKING_SPACE###I.###NON_BREAKING_SPACE###Kis, avocat,</agg_observation_partie_representants_mandats>
    </partie>
    <partie>
      <agg_observation_partie>Roumanie</agg_observation_partie>
      <agg_observation_partie_representants>  Mme###NON_BREAKING_SPACE###E.###NON_BREAKING_SPACE###Gane, ,</agg_observation_partie_representants>
      <agg_observation_partie_representants_mandats>  Mme###NON_BREAKING_SPACE###E.###NON_BREAKING_SPACE###Gane, ,</agg_observation_partie_representants_mandats>
    </partie>
    <partie>
      <agg_observation_partie>Commission européenne</agg_observation_partie>
      <agg_observation_partie_representants>  ###NON_BREAKING_SPACE###A.###NON_BREAKING_SPACE###Becker i L.###NON_BREAKING_SPACE###Radu Bouyon, ,</agg_observation_partie_representants>
      <agg_observation_partie_representants_mandats>  ###NON_BREAKING_SPACE###A.###NON_BREAKING_SPACE###Becker i L.###NON_BREAKING_SPACE###Radu Bouyon, ,</agg_observation_partie_representants_mandats>
    </partie>
  </observations>
  <affaires>
    <affaire id="pilote" nature="RP">
      <num_aff>C###TIRET_INSECABLE###163/24</num_aff>
      <nom_usuel>Statul Român – Ministerul Finanţelor Publice et Curtea de Apel Bucureşti</nom_usuel>
      <nom_fictif>N</nom_fictif>
      <nature_procedure_nationale code=""/>
      <objet/>
      <mots_cle>Agriculture – Politique agricole commune – Régimes de soutien direct – Règlements (CE) n° 1782/2003 et 796/2004 – Réductions et exclusions applicables en cas de surdéclarations – Exceptions – Notion de données factuelles correctes – Responsabilité de l’État pour les dommages causés aux particuliers par la violation du droit de l’Union – Violation imputable à une juridiction statuant en dernier ressort</mots_cle>
      <complement_mots_cle>Renvoi préjudiciel###NON_BREAKING_SPACE###– ###MotCle###</complement_mots_cle>
      <fondement>
        <institution>TFUE</institution>
        <article>267</article>
      </fondement>
      <depot>
        <act_id>56538</act_id>
        <juridiction>Curtea de Apel Bucureşti</juridiction>
        <pays_code>RO</pays_code>
        <pays>Rumunjska</pays>
        <date_renvoi>21/12/2023</date_renvoi>
        <affaire_penale>N</affaire_penale>
      </depot>
      <depotOriginal>
        <typeDepotOriginal/>
        <date annee="2024" mois="03" jour="01" type="dateDepotOriginal"/>
      </depotOriginal>
      <observation_ecrite>1</observation_ecrite>
      <audience_plaidoirie_prevue>1</audience_plaidoirie_prevue>
      <conclusion_prevue>1</conclusion_prevue>
      <depotRequete>
        <date annee="2024" mois="03" jour="01" type="dateDepotRequete"/>
        <agg_depotRequete_date>01-03-2024</agg_depotRequete_date>
      </depotRequete>
      <procedure_ecrite>
        <piece type="DEL_MEMOBS">
          <libelle>Fix. délai pour mémoire ou observations écrites</libelle>
          <partie id="8408" qualite="">Commission</partie>
          <auteurs>
            <auteur>Ernest Ley</auteur>
          </auteurs>
          <numero_pieceDossier/>
          <depots>
            <date annee="2024" mois="07" jour="03" type="memoire"/>
          </depots>
        </piece>
        <piece type="DEL_MEMOBS">
          <libelle>Fix. délai pour mémoire ou observations écrites</libelle>
          <partie id="47137" qualite="">Roumanie</partie>
          <auteurs>
            <auteur>République hellénique</auteur>
          </auteurs>
          <numero_pieceDossier>9</numero_pieceDossier>
          <depots>
            <date annee="2024" mois="07" jour="04" type="memoire"/>
          </depots>
        </piece>
      </procedure_ecrite>
      <parties>
        <requerantes>
          <requerante>
            <parties>
              <partie>
                <id>91938</id>
                <nom_developpe>BX</nom_developpe>
                <nom_simple>BX</nom_simple>
                <pays>Roumanie</pays>
                <ville/>
                <type>PP</type>
                <tri>63</tri>
              </partie>
            </parties>
            <representants>
              <representant>
                <nom>BX</nom>
                <prenom1>.</prenom1>
                <prenom2/>
                <prenom3/>
                <prenom4/>
                <prenom5/>
                <initiale/>
                <sexe>M</sexe>
                <civilite>M.</civilite>
                <qualite>NA</qualite>
                <fonction>REP</fonction>
                <domicile>O</domicile>
                <titre_original>non avocat</titre_original>
                <titre>?</titre>
                <date_debut_mandat>28/10/2024</date_debut_mandat>
                <date_fin_mandat/>
              </representant>
              <representant>
                <nom>Kis</nom>
                <prenom1>Iulia</prenom1>
                <prenom2/>
                <prenom3/>
                <prenom4/>
                <prenom5/>
                <initiale>I.</initiale>
                <sexe>F</sexe>
                <civilite>Mme</civilite>
                <qualite>AV</qualite>
                <fonction>REP</fonction>
                <domicile>O</domicile>
                <titre_original>avocat</titre_original>
                <titre>avocat</titre>
                <date_debut_mandat>24/03/2025</date_debut_mandat>
                <date_fin_mandat/>
              </representant>
            </representants>
            <qualite_secondaire>au principal</qualite_secondaire>
            <qualite_secondaire_code>PRIN</qualite_secondaire_code>
            <agg_parties>
              <agg_partie>
                <agg_partie_nom>BX</agg_partie_nom>
                <agg_partie_countrycity/>
                <agg_partie_countrycity_annexe/>
                <agg_type>PP</agg_type>
                <agg_tri>63</agg_tri>
              </agg_partie>
            </agg_parties>
            <agg_partie_representants>  M.###NON_BREAKING_SPACE###BX i Mme###NON_BREAKING_SPACE###I.###NON_BREAKING_SPACE###Kis, avocat,</agg_partie_representants>
            <agg_partie_representants_mandat>  M.###NON_BREAKING_SPACE###BX i Mme###NON_BREAKING_SPACE###I.###NON_BREAKING_SPACE###Kis, avocat,</agg_partie_representants_mandat>
            <agg_partie_representants_mandat_count>2</agg_partie_representants_mandat_count>
            <agg_partie_qualite>PRIN</agg_partie_qualite>
          </requerante>
          <agg_annexe>0</agg_annexe>
          <agg_partie_Display_Affaire_Jointe>0</agg_partie_Display_Affaire_Jointe>
        </requerantes>
        <defenderesses>
          <defenderesse>
            <parties>
              <partie>
                <id>75159</id>
                <nom_developpe>Statul Român – Ministerul Finanţelor Publice</nom_developpe>
                <nom_simple>STATUL ROMÂN – MINISTERUL FINANŢELOR PUBLICE</nom_simple>
                <pays>Roumanie</pays>
                <ville/>
                <type>EP</type>
                <tri>63</tri>
              </partie>
            </parties>
            <representants/>
            <qualite_secondaire>au principal</qualite_secondaire>
            <qualite_secondaire_code>PRIN</qualite_secondaire_code>
            <agg_parties>
              <agg_partie>
                <agg_partie_nom>Statul Român – Ministerul Finanţelor Publice</agg_partie_nom>
                <agg_partie_countrycity/>
                <agg_partie_countrycity_annexe/>
                <agg_type>EP</agg_type>
                <agg_tri>63</agg_tri>
              </agg_partie>
            </agg_parties>
            <agg_partie_representants/>
            <agg_partie_representants_mandat/>
            <agg_partie_representants_mandat_count>0</agg_partie_representants_mandat_count>
            <agg_partie_qualite>PRIN</agg_partie_qualite>
          </defenderesse>
          <defenderesse>
            <parties>
              <partie>
                <id>91270</id>
                <nom_developpe>Curtea de Apel Bucureşti</nom_developpe>
                <nom_simple>CURTEA DE APEL BUCUREŞTI</nom_simple>
                <pays>Roumanie</pays>
                <ville/>
                <type>EP</type>
                <tri>63</tri>
              </partie>
            </parties>
            <representants/>
            <qualite_secondaire>au principal</qualite_secondaire>
            <qualite_secondaire_code>PRIN</qualite_secondaire_code>
            <agg_parties>
              <agg_partie>
                <agg_partie_nom>Curtea de Apel Bucureşti</agg_partie_nom>
                <agg_partie_countrycity/>
                <agg_partie_countrycity_annexe/>
                <agg_type>EP</agg_type>
                <agg_tri>63</agg_tri>
              </agg_partie>
            </agg_parties>
            <agg_partie_representants/>
            <agg_partie_representants_mandat/>
            <agg_partie_representants_mandat_count>0</agg_partie_representants_mandat_count>
            <agg_partie_qualite>PRIN</agg_partie_qualite>
          </defenderesse>
          <agg_annexe>0</agg_annexe>
          <agg_partie_Display_Affaire_Jointe>0</agg_partie_Display_Affaire_Jointe>
        </defenderesses>
      </parties>
      <agg_motcle>Renvoi préjudiciel###NON_BREAKING_SPACE###– Agriculture – Politique agricole commune – Régimes de soutien direct – Règlements (CE) n° 1782/2003 et 796/2004 – Réductions et exclusions applicables en cas de surdéclarations – Exceptions – Notion de données factuelles correctes – Responsabilité de l’État pour les dommages causés aux particuliers par la violation du droit de l’Union – Violation imputable à une juridiction statuant en dernier ressort</agg_motcle>
      <agg_nom_usuel_uppercase>STATUL ROMÂN – MINISTERUL FINANŢELOR PUBLICE ET CURTEA DE APEL BUCUREŞTI</agg_nom_usuel_uppercase>
      <agg_fondement>267TFUE</agg_fondement>
    </affaire>
    <agg_group_affaires>
      <agg_display_comma>True</agg_display_comma>
      <agg_group_affaire>
        <agg_numaff_list>C###TIRET_INSECABLE###163/24</agg_numaff_list>
        <agg_numaff_list_compress>C###TIRET_INSECABLE###163/24 | Statul Român – Ministerul Finanţelor Publice et Curtea de Apel Bucureşti</agg_numaff_list_compress>
        <agg_numaff_count>1</agg_numaff_count>
        <agg_juridiction>
          <depot>
            <act_id>56538</act_id>
            <juridiction>Curtea de Apel Bucureşti</juridiction>
            <pays_code>RO</pays_code>
            <pays>Rumunjska</pays>
            <date_renvoi>21/12/2023</date_renvoi>
            <affaire_penale>N</affaire_penale>
          </depot>
        </agg_juridiction>
        <agg_group_parties>
          <agg_group_partie>
            <agg_numaff_list>C###TIRET_INSECABLE###163/24</agg_numaff_list>
            <agg_numaff_count>1</agg_numaff_count>
            <agg_REQ_parties>
              <group>
                <agg_partie group="1" position="1" total="1" last_partie="1">
                  <agg_nom>BX</agg_nom>
                  <agg_city_country/>
                  <agg_type>PP</agg_type>
                  <agg_tri>63</agg_tri>
                  <agg_numaff_list>C###TIRET_INSECABLE###163/24</agg_numaff_list>
                  <agg_numaff_count>1</agg_numaff_count>
                  <agg_qualite_code>PRIN</agg_qualite_code>
                  <agg_representants>  M.###NON_BREAKING_SPACE###BX i Mme###NON_BREAKING_SPACE###I.###NON_BREAKING_SPACE###Kis, avocat,</agg_representants>
                  <agg_representants_mandat>  M.###NON_BREAKING_SPACE###BX i Mme###NON_BREAKING_SPACE###I.###NON_BREAKING_SPACE###Kis, avocat,</agg_representants_mandat>
                </agg_partie>
              </group>
            </agg_REQ_parties>
            <agg_DEF_parties>
              <group>
                <agg_partie group="1" position="1" total="1">
                  <agg_nom>Statul Român – Ministerul Finanţelor Publice</agg_nom>
                  <agg_city_country/>
                  <agg_type>EP</agg_type>
                  <agg_tri>63</agg_tri>
                  <agg_numaff_list>C###TIRET_INSECABLE###163/24</agg_numaff_list>
                  <agg_numaff_count>1</agg_numaff_count>
                  <agg_qualite_code>PRIN</agg_qualite_code>
                  <agg_representants/>
                  <agg_representants_mandat/>
                </agg_partie>
                <agg_partie group="2" position="1" total="1" last_partie="1">
                  <agg_nom>Curtea de Apel Bucureşti</agg_nom>
                  <agg_city_country/>
                  <agg_type>EP</agg_type>
                  <agg_tri>63</agg_tri>
                  <agg_numaff_list>C###TIRET_INSECABLE###163/24</agg_numaff_list>
                  <agg_numaff_count>1</agg_numaff_count>
                  <agg_qualite_code>PRIN</agg_qualite_code>
                  <agg_representants/>
                  <agg_representants_mandat/>
                </agg_partie>
              </group>
            </agg_DEF_parties>
            <agg_AUTRES_parties/>
            <agg_PEC_parties/>
          </agg_group_partie>
        </agg_group_parties>
      </agg_group_affaire>
    </agg_group_affaires>
    <agg_Affaires_parties>
      <agg_REQ_parties>
        <agg_partie>BX</agg_partie>
      </agg_REQ_parties>
      <agg_DEF_parties>
        <agg_partie>Statul Român – Ministerul Finanţelor Publice</agg_partie>
        <agg_partie>Curtea de Apel Bucureşti</agg_partie>
      </agg_DEF_parties>
    </agg_Affaires_parties>
    <agg_introduction_affaire>  Curtea de Apel Bucureşti (Rumunjska),  </agg_introduction_affaire>
    <agg_affaires_start>C###TIRET_INSECABLE###163/24</agg_affaires_start>
    <agg_affaires_start_uppercase>C###TIRET_INSECABLE###163/24</agg_affaires_start_uppercase>
    <agg_affaires_short/>
    <agg_affaires>C###TIRET_INSECABLE###163/24,</agg_affaires>
    <agg_affaires_avis>C###TIRET_INSECABLE###163/24,</agg_affaires_avis>
    <agg_affaires_jointes>C###TIRET_INSECABLE###163/24</agg_affaires_jointes>
    <agg_affaires_jointes_uppercase>C###TIRET_INSECABLE###163/24</agg_affaires_jointes_uppercase>
    <agg_affaires_display_type>grouped</agg_affaires_display_type>
    <agg_affaires_nb_parties_REQ>1</agg_affaires_nb_parties_REQ>
    <agg_affaires_nb_parties_DEF>2</agg_affaires_nb_parties_DEF>
    <agg_affaires_nb_parties_AUTRE>0</agg_affaires_nb_parties_AUTRE>
  </affaires>
  <dates_renvoi>
    <date numaffs="">21-12-2023</date>
  </dates_renvoi>
  <dates_objet>
    <date numaffs="">01-03-2024</date>
  </dates_objet>
  <agg_langue_originale>le hrvatski</agg_langue_originale>
  <agg_general_data>
    <agg_aide_judiciaire_texte/>
    <agg_affaire_chambre>veliko vijeće</agg_affaire_chambre>
    <agg_chambre_numero/>
    <agg_affaire_chambre_parentheses>veliko vijeće</agg_affaire_chambre_parentheses>
    <agg_affaire_chambre_upper>VELIKO VIJEĆE</agg_affaire_chambre_upper>
  </agg_general_data>
  <agg_demande_suivi2>
    <agg_auteurs/>
    <agg_numero_pieceDossier> - </agg_numero_pieceDossier>
    <agg_denomination>DENOM_PP-</agg_denomination>
  </agg_demande_suivi2>
</doc_ref>
</file>

<file path=customXml/item7.xml><?xml version="1.0" encoding="utf-8"?>
<XMLPartCheckSums>
  <CheckSum XMLPart="doc_ref" version="1">835CEF9015FF9420B234BEABB1E18814</CheckSum>
  <CheckSum XMLPart="BackupStylesWithEffects" version="1">143F41614E71A9E2F387B127C4C97307</CheckSum>
  <CheckSum XMLPart="OriginalStyles" version="1">2B0342CB4E97F307D530A54EDD0B2D1E</CheckSum>
  <CheckSum XMLPart="TOCProperties" version="1">85947B3DBD1B751106942EAFB1AFAAFC</CheckSum>
  <CheckSum XMLPart="BackupNumbering" version="1">45DEDA170207ED32DFC1C0707584A1FE</CheckSum>
  <CheckSum XMLPart="template-info" version="1">E4CA1BEDC9EACBAAA59AEEF06B3A4472</CheckSum>
  <CheckSum XMLPart="GendocCanevasStyleMapping" version="1">1DBD7F133243483941ECF7256401667F</CheckSum>
  <CheckSum XMLPart="BackupStyles" version="1">2DC09C83FA982F1B11F864735AEAA7AC</CheckSum>
  <CheckSum XMLPart="ValidationRuleDefinitions" version="1">69420DB0F42C5F48CD50CA63DF1455D7</CheckSum>
  <CheckSum XMLPart="OriginalStyleDescriptions" version="1">248477404E55503BFF7CF99258090FFF</CheckSum>
</XMLPartCheckSums>
</file>

<file path=customXml/item8.xml><?xml version="1.0" encoding="utf-8"?>
<PublicationCheckSum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ublicationCheckSum>
</file>

<file path=customXml/item9.xml><?xml version="1.0" encoding="utf-8"?>
<OriginalStyles>
  <OriginalStyle Tag="DateTC_YBoCXDSiREG6sOy6ucHC+g==" StyleId="103DateTitreC" AuthorizedChange="false">103_Date_Titre_C</OriginalStyle>
  <OriginalStyle Tag="DateTC_3sCkQBSRy0+QM76sNrBIkQ==" StyleId="103DateC" AuthorizedChange="false">103_Date_C</OriginalStyle>
  <OriginalStyle Tag="ccTag18" StyleId="Header" AuthorizedChange="false">Header</OriginalStyle>
  <OriginalStyle Tag="ccTag16" StyleId="011Footer" AuthorizedChange="false">011_Footer</OriginalStyle>
  <OriginalStyle Tag="ccTag17" StyleId="011Footer" AuthorizedChange="false">011_Footer</OriginalStyle>
</OriginalStyles>
</file>

<file path=customXml/itemProps1.xml><?xml version="1.0" encoding="utf-8"?>
<ds:datastoreItem xmlns:ds="http://schemas.openxmlformats.org/officeDocument/2006/customXml" ds:itemID="{E89B9E26-C895-4E11-AB5C-F7A2106379CF}">
  <ds:schemaRefs/>
</ds:datastoreItem>
</file>

<file path=customXml/itemProps10.xml><?xml version="1.0" encoding="utf-8"?>
<ds:datastoreItem xmlns:ds="http://schemas.openxmlformats.org/officeDocument/2006/customXml" ds:itemID="{2578C892-1B40-474A-AC4E-D26D189E8D29}">
  <ds:schemaRefs>
    <ds:schemaRef ds:uri="http://www.w3.org/2001/XMLSchema"/>
  </ds:schemaRefs>
</ds:datastoreItem>
</file>

<file path=customXml/itemProps11.xml><?xml version="1.0" encoding="utf-8"?>
<ds:datastoreItem xmlns:ds="http://schemas.openxmlformats.org/officeDocument/2006/customXml" ds:itemID="{678544A6-F569-4655-B08F-5D1B11381495}">
  <ds:schemaRefs/>
</ds:datastoreItem>
</file>

<file path=customXml/itemProps12.xml><?xml version="1.0" encoding="utf-8"?>
<ds:datastoreItem xmlns:ds="http://schemas.openxmlformats.org/officeDocument/2006/customXml" ds:itemID="{4DB58F9F-02D0-40CF-9760-3C2B97680DAC}">
  <ds:schemaRefs/>
</ds:datastoreItem>
</file>

<file path=customXml/itemProps13.xml><?xml version="1.0" encoding="utf-8"?>
<ds:datastoreItem xmlns:ds="http://schemas.openxmlformats.org/officeDocument/2006/customXml" ds:itemID="{E81A3E07-4F3A-4EE2-9E14-17540E504E67}">
  <ds:schemaRefs>
    <ds:schemaRef ds:uri="http://schemas.openxmlformats.org/wordprocessingml/2006/main"/>
  </ds:schemaRefs>
</ds:datastoreItem>
</file>

<file path=customXml/itemProps14.xml><?xml version="1.0" encoding="utf-8"?>
<ds:datastoreItem xmlns:ds="http://schemas.openxmlformats.org/officeDocument/2006/customXml" ds:itemID="{A5333C5B-82E8-4963-A608-F843D178F0A7}">
  <ds:schemaRefs/>
</ds:datastoreItem>
</file>

<file path=customXml/itemProps15.xml><?xml version="1.0" encoding="utf-8"?>
<ds:datastoreItem xmlns:ds="http://schemas.openxmlformats.org/officeDocument/2006/customXml" ds:itemID="{F6B7A468-093A-4DA4-A430-350319643E9D}">
  <ds:schemaRefs>
    <ds:schemaRef ds:uri="http://schemas.openxmlformats.org/officeDocument/2006/bibliography"/>
  </ds:schemaRefs>
</ds:datastoreItem>
</file>

<file path=customXml/itemProps2.xml><?xml version="1.0" encoding="utf-8"?>
<ds:datastoreItem xmlns:ds="http://schemas.openxmlformats.org/officeDocument/2006/customXml" ds:itemID="{5C008C1E-E89D-4406-8B01-089AF77D9A38}">
  <ds:schemaRefs>
    <ds:schemaRef ds:uri="http://schemas.openxmlformats.org/wordprocessingml/2006/main"/>
  </ds:schemaRefs>
</ds:datastoreItem>
</file>

<file path=customXml/itemProps3.xml><?xml version="1.0" encoding="utf-8"?>
<ds:datastoreItem xmlns:ds="http://schemas.openxmlformats.org/officeDocument/2006/customXml" ds:itemID="{C57567C8-C353-4891-96AA-70CC29D94ABF}">
  <ds:schemaRefs>
    <ds:schemaRef ds:uri="http://schemas.openxmlformats.org/wordprocessingml/2006/main"/>
  </ds:schemaRefs>
</ds:datastoreItem>
</file>

<file path=customXml/itemProps4.xml><?xml version="1.0" encoding="utf-8"?>
<ds:datastoreItem xmlns:ds="http://schemas.openxmlformats.org/officeDocument/2006/customXml" ds:itemID="{16426567-0FAF-4EDA-9B0F-9651B91ACEC0}">
  <ds:schemaRefs/>
</ds:datastoreItem>
</file>

<file path=customXml/itemProps5.xml><?xml version="1.0" encoding="utf-8"?>
<ds:datastoreItem xmlns:ds="http://schemas.openxmlformats.org/officeDocument/2006/customXml" ds:itemID="{07438654-DD28-4B7E-A10C-D3BD54120F8F}">
  <ds:schemaRefs/>
</ds:datastoreItem>
</file>

<file path=customXml/itemProps6.xml><?xml version="1.0" encoding="utf-8"?>
<ds:datastoreItem xmlns:ds="http://schemas.openxmlformats.org/officeDocument/2006/customXml" ds:itemID="{6401E1C6-CE8F-4B2A-9546-BD4D2D1508D1}">
  <ds:schemaRefs/>
</ds:datastoreItem>
</file>

<file path=customXml/itemProps7.xml><?xml version="1.0" encoding="utf-8"?>
<ds:datastoreItem xmlns:ds="http://schemas.openxmlformats.org/officeDocument/2006/customXml" ds:itemID="{EC175DFE-C4F6-40E4-88C1-3D7A8BD7B4B7}">
  <ds:schemaRefs/>
</ds:datastoreItem>
</file>

<file path=customXml/itemProps8.xml><?xml version="1.0" encoding="utf-8"?>
<ds:datastoreItem xmlns:ds="http://schemas.openxmlformats.org/officeDocument/2006/customXml" ds:itemID="{8A6A305D-1A49-46E8-9038-494096949E33}">
  <ds:schemaRefs/>
</ds:datastoreItem>
</file>

<file path=customXml/itemProps9.xml><?xml version="1.0" encoding="utf-8"?>
<ds:datastoreItem xmlns:ds="http://schemas.openxmlformats.org/officeDocument/2006/customXml" ds:itemID="{81F1C8E4-5F30-49F7-959E-9EF50170C045}">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1415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smojvta</dc:creator>
  <cp:lastModifiedBy>Marcu Adrian</cp:lastModifiedBy>
  <cp:revision>10</cp:revision>
  <cp:lastPrinted>2026-08-31T13:27:00Z</cp:lastPrinted>
  <dcterms:created xsi:type="dcterms:W3CDTF">2026-09-03T13:16:00Z</dcterms:created>
  <dcterms:modified xsi:type="dcterms:W3CDTF">2026-09-08T07:44:00Z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doc_User">
    <vt:lpwstr>smojvta</vt:lpwstr>
  </property>
  <property fmtid="{D5CDD505-2E9C-101B-9397-08002B2CF9AE}" pid="3" name="Gendoc_GenerationDate">
    <vt:filetime>2026-08-31T15:27:16Z</vt:filetime>
  </property>
  <property fmtid="{D5CDD505-2E9C-101B-9397-08002B2CF9AE}" pid="4" name="Created">
    <vt:lpwstr>GenDoc31-08-26 15:27:16</vt:lpwstr>
  </property>
  <property fmtid="{D5CDD505-2E9C-101B-9397-08002B2CF9AE}" pid="5" name="Gendoc_GendocTemplateType">
    <vt:lpwstr>COM_PRESS</vt:lpwstr>
  </property>
  <property fmtid="{D5CDD505-2E9C-101B-9397-08002B2CF9AE}" pid="6" name="Gendoc_Lang">
    <vt:lpwstr>hr-HR</vt:lpwstr>
  </property>
  <property fmtid="{D5CDD505-2E9C-101B-9397-08002B2CF9AE}" pid="7" name="Gendoc_LangCode">
    <vt:lpwstr>hr</vt:lpwstr>
  </property>
  <property fmtid="{D5CDD505-2E9C-101B-9397-08002B2CF9AE}" pid="8" name="Langue">
    <vt:lpwstr>HR</vt:lpwstr>
  </property>
  <property fmtid="{D5CDD505-2E9C-101B-9397-08002B2CF9AE}" pid="9" name="Gendoc_Juridiction">
    <vt:lpwstr>C</vt:lpwstr>
  </property>
  <property fmtid="{D5CDD505-2E9C-101B-9397-08002B2CF9AE}" pid="10" name="Juridiction">
    <vt:lpwstr>C</vt:lpwstr>
  </property>
  <property fmtid="{D5CDD505-2E9C-101B-9397-08002B2CF9AE}" pid="11" name="Gendoc_CaseNumber">
    <vt:lpwstr>0163</vt:lpwstr>
  </property>
  <property fmtid="{D5CDD505-2E9C-101B-9397-08002B2CF9AE}" pid="12" name="NumeroOrdre">
    <vt:lpwstr>0163</vt:lpwstr>
  </property>
  <property fmtid="{D5CDD505-2E9C-101B-9397-08002B2CF9AE}" pid="13" name="Gendoc_CaseYear">
    <vt:i4>2024</vt:i4>
  </property>
  <property fmtid="{D5CDD505-2E9C-101B-9397-08002B2CF9AE}" pid="14" name="Annee">
    <vt:lpwstr>2024</vt:lpwstr>
  </property>
  <property fmtid="{D5CDD505-2E9C-101B-9397-08002B2CF9AE}" pid="15" name="Gendoc_CaseNature">
    <vt:lpwstr>RP</vt:lpwstr>
  </property>
  <property fmtid="{D5CDD505-2E9C-101B-9397-08002B2CF9AE}" pid="16" name="NatureAff">
    <vt:lpwstr>RP</vt:lpwstr>
  </property>
  <property fmtid="{D5CDD505-2E9C-101B-9397-08002B2CF9AE}" pid="17" name="Gendoc_NumberSuite">
    <vt:lpwstr>0001</vt:lpwstr>
  </property>
  <property fmtid="{D5CDD505-2E9C-101B-9397-08002B2CF9AE}" pid="18" name="NumSuite">
    <vt:lpwstr>0001</vt:lpwstr>
  </property>
  <property fmtid="{D5CDD505-2E9C-101B-9397-08002B2CF9AE}" pid="19" name="Gendoc_ProcedureType">
    <vt:lpwstr>P</vt:lpwstr>
  </property>
  <property fmtid="{D5CDD505-2E9C-101B-9397-08002B2CF9AE}" pid="20" name="TypeProc">
    <vt:lpwstr>P</vt:lpwstr>
  </property>
  <property fmtid="{D5CDD505-2E9C-101B-9397-08002B2CF9AE}" pid="21" name="Gendoc_ProcedureNumber">
    <vt:i4>1</vt:i4>
  </property>
  <property fmtid="{D5CDD505-2E9C-101B-9397-08002B2CF9AE}" pid="22" name="NumProc">
    <vt:lpwstr>1</vt:lpwstr>
  </property>
  <property fmtid="{D5CDD505-2E9C-101B-9397-08002B2CF9AE}" pid="23" name="Gendoc_EditionType">
    <vt:lpwstr>Final</vt:lpwstr>
  </property>
  <property fmtid="{D5CDD505-2E9C-101B-9397-08002B2CF9AE}" pid="24" name="Gendoc_LastVerificationDate">
    <vt:lpwstr>3/09/2026 15:16:42</vt:lpwstr>
  </property>
  <property fmtid="{D5CDD505-2E9C-101B-9397-08002B2CF9AE}" pid="25" name="Gendoc_LastVerificationStatus">
    <vt:lpwstr>FAST_document_go_ok</vt:lpwstr>
  </property>
  <property fmtid="{D5CDD505-2E9C-101B-9397-08002B2CF9AE}" pid="26" name="Canevas3_Vademecum">
    <vt:i4>0</vt:i4>
  </property>
  <property fmtid="{D5CDD505-2E9C-101B-9397-08002B2CF9AE}" pid="27" name="ReadyToPublish">
    <vt:lpwstr>OK</vt:lpwstr>
  </property>
  <property fmtid="{D5CDD505-2E9C-101B-9397-08002B2CF9AE}" pid="28" name="EP_Version">
    <vt:i4>0</vt:i4>
  </property>
  <property fmtid="{D5CDD505-2E9C-101B-9397-08002B2CF9AE}" pid="29" name="EP_Mode">
    <vt:i4>1</vt:i4>
  </property>
  <property fmtid="{D5CDD505-2E9C-101B-9397-08002B2CF9AE}" pid="30" name="DocumentIdentifier">
    <vt:lpwstr>151acc5d71e24a51aed65f155c782a8e</vt:lpwstr>
  </property>
  <property fmtid="{D5CDD505-2E9C-101B-9397-08002B2CF9AE}" pid="31" name="TypeDoc">
    <vt:lpwstr>ARR_C</vt:lpwstr>
  </property>
  <property fmtid="{D5CDD505-2E9C-101B-9397-08002B2CF9AE}" pid="32" name="Gendoc_Vademecum">
    <vt:i4>2016</vt:i4>
  </property>
  <property fmtid="{D5CDD505-2E9C-101B-9397-08002B2CF9AE}" pid="33" name="IsFlattened">
    <vt:bool>true</vt:bool>
  </property>
  <property fmtid="{D5CDD505-2E9C-101B-9397-08002B2CF9AE}" pid="34" name="WithoutAuthorBlock">
    <vt:lpwstr>TRUE</vt:lpwstr>
  </property>
  <property fmtid="{D5CDD505-2E9C-101B-9397-08002B2CF9AE}" pid="35" name="WithoutAuthorBlockFlatP">
    <vt:lpwstr>TRUE</vt:lpwstr>
  </property>
  <property fmtid="{D5CDD505-2E9C-101B-9397-08002B2CF9AE}" pid="36" name="Generation_In_Progress">
    <vt:lpwstr>false</vt:lpwstr>
  </property>
  <property fmtid="{D5CDD505-2E9C-101B-9397-08002B2CF9AE}" pid="37" name="CreateCustomParts">
    <vt:bool>false</vt:bool>
  </property>
  <property fmtid="{D5CDD505-2E9C-101B-9397-08002B2CF9AE}" pid="38" name="GeneratedGenDocVersion">
    <vt:lpwstr>ZHfpUQKGBom//Z6ZCMvh82kgsEbHcUmvXuFR9GcqnDC8xfJ/R05lsuHAtGHHyhJgIn97RbKIT6/MlUkNASML/PdTC9ybiJQ+OYfdybtNaLnSxGIkkAs8M6uyBAEzX0yE</vt:lpwstr>
  </property>
  <property fmtid="{D5CDD505-2E9C-101B-9397-08002B2CF9AE}" pid="39" name="GenDocUID">
    <vt:lpwstr>kF0XBwWAJtaf29RvWEVCl01cQaAY0tCifSdml8B4fnI7oJ4EWPFTTKU6W8HEKuTdXNbYjkxDTazN2WJQ0e3JKNql8VqQq6UKubCFEc/PPJmBensTE8AAEi2ketMBTjXQk4tVtmHBGIQjF4nFkGvZCnBuAsmhqTkAFStj93vCyu8=</vt:lpwstr>
  </property>
</Properties>
</file>